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1E0" w:firstRow="1" w:lastRow="1" w:firstColumn="1" w:lastColumn="1" w:noHBand="0" w:noVBand="0"/>
      </w:tblPr>
      <w:tblGrid>
        <w:gridCol w:w="10620"/>
      </w:tblGrid>
      <w:tr w:rsidR="003A0C5C" w:rsidRPr="003A0C5C" w14:paraId="6A1F2C14" w14:textId="77777777" w:rsidTr="00FB07B9">
        <w:trPr>
          <w:trHeight w:val="4230"/>
        </w:trPr>
        <w:tc>
          <w:tcPr>
            <w:tcW w:w="10620" w:type="dxa"/>
            <w:tcBorders>
              <w:top w:val="nil"/>
              <w:left w:val="nil"/>
              <w:bottom w:val="nil"/>
              <w:right w:val="nil"/>
            </w:tcBorders>
          </w:tcPr>
          <w:p w14:paraId="25742C06" w14:textId="6ACE609F" w:rsidR="00747909" w:rsidRPr="003A0C5C" w:rsidRDefault="002348BC" w:rsidP="00135551">
            <w:pPr>
              <w:pStyle w:val="TypeofDocument"/>
              <w:keepNext/>
              <w:ind w:left="1440" w:hanging="180"/>
            </w:pPr>
            <w:sdt>
              <w:sdtPr>
                <w:alias w:val="Report Phase"/>
                <w:tag w:val="Report Phase"/>
                <w:id w:val="2130355006"/>
                <w:placeholder>
                  <w:docPart w:val="EDB8F1B523E74374AEFD6206CB2B6496"/>
                </w:placeholder>
                <w:dataBinding w:prefixMappings="xmlns:ns0='http://purl.org/dc/elements/1.1/' xmlns:ns1='http://schemas.openxmlformats.org/package/2006/metadata/core-properties' " w:xpath="/ns1:coreProperties[1]/ns1:contentStatus[1]" w:storeItemID="{6C3C8BC8-F283-45AE-878A-BAB7291924A1}"/>
                <w:text w:multiLine="1"/>
              </w:sdtPr>
              <w:sdtEndPr/>
              <w:sdtContent>
                <w:r w:rsidR="007F29B2">
                  <w:t xml:space="preserve">Public Review </w:t>
                </w:r>
                <w:r w:rsidR="00307A6E" w:rsidRPr="003A0C5C">
                  <w:t>Draft</w:t>
                </w:r>
              </w:sdtContent>
            </w:sdt>
          </w:p>
          <w:p w14:paraId="74C9B56C" w14:textId="387693D0" w:rsidR="00CE20B1" w:rsidRPr="003A0C5C" w:rsidRDefault="002348BC" w:rsidP="009E6D97">
            <w:pPr>
              <w:pStyle w:val="ProjectTitle"/>
            </w:pPr>
            <w:sdt>
              <w:sdtPr>
                <w:alias w:val="Project Title"/>
                <w:tag w:val="Project Title"/>
                <w:id w:val="-1210796735"/>
                <w:placeholder>
                  <w:docPart w:val="5D915306C8884454893C3439841A07B2"/>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307A6E" w:rsidRPr="003A0C5C">
                  <w:t>21611 Perry Street Self-Storage project</w:t>
                </w:r>
              </w:sdtContent>
            </w:sdt>
          </w:p>
          <w:p w14:paraId="7248B39B" w14:textId="01CDD39B" w:rsidR="00CE20B1" w:rsidRPr="003A0C5C" w:rsidRDefault="002348BC" w:rsidP="00E1297F">
            <w:pPr>
              <w:pStyle w:val="TypeofServices"/>
            </w:pPr>
            <w:sdt>
              <w:sdtPr>
                <w:alias w:val="Type of Services"/>
                <w:tag w:val="Type of Services"/>
                <w:id w:val="2038239366"/>
                <w:placeholder>
                  <w:docPart w:val="EE2CD40723C747CE9DD773D847ED3117"/>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307A6E" w:rsidRPr="003A0C5C">
                  <w:t>Initial Study/Mitigated Negative Declaration</w:t>
                </w:r>
              </w:sdtContent>
            </w:sdt>
          </w:p>
        </w:tc>
      </w:tr>
      <w:tr w:rsidR="003A0C5C" w:rsidRPr="003A0C5C" w14:paraId="35F5AB0F" w14:textId="77777777" w:rsidTr="00097C9C">
        <w:trPr>
          <w:trHeight w:hRule="exact" w:val="1341"/>
        </w:trPr>
        <w:tc>
          <w:tcPr>
            <w:tcW w:w="10620" w:type="dxa"/>
            <w:tcBorders>
              <w:top w:val="nil"/>
              <w:left w:val="nil"/>
              <w:bottom w:val="nil"/>
              <w:right w:val="nil"/>
            </w:tcBorders>
          </w:tcPr>
          <w:p w14:paraId="48EAF553" w14:textId="7D4C17EA" w:rsidR="00CE20B1" w:rsidRPr="003A0C5C" w:rsidRDefault="00CE20B1" w:rsidP="00133AD7">
            <w:pPr>
              <w:tabs>
                <w:tab w:val="left" w:pos="6826"/>
              </w:tabs>
              <w:spacing w:after="40"/>
              <w:ind w:left="1267"/>
              <w:rPr>
                <w:rFonts w:ascii="HelveticaNeueLT Std Thin" w:hAnsi="HelveticaNeueLT Std Thin"/>
                <w:b/>
                <w:sz w:val="20"/>
              </w:rPr>
            </w:pPr>
            <w:r w:rsidRPr="003A0C5C">
              <w:rPr>
                <w:rFonts w:ascii="HelveticaNeueLT Std Thin" w:hAnsi="HelveticaNeueLT Std Thin"/>
                <w:b/>
                <w:sz w:val="20"/>
              </w:rPr>
              <w:t>Prepared for</w:t>
            </w:r>
            <w:r w:rsidRPr="003A0C5C">
              <w:rPr>
                <w:rFonts w:ascii="HelveticaNeueLT Std Thin" w:hAnsi="HelveticaNeueLT Std Thin"/>
                <w:b/>
                <w:sz w:val="20"/>
              </w:rPr>
              <w:tab/>
            </w:r>
            <w:sdt>
              <w:sdtPr>
                <w:rPr>
                  <w:rFonts w:ascii="HelveticaNeueLT Std Thin" w:hAnsi="HelveticaNeueLT Std Thin"/>
                  <w:b/>
                  <w:sz w:val="20"/>
                </w:rPr>
                <w:alias w:val="Date"/>
                <w:tag w:val="Date"/>
                <w:id w:val="883758063"/>
                <w:lock w:val="sdtLocked"/>
                <w:placeholder>
                  <w:docPart w:val="25651217A77A456BA08158884A5D3D87"/>
                </w:placeholder>
                <w:dataBinding w:prefixMappings="xmlns:ns0='http://purl.org/dc/elements/1.1/' xmlns:ns1='http://schemas.openxmlformats.org/package/2006/metadata/core-properties' " w:xpath="/ns1:coreProperties[1]/ns1:category[1]" w:storeItemID="{6C3C8BC8-F283-45AE-878A-BAB7291924A1}"/>
                <w:text/>
              </w:sdtPr>
              <w:sdtEndPr/>
              <w:sdtContent>
                <w:r w:rsidR="005B19BF" w:rsidRPr="003A0C5C">
                  <w:rPr>
                    <w:rFonts w:ascii="HelveticaNeueLT Std Thin" w:hAnsi="HelveticaNeueLT Std Thin"/>
                    <w:b/>
                    <w:sz w:val="20"/>
                  </w:rPr>
                  <w:t>May</w:t>
                </w:r>
                <w:r w:rsidR="00307A6E" w:rsidRPr="003A0C5C">
                  <w:rPr>
                    <w:rFonts w:ascii="HelveticaNeueLT Std Thin" w:hAnsi="HelveticaNeueLT Std Thin"/>
                    <w:b/>
                    <w:sz w:val="20"/>
                  </w:rPr>
                  <w:t xml:space="preserve"> 2022</w:t>
                </w:r>
              </w:sdtContent>
            </w:sdt>
          </w:p>
          <w:sdt>
            <w:sdtPr>
              <w:rPr>
                <w:rFonts w:ascii="HelveticaNeueLT Std Thin" w:hAnsi="HelveticaNeueLT Std Thin"/>
                <w:b/>
                <w:sz w:val="20"/>
              </w:rPr>
              <w:alias w:val="Client Name"/>
              <w:tag w:val="Client Name"/>
              <w:id w:val="1737819422"/>
              <w:placeholder>
                <w:docPart w:val="67A2917B20A444B0B6DCDE146D6AB240"/>
              </w:placeholder>
              <w:dataBinding w:prefixMappings="xmlns:ns0='http://schemas.openxmlformats.org/officeDocument/2006/extended-properties' " w:xpath="/ns0:Properties[1]/ns0:Manager[1]" w:storeItemID="{6668398D-A668-4E3E-A5EB-62B293D839F1}"/>
              <w:text w:multiLine="1"/>
            </w:sdtPr>
            <w:sdtEndPr/>
            <w:sdtContent>
              <w:p w14:paraId="78D246DE" w14:textId="0FAB5C22" w:rsidR="0042351F" w:rsidRPr="003A0C5C" w:rsidRDefault="00307A6E" w:rsidP="00571990">
                <w:pPr>
                  <w:tabs>
                    <w:tab w:val="left" w:pos="6300"/>
                  </w:tabs>
                  <w:ind w:left="1267" w:right="5566"/>
                  <w:rPr>
                    <w:rFonts w:ascii="HelveticaNeueLT Std Thin" w:hAnsi="HelveticaNeueLT Std Thin"/>
                    <w:b/>
                    <w:sz w:val="20"/>
                  </w:rPr>
                </w:pPr>
                <w:r w:rsidRPr="003A0C5C">
                  <w:rPr>
                    <w:rFonts w:ascii="HelveticaNeueLT Std Thin" w:hAnsi="HelveticaNeueLT Std Thin"/>
                    <w:b/>
                    <w:sz w:val="20"/>
                  </w:rPr>
                  <w:t>City of Carson</w:t>
                </w:r>
              </w:p>
            </w:sdtContent>
          </w:sdt>
        </w:tc>
      </w:tr>
      <w:tr w:rsidR="00FB07B9" w:rsidRPr="003A0C5C" w14:paraId="7ED6C747" w14:textId="77777777" w:rsidTr="00FB07B9">
        <w:trPr>
          <w:trHeight w:hRule="exact" w:val="1161"/>
        </w:trPr>
        <w:sdt>
          <w:sdtPr>
            <w:rPr>
              <w:rFonts w:ascii="HelveticaNeueLT Std" w:hAnsi="HelveticaNeueLT Std"/>
            </w:rPr>
            <w:alias w:val="ESA Logo"/>
            <w:tag w:val="ESA Logo"/>
            <w:id w:val="1623648828"/>
            <w:placeholder>
              <w:docPart w:val="9A1E0AD985F74FB3AF993859DF93407F"/>
            </w:placeholder>
            <w:docPartList>
              <w:docPartGallery w:val="AutoText"/>
              <w:docPartCategory w:val="ESA Logo"/>
            </w:docPartList>
          </w:sdtPr>
          <w:sdtEndPr/>
          <w:sdtContent>
            <w:tc>
              <w:tcPr>
                <w:tcW w:w="10620" w:type="dxa"/>
                <w:tcBorders>
                  <w:top w:val="nil"/>
                  <w:left w:val="nil"/>
                  <w:bottom w:val="nil"/>
                  <w:right w:val="nil"/>
                </w:tcBorders>
                <w:vAlign w:val="center"/>
              </w:tcPr>
              <w:p w14:paraId="2CB03465" w14:textId="276AF9F0" w:rsidR="00FB07B9" w:rsidRPr="003A0C5C" w:rsidRDefault="007B7418" w:rsidP="00097C9C">
                <w:pPr>
                  <w:tabs>
                    <w:tab w:val="left" w:pos="6826"/>
                  </w:tabs>
                  <w:ind w:left="1267" w:right="72"/>
                  <w:jc w:val="right"/>
                  <w:rPr>
                    <w:rFonts w:ascii="HelveticaNeueLT Std" w:hAnsi="HelveticaNeueLT Std"/>
                  </w:rPr>
                </w:pPr>
                <w:r w:rsidRPr="003A0C5C">
                  <w:rPr>
                    <w:rFonts w:ascii="HelveticaNeueLT Std" w:hAnsi="HelveticaNeueLT Std"/>
                    <w:noProof/>
                    <w:sz w:val="20"/>
                  </w:rPr>
                  <w:drawing>
                    <wp:inline distT="0" distB="0" distL="0" distR="0" wp14:anchorId="22739E05" wp14:editId="4881F8E9">
                      <wp:extent cx="808231" cy="493776"/>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A_Logo.emf"/>
                              <pic:cNvPicPr/>
                            </pic:nvPicPr>
                            <pic:blipFill>
                              <a:blip r:embed="rId12">
                                <a:extLst>
                                  <a:ext uri="{28A0092B-C50C-407E-A947-70E740481C1C}">
                                    <a14:useLocalDpi xmlns:a14="http://schemas.microsoft.com/office/drawing/2010/main" val="0"/>
                                  </a:ext>
                                </a:extLst>
                              </a:blip>
                              <a:stretch>
                                <a:fillRect/>
                              </a:stretch>
                            </pic:blipFill>
                            <pic:spPr>
                              <a:xfrm>
                                <a:off x="0" y="0"/>
                                <a:ext cx="808231" cy="493776"/>
                              </a:xfrm>
                              <a:prstGeom prst="rect">
                                <a:avLst/>
                              </a:prstGeom>
                            </pic:spPr>
                          </pic:pic>
                        </a:graphicData>
                      </a:graphic>
                    </wp:inline>
                  </w:drawing>
                </w:r>
              </w:p>
            </w:tc>
          </w:sdtContent>
        </w:sdt>
      </w:tr>
    </w:tbl>
    <w:p w14:paraId="10A7DEAA" w14:textId="77777777" w:rsidR="00CE20B1" w:rsidRPr="003A0C5C" w:rsidRDefault="00CE20B1" w:rsidP="00CE20B1">
      <w:pPr>
        <w:tabs>
          <w:tab w:val="left" w:pos="6300"/>
        </w:tabs>
        <w:rPr>
          <w:rFonts w:ascii="HelveticaNeueLT Std" w:hAnsi="HelveticaNeueLT Std"/>
          <w:sz w:val="20"/>
        </w:rPr>
      </w:pPr>
    </w:p>
    <w:p w14:paraId="1315DA94" w14:textId="77777777" w:rsidR="00CE20B1" w:rsidRPr="003A0C5C" w:rsidRDefault="00CE20B1" w:rsidP="00CE20B1">
      <w:pPr>
        <w:tabs>
          <w:tab w:val="left" w:pos="6300"/>
        </w:tabs>
        <w:rPr>
          <w:rFonts w:ascii="HelveticaNeueLT Std" w:hAnsi="HelveticaNeueLT Std"/>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710"/>
      </w:tblGrid>
      <w:tr w:rsidR="003A0C5C" w:rsidRPr="003A0C5C" w14:paraId="6BA33C44" w14:textId="77777777" w:rsidTr="003F2F2D">
        <w:trPr>
          <w:cantSplit/>
          <w:trHeight w:val="6480"/>
        </w:trPr>
        <w:tc>
          <w:tcPr>
            <w:tcW w:w="10710" w:type="dxa"/>
            <w:tcBorders>
              <w:top w:val="nil"/>
              <w:left w:val="nil"/>
              <w:bottom w:val="nil"/>
              <w:right w:val="nil"/>
            </w:tcBorders>
            <w:shd w:val="clear" w:color="auto" w:fill="auto"/>
          </w:tcPr>
          <w:p w14:paraId="486F29CB" w14:textId="77777777" w:rsidR="00CE20B1" w:rsidRPr="003A0C5C" w:rsidRDefault="00CE20B1" w:rsidP="00133AD7">
            <w:pPr>
              <w:tabs>
                <w:tab w:val="left" w:pos="6300"/>
              </w:tabs>
              <w:jc w:val="center"/>
              <w:rPr>
                <w:rFonts w:ascii="HelveticaNeueLT Std" w:hAnsi="HelveticaNeueLT Std"/>
              </w:rPr>
            </w:pPr>
          </w:p>
        </w:tc>
      </w:tr>
    </w:tbl>
    <w:p w14:paraId="704BEFA4" w14:textId="77777777" w:rsidR="00CE20B1" w:rsidRPr="003A0C5C" w:rsidRDefault="00CE20B1" w:rsidP="0031316C">
      <w:pPr>
        <w:sectPr w:rsidR="00CE20B1" w:rsidRPr="003A0C5C" w:rsidSect="00097C9C">
          <w:headerReference w:type="even" r:id="rId13"/>
          <w:headerReference w:type="first" r:id="rId14"/>
          <w:pgSz w:w="12240" w:h="15840" w:code="1"/>
          <w:pgMar w:top="1296" w:right="720" w:bottom="432" w:left="720" w:header="720" w:footer="432" w:gutter="0"/>
          <w:cols w:space="720"/>
          <w:titlePg/>
          <w:docGrid w:linePitch="360"/>
        </w:sectPr>
      </w:pPr>
    </w:p>
    <w:tbl>
      <w:tblPr>
        <w:tblW w:w="0" w:type="auto"/>
        <w:tblInd w:w="14" w:type="dxa"/>
        <w:tblLayout w:type="fixed"/>
        <w:tblCellMar>
          <w:left w:w="14" w:type="dxa"/>
          <w:right w:w="14" w:type="dxa"/>
        </w:tblCellMar>
        <w:tblLook w:val="01E0" w:firstRow="1" w:lastRow="1" w:firstColumn="1" w:lastColumn="1" w:noHBand="0" w:noVBand="0"/>
      </w:tblPr>
      <w:tblGrid>
        <w:gridCol w:w="2700"/>
        <w:gridCol w:w="1350"/>
        <w:gridCol w:w="2250"/>
        <w:gridCol w:w="4320"/>
      </w:tblGrid>
      <w:tr w:rsidR="003A0C5C" w:rsidRPr="003A0C5C" w14:paraId="11C94217" w14:textId="77777777" w:rsidTr="00EE30DB">
        <w:trPr>
          <w:cantSplit/>
          <w:trHeight w:val="4239"/>
        </w:trPr>
        <w:tc>
          <w:tcPr>
            <w:tcW w:w="10620" w:type="dxa"/>
            <w:gridSpan w:val="4"/>
          </w:tcPr>
          <w:p w14:paraId="2C3558FF" w14:textId="46AE6969" w:rsidR="00D74BE1" w:rsidRPr="003A0C5C" w:rsidRDefault="002348BC" w:rsidP="009E6D97">
            <w:pPr>
              <w:pStyle w:val="TypeofDocument"/>
            </w:pPr>
            <w:sdt>
              <w:sdtPr>
                <w:alias w:val="Report Phase"/>
                <w:tag w:val="Report Phase"/>
                <w:id w:val="-76982831"/>
                <w:placeholder>
                  <w:docPart w:val="398F2DD456884AA6B310DECEBECA3E41"/>
                </w:placeholder>
                <w:dataBinding w:prefixMappings="xmlns:ns0='http://purl.org/dc/elements/1.1/' xmlns:ns1='http://schemas.openxmlformats.org/package/2006/metadata/core-properties' " w:xpath="/ns1:coreProperties[1]/ns1:contentStatus[1]" w:storeItemID="{6C3C8BC8-F283-45AE-878A-BAB7291924A1}"/>
                <w:text w:multiLine="1"/>
              </w:sdtPr>
              <w:sdtEndPr/>
              <w:sdtContent>
                <w:r w:rsidR="007F29B2">
                  <w:t>Public Review Draft</w:t>
                </w:r>
              </w:sdtContent>
            </w:sdt>
          </w:p>
          <w:p w14:paraId="15A3F034" w14:textId="479B314C" w:rsidR="00D74BE1" w:rsidRPr="003A0C5C" w:rsidRDefault="002348BC" w:rsidP="009E6D97">
            <w:pPr>
              <w:pStyle w:val="ProjectTitle"/>
            </w:pPr>
            <w:sdt>
              <w:sdtPr>
                <w:alias w:val="Project Title"/>
                <w:tag w:val="Project Title"/>
                <w:id w:val="695818090"/>
                <w:placeholder>
                  <w:docPart w:val="4D16CECC71444CABAAD0A9230B853F06"/>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307A6E" w:rsidRPr="003A0C5C">
                  <w:t>21611 Perry Street Self-Storage project</w:t>
                </w:r>
              </w:sdtContent>
            </w:sdt>
          </w:p>
          <w:p w14:paraId="4D42ABE5" w14:textId="0255CE73" w:rsidR="00D74BE1" w:rsidRPr="003A0C5C" w:rsidRDefault="002348BC" w:rsidP="009E6D97">
            <w:pPr>
              <w:pStyle w:val="TypeofServices"/>
            </w:pPr>
            <w:sdt>
              <w:sdtPr>
                <w:alias w:val="Type of Services"/>
                <w:tag w:val="Type of Services"/>
                <w:id w:val="-939444969"/>
                <w:placeholder>
                  <w:docPart w:val="D93CE709A14B41A0813E6EE7B498B7AA"/>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307A6E" w:rsidRPr="003A0C5C">
                  <w:t>Initial Study/Mitigated Negative Declaration</w:t>
                </w:r>
              </w:sdtContent>
            </w:sdt>
          </w:p>
        </w:tc>
      </w:tr>
      <w:tr w:rsidR="003A0C5C" w:rsidRPr="003A0C5C" w14:paraId="6994D2DC" w14:textId="77777777" w:rsidTr="00BE308F">
        <w:trPr>
          <w:cantSplit/>
          <w:trHeight w:val="6012"/>
        </w:trPr>
        <w:tc>
          <w:tcPr>
            <w:tcW w:w="10620" w:type="dxa"/>
            <w:gridSpan w:val="4"/>
          </w:tcPr>
          <w:p w14:paraId="70F93449" w14:textId="512F6EF4" w:rsidR="00D74BE1" w:rsidRPr="003A0C5C" w:rsidRDefault="00D74BE1" w:rsidP="00133AD7">
            <w:pPr>
              <w:tabs>
                <w:tab w:val="left" w:pos="7186"/>
              </w:tabs>
              <w:spacing w:after="40"/>
              <w:ind w:left="1267"/>
              <w:rPr>
                <w:rFonts w:ascii="HelveticaNeueLT Std Thin" w:hAnsi="HelveticaNeueLT Std Thin"/>
                <w:b/>
                <w:sz w:val="20"/>
              </w:rPr>
            </w:pPr>
            <w:r w:rsidRPr="003A0C5C">
              <w:rPr>
                <w:rFonts w:ascii="HelveticaNeueLT Std Thin" w:hAnsi="HelveticaNeueLT Std Thin"/>
                <w:b/>
                <w:sz w:val="20"/>
              </w:rPr>
              <w:t>Prepared for</w:t>
            </w:r>
            <w:r w:rsidRPr="003A0C5C">
              <w:rPr>
                <w:rFonts w:ascii="HelveticaNeueLT Std Thin" w:hAnsi="HelveticaNeueLT Std Thin"/>
                <w:b/>
                <w:sz w:val="20"/>
              </w:rPr>
              <w:tab/>
            </w:r>
            <w:sdt>
              <w:sdtPr>
                <w:rPr>
                  <w:rFonts w:ascii="HelveticaNeueLT Std Thin" w:hAnsi="HelveticaNeueLT Std Thin"/>
                  <w:b/>
                  <w:sz w:val="20"/>
                </w:rPr>
                <w:alias w:val="Date"/>
                <w:tag w:val="Date"/>
                <w:id w:val="340288824"/>
                <w:placeholder>
                  <w:docPart w:val="A7DBB6282CE94BB697886F28AEA9F8BF"/>
                </w:placeholder>
                <w:dataBinding w:prefixMappings="xmlns:ns0='http://purl.org/dc/elements/1.1/' xmlns:ns1='http://schemas.openxmlformats.org/package/2006/metadata/core-properties' " w:xpath="/ns1:coreProperties[1]/ns1:category[1]" w:storeItemID="{6C3C8BC8-F283-45AE-878A-BAB7291924A1}"/>
                <w:text/>
              </w:sdtPr>
              <w:sdtEndPr/>
              <w:sdtContent>
                <w:r w:rsidR="005B19BF" w:rsidRPr="003A0C5C">
                  <w:rPr>
                    <w:rFonts w:ascii="HelveticaNeueLT Std Thin" w:hAnsi="HelveticaNeueLT Std Thin"/>
                    <w:b/>
                    <w:sz w:val="20"/>
                  </w:rPr>
                  <w:t>May 2022</w:t>
                </w:r>
              </w:sdtContent>
            </w:sdt>
          </w:p>
          <w:sdt>
            <w:sdtPr>
              <w:rPr>
                <w:rFonts w:ascii="HelveticaNeueLT Std Thin" w:hAnsi="HelveticaNeueLT Std Thin"/>
                <w:b/>
                <w:sz w:val="20"/>
              </w:rPr>
              <w:alias w:val="Client Name"/>
              <w:tag w:val="Client Name"/>
              <w:id w:val="1688019017"/>
              <w:placeholder>
                <w:docPart w:val="5FE568E567DB40D688F29A9D4DA9B8C7"/>
              </w:placeholder>
              <w:dataBinding w:prefixMappings="xmlns:ns0='http://schemas.openxmlformats.org/officeDocument/2006/extended-properties' " w:xpath="/ns0:Properties[1]/ns0:Manager[1]" w:storeItemID="{6668398D-A668-4E3E-A5EB-62B293D839F1}"/>
              <w:text w:multiLine="1"/>
            </w:sdtPr>
            <w:sdtEndPr/>
            <w:sdtContent>
              <w:p w14:paraId="2357BCBF" w14:textId="7A9453FC" w:rsidR="00D74BE1" w:rsidRPr="003A0C5C" w:rsidRDefault="00307A6E" w:rsidP="00133AD7">
                <w:pPr>
                  <w:tabs>
                    <w:tab w:val="left" w:pos="6480"/>
                  </w:tabs>
                  <w:ind w:left="1246" w:right="5566"/>
                  <w:rPr>
                    <w:rFonts w:ascii="HelveticaNeueLT Std Thin" w:hAnsi="HelveticaNeueLT Std Thin"/>
                    <w:b/>
                    <w:sz w:val="20"/>
                  </w:rPr>
                </w:pPr>
                <w:r w:rsidRPr="003A0C5C">
                  <w:rPr>
                    <w:rFonts w:ascii="HelveticaNeueLT Std Thin" w:hAnsi="HelveticaNeueLT Std Thin"/>
                    <w:b/>
                    <w:sz w:val="20"/>
                  </w:rPr>
                  <w:t>City of Carson</w:t>
                </w:r>
              </w:p>
            </w:sdtContent>
          </w:sdt>
          <w:p w14:paraId="5EDE2A22" w14:textId="167ADA48" w:rsidR="00F92AE1" w:rsidRPr="003A0C5C" w:rsidRDefault="0075352D" w:rsidP="003520B1">
            <w:pPr>
              <w:tabs>
                <w:tab w:val="left" w:pos="6480"/>
              </w:tabs>
              <w:ind w:left="1253" w:right="3744"/>
              <w:rPr>
                <w:rFonts w:ascii="HelveticaNeueLT Std Thin" w:hAnsi="HelveticaNeueLT Std Thin"/>
                <w:b/>
                <w:sz w:val="20"/>
              </w:rPr>
            </w:pPr>
            <w:r w:rsidRPr="003A0C5C">
              <w:rPr>
                <w:rFonts w:ascii="HelveticaNeueLT Std Thin" w:hAnsi="HelveticaNeueLT Std Thin"/>
                <w:b/>
                <w:sz w:val="20"/>
              </w:rPr>
              <w:t>Conta</w:t>
            </w:r>
            <w:r w:rsidR="005F2CBE" w:rsidRPr="003A0C5C">
              <w:rPr>
                <w:rFonts w:ascii="HelveticaNeueLT Std Thin" w:hAnsi="HelveticaNeueLT Std Thin"/>
                <w:b/>
                <w:sz w:val="20"/>
              </w:rPr>
              <w:t xml:space="preserve">ct: </w:t>
            </w:r>
            <w:r w:rsidR="0064430F" w:rsidRPr="003A0C5C">
              <w:rPr>
                <w:rFonts w:ascii="HelveticaNeueLT Std Thin" w:hAnsi="HelveticaNeueLT Std Thin"/>
                <w:b/>
                <w:sz w:val="20"/>
              </w:rPr>
              <w:t xml:space="preserve">Stefanie Edmondson, </w:t>
            </w:r>
            <w:r w:rsidR="007905DE" w:rsidRPr="003A0C5C">
              <w:rPr>
                <w:rFonts w:ascii="HelveticaNeueLT Std Thin" w:hAnsi="HelveticaNeueLT Std Thin"/>
                <w:b/>
                <w:sz w:val="20"/>
              </w:rPr>
              <w:t xml:space="preserve">AICP, </w:t>
            </w:r>
            <w:r w:rsidR="0064430F" w:rsidRPr="003A0C5C">
              <w:rPr>
                <w:rFonts w:ascii="HelveticaNeueLT Std Thin" w:hAnsi="HelveticaNeueLT Std Thin"/>
                <w:b/>
                <w:sz w:val="20"/>
              </w:rPr>
              <w:t xml:space="preserve">Senior </w:t>
            </w:r>
            <w:r w:rsidR="00CC2CE7" w:rsidRPr="003A0C5C">
              <w:rPr>
                <w:rFonts w:ascii="HelveticaNeueLT Std Thin" w:hAnsi="HelveticaNeueLT Std Thin"/>
                <w:b/>
                <w:sz w:val="20"/>
              </w:rPr>
              <w:t>Planner</w:t>
            </w:r>
          </w:p>
          <w:p w14:paraId="68DCA9FC" w14:textId="12BEAB31" w:rsidR="0075352D" w:rsidRPr="003A0C5C" w:rsidRDefault="0075352D" w:rsidP="0075352D">
            <w:pPr>
              <w:tabs>
                <w:tab w:val="left" w:pos="6480"/>
              </w:tabs>
              <w:ind w:left="1246" w:right="5566"/>
              <w:rPr>
                <w:rFonts w:ascii="HelveticaNeueLT Std Thin" w:hAnsi="HelveticaNeueLT Std Thin"/>
                <w:b/>
                <w:sz w:val="20"/>
              </w:rPr>
            </w:pPr>
            <w:r w:rsidRPr="003A0C5C">
              <w:rPr>
                <w:rFonts w:ascii="HelveticaNeueLT Std Thin" w:hAnsi="HelveticaNeueLT Std Thin"/>
                <w:b/>
                <w:sz w:val="20"/>
              </w:rPr>
              <w:t>701 E</w:t>
            </w:r>
            <w:r w:rsidR="005F23E3" w:rsidRPr="003A0C5C">
              <w:rPr>
                <w:rFonts w:ascii="HelveticaNeueLT Std Thin" w:hAnsi="HelveticaNeueLT Std Thin"/>
                <w:b/>
                <w:sz w:val="20"/>
              </w:rPr>
              <w:t>ast</w:t>
            </w:r>
            <w:r w:rsidRPr="003A0C5C">
              <w:rPr>
                <w:rFonts w:ascii="HelveticaNeueLT Std Thin" w:hAnsi="HelveticaNeueLT Std Thin"/>
                <w:b/>
                <w:sz w:val="20"/>
              </w:rPr>
              <w:t xml:space="preserve"> Carson Street</w:t>
            </w:r>
          </w:p>
          <w:p w14:paraId="72AB2553" w14:textId="77777777" w:rsidR="00F92AE1" w:rsidRPr="003A0C5C" w:rsidRDefault="0075352D" w:rsidP="0075352D">
            <w:pPr>
              <w:tabs>
                <w:tab w:val="left" w:pos="6480"/>
              </w:tabs>
              <w:ind w:left="1246" w:right="5566"/>
              <w:rPr>
                <w:rFonts w:ascii="HelveticaNeueLT Std Thin" w:hAnsi="HelveticaNeueLT Std Thin"/>
                <w:b/>
                <w:sz w:val="20"/>
              </w:rPr>
            </w:pPr>
            <w:r w:rsidRPr="003A0C5C">
              <w:rPr>
                <w:rFonts w:ascii="HelveticaNeueLT Std Thin" w:hAnsi="HelveticaNeueLT Std Thin"/>
                <w:b/>
                <w:sz w:val="20"/>
              </w:rPr>
              <w:t>Carson, CA 90745</w:t>
            </w:r>
          </w:p>
          <w:p w14:paraId="57844299" w14:textId="0C0338EA" w:rsidR="0075352D" w:rsidRPr="003A0C5C" w:rsidRDefault="00E6125B" w:rsidP="0075352D">
            <w:pPr>
              <w:tabs>
                <w:tab w:val="left" w:pos="6480"/>
              </w:tabs>
              <w:ind w:left="1246" w:right="5566"/>
              <w:rPr>
                <w:rFonts w:ascii="HelveticaNeueLT Std Thin" w:hAnsi="HelveticaNeueLT Std Thin"/>
                <w:b/>
                <w:sz w:val="20"/>
              </w:rPr>
            </w:pPr>
            <w:r w:rsidRPr="003A0C5C">
              <w:rPr>
                <w:rFonts w:ascii="HelveticaNeueLT Std Thin" w:hAnsi="HelveticaNeueLT Std Thin"/>
                <w:b/>
                <w:sz w:val="20"/>
              </w:rPr>
              <w:t>310.</w:t>
            </w:r>
            <w:r w:rsidR="005F2EF9" w:rsidRPr="003A0C5C">
              <w:rPr>
                <w:rFonts w:ascii="HelveticaNeueLT Std Thin" w:hAnsi="HelveticaNeueLT Std Thin"/>
                <w:b/>
                <w:sz w:val="20"/>
              </w:rPr>
              <w:t>952.1761</w:t>
            </w:r>
          </w:p>
          <w:p w14:paraId="07FBC984" w14:textId="2C926987" w:rsidR="0075352D" w:rsidRPr="003A0C5C" w:rsidRDefault="0064430F" w:rsidP="0075352D">
            <w:pPr>
              <w:tabs>
                <w:tab w:val="left" w:pos="6480"/>
              </w:tabs>
              <w:ind w:left="1246" w:right="5566"/>
              <w:rPr>
                <w:rFonts w:ascii="HelveticaNeueLT Std Thin" w:hAnsi="HelveticaNeueLT Std Thin"/>
                <w:b/>
                <w:sz w:val="20"/>
              </w:rPr>
            </w:pPr>
            <w:r w:rsidRPr="003A0C5C">
              <w:rPr>
                <w:rFonts w:ascii="HelveticaNeueLT Std Thin" w:hAnsi="HelveticaNeueLT Std Thin"/>
                <w:b/>
                <w:sz w:val="20"/>
              </w:rPr>
              <w:t>sedmondson</w:t>
            </w:r>
            <w:r w:rsidR="0075352D" w:rsidRPr="003A0C5C">
              <w:rPr>
                <w:rFonts w:ascii="HelveticaNeueLT Std Thin" w:hAnsi="HelveticaNeueLT Std Thin"/>
                <w:b/>
                <w:sz w:val="20"/>
              </w:rPr>
              <w:t>@carsonca.gov</w:t>
            </w:r>
          </w:p>
          <w:p w14:paraId="616E8FF0" w14:textId="77777777" w:rsidR="00DA66D8" w:rsidRPr="003A0C5C" w:rsidRDefault="00DA66D8" w:rsidP="0075352D">
            <w:pPr>
              <w:tabs>
                <w:tab w:val="left" w:pos="6480"/>
              </w:tabs>
              <w:ind w:left="1246" w:right="5566"/>
              <w:rPr>
                <w:rFonts w:ascii="HelveticaNeueLT Std Thin" w:hAnsi="HelveticaNeueLT Std Thin"/>
                <w:b/>
                <w:sz w:val="20"/>
              </w:rPr>
            </w:pPr>
          </w:p>
        </w:tc>
      </w:tr>
      <w:tr w:rsidR="003A0C5C" w:rsidRPr="003A0C5C" w14:paraId="5EE452F5" w14:textId="77777777" w:rsidTr="00133AD7">
        <w:trPr>
          <w:cantSplit/>
        </w:trPr>
        <w:tc>
          <w:tcPr>
            <w:tcW w:w="6300" w:type="dxa"/>
            <w:gridSpan w:val="3"/>
            <w:vAlign w:val="center"/>
          </w:tcPr>
          <w:sdt>
            <w:sdtPr>
              <w:alias w:val="ESA Office Address"/>
              <w:tag w:val="ESA Office Address"/>
              <w:id w:val="-669018219"/>
              <w:placeholder>
                <w:docPart w:val="70E2A872458149CEA5E8058E8C0C4E03"/>
              </w:placeholder>
              <w:docPartList>
                <w:docPartGallery w:val="Quick Parts"/>
                <w:docPartCategory w:val="ESA Offices"/>
              </w:docPartList>
            </w:sdtPr>
            <w:sdtEndPr/>
            <w:sdtContent>
              <w:p w14:paraId="0D6A389D" w14:textId="4E56C96D" w:rsidR="00606BFF" w:rsidRPr="003A0C5C" w:rsidRDefault="0075352D" w:rsidP="00D36FE5">
                <w:pPr>
                  <w:pStyle w:val="Offices"/>
                  <w:spacing w:after="240"/>
                  <w:ind w:left="1267"/>
                </w:pPr>
                <w:r w:rsidRPr="003A0C5C">
                  <w:t>626 Wilshire Boulevard</w:t>
                </w:r>
                <w:r w:rsidRPr="003A0C5C">
                  <w:br/>
                  <w:t>Suite 1100</w:t>
                </w:r>
                <w:r w:rsidRPr="003A0C5C">
                  <w:br/>
                  <w:t>Los Angeles, CA</w:t>
                </w:r>
                <w:r w:rsidR="00470C54" w:rsidRPr="003A0C5C">
                  <w:t xml:space="preserve"> </w:t>
                </w:r>
                <w:r w:rsidRPr="003A0C5C">
                  <w:t>90017</w:t>
                </w:r>
                <w:r w:rsidRPr="003A0C5C">
                  <w:br/>
                  <w:t>213.599.4300</w:t>
                </w:r>
                <w:r w:rsidRPr="003A0C5C">
                  <w:br/>
                  <w:t>esassoc.com</w:t>
                </w:r>
              </w:p>
            </w:sdtContent>
          </w:sdt>
        </w:tc>
        <w:tc>
          <w:tcPr>
            <w:tcW w:w="4320" w:type="dxa"/>
            <w:vMerge w:val="restart"/>
          </w:tcPr>
          <w:sdt>
            <w:sdtPr>
              <w:rPr>
                <w:rFonts w:ascii="HelveticaNeueLT Std" w:hAnsi="HelveticaNeueLT Std"/>
                <w:noProof/>
              </w:rPr>
              <w:alias w:val="ESA Logo"/>
              <w:tag w:val="ESA Logo"/>
              <w:id w:val="775600576"/>
              <w:placeholder>
                <w:docPart w:val="19D076232EAE4A8EB54D6ADEB41B3985"/>
              </w:placeholder>
              <w:docPartList>
                <w:docPartGallery w:val="AutoText"/>
                <w:docPartCategory w:val="ESA Logo"/>
              </w:docPartList>
            </w:sdtPr>
            <w:sdtEndPr/>
            <w:sdtContent>
              <w:p w14:paraId="7A6DBC78" w14:textId="633CB87D" w:rsidR="0090536F" w:rsidRPr="003A0C5C" w:rsidRDefault="0090536F" w:rsidP="00133AD7">
                <w:pPr>
                  <w:tabs>
                    <w:tab w:val="left" w:pos="6826"/>
                  </w:tabs>
                  <w:ind w:right="526"/>
                  <w:jc w:val="right"/>
                  <w:rPr>
                    <w:rFonts w:ascii="HelveticaNeueLT Std" w:hAnsi="HelveticaNeueLT Std"/>
                    <w:noProof/>
                  </w:rPr>
                </w:pPr>
                <w:r w:rsidRPr="003A0C5C">
                  <w:rPr>
                    <w:rFonts w:ascii="HelveticaNeueLT Std" w:hAnsi="HelveticaNeueLT Std"/>
                    <w:noProof/>
                  </w:rPr>
                  <w:drawing>
                    <wp:inline distT="0" distB="0" distL="0" distR="0" wp14:anchorId="3D36ED58" wp14:editId="7F3C159E">
                      <wp:extent cx="810538" cy="493776"/>
                      <wp:effectExtent l="0" t="0" r="889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a-bw.emf"/>
                              <pic:cNvPicPr/>
                            </pic:nvPicPr>
                            <pic:blipFill>
                              <a:blip r:embed="rId15">
                                <a:extLst>
                                  <a:ext uri="{28A0092B-C50C-407E-A947-70E740481C1C}">
                                    <a14:useLocalDpi xmlns:a14="http://schemas.microsoft.com/office/drawing/2010/main" val="0"/>
                                  </a:ext>
                                </a:extLst>
                              </a:blip>
                              <a:stretch>
                                <a:fillRect/>
                              </a:stretch>
                            </pic:blipFill>
                            <pic:spPr>
                              <a:xfrm>
                                <a:off x="0" y="0"/>
                                <a:ext cx="810538" cy="493776"/>
                              </a:xfrm>
                              <a:prstGeom prst="rect">
                                <a:avLst/>
                              </a:prstGeom>
                            </pic:spPr>
                          </pic:pic>
                        </a:graphicData>
                      </a:graphic>
                    </wp:inline>
                  </w:drawing>
                </w:r>
              </w:p>
            </w:sdtContent>
          </w:sdt>
        </w:tc>
      </w:tr>
      <w:tr w:rsidR="00DB12D7" w:rsidRPr="003A0C5C" w14:paraId="6378B06A" w14:textId="77777777" w:rsidTr="00807C27">
        <w:trPr>
          <w:cantSplit/>
          <w:trHeight w:val="1260"/>
        </w:trPr>
        <w:tc>
          <w:tcPr>
            <w:tcW w:w="2700" w:type="dxa"/>
            <w:vAlign w:val="center"/>
          </w:tcPr>
          <w:p w14:paraId="784F7B82" w14:textId="77777777" w:rsidR="00D04F84" w:rsidRPr="003A0C5C" w:rsidRDefault="00D04F84" w:rsidP="00133AD7">
            <w:pPr>
              <w:tabs>
                <w:tab w:val="left" w:pos="6480"/>
              </w:tabs>
              <w:spacing w:after="100"/>
              <w:ind w:left="1267"/>
              <w:rPr>
                <w:rFonts w:ascii="HelveticaNeueLT Std Thin" w:hAnsi="HelveticaNeueLT Std Thin"/>
                <w:b/>
                <w:sz w:val="14"/>
                <w:szCs w:val="14"/>
              </w:rPr>
            </w:pPr>
            <w:r w:rsidRPr="003A0C5C">
              <w:rPr>
                <w:rFonts w:ascii="HelveticaNeueLT Std Thin" w:hAnsi="HelveticaNeueLT Std Thin"/>
                <w:b/>
                <w:sz w:val="14"/>
                <w:szCs w:val="14"/>
              </w:rPr>
              <w:t>Bend</w:t>
            </w:r>
          </w:p>
          <w:p w14:paraId="1C4229C2" w14:textId="77777777" w:rsidR="00DB12D7" w:rsidRPr="003A0C5C" w:rsidRDefault="00DB12D7" w:rsidP="00133AD7">
            <w:pPr>
              <w:tabs>
                <w:tab w:val="left" w:pos="6480"/>
              </w:tabs>
              <w:spacing w:after="100"/>
              <w:ind w:left="1267"/>
              <w:rPr>
                <w:rFonts w:ascii="HelveticaNeueLT Std Thin" w:hAnsi="HelveticaNeueLT Std Thin"/>
                <w:b/>
                <w:sz w:val="14"/>
                <w:szCs w:val="14"/>
              </w:rPr>
            </w:pPr>
            <w:r w:rsidRPr="003A0C5C">
              <w:rPr>
                <w:rFonts w:ascii="HelveticaNeueLT Std Thin" w:hAnsi="HelveticaNeueLT Std Thin"/>
                <w:b/>
                <w:sz w:val="14"/>
                <w:szCs w:val="14"/>
              </w:rPr>
              <w:t>Camarillo</w:t>
            </w:r>
          </w:p>
          <w:p w14:paraId="3148B0F3" w14:textId="77777777" w:rsidR="00DB12D7" w:rsidRPr="003A0C5C" w:rsidRDefault="00DB12D7" w:rsidP="00133AD7">
            <w:pPr>
              <w:tabs>
                <w:tab w:val="left" w:pos="6480"/>
              </w:tabs>
              <w:spacing w:after="100"/>
              <w:ind w:left="1267"/>
              <w:rPr>
                <w:rFonts w:ascii="HelveticaNeueLT Std Thin" w:hAnsi="HelveticaNeueLT Std Thin"/>
                <w:b/>
                <w:sz w:val="14"/>
                <w:szCs w:val="14"/>
              </w:rPr>
            </w:pPr>
            <w:r w:rsidRPr="003A0C5C">
              <w:rPr>
                <w:rFonts w:ascii="HelveticaNeueLT Std Thin" w:hAnsi="HelveticaNeueLT Std Thin"/>
                <w:b/>
                <w:sz w:val="14"/>
                <w:szCs w:val="14"/>
              </w:rPr>
              <w:t>Delray Beach</w:t>
            </w:r>
          </w:p>
          <w:p w14:paraId="4CB919F7" w14:textId="77777777" w:rsidR="00DB12D7" w:rsidRPr="003A0C5C" w:rsidRDefault="00DB12D7" w:rsidP="00133AD7">
            <w:pPr>
              <w:tabs>
                <w:tab w:val="left" w:pos="6480"/>
              </w:tabs>
              <w:spacing w:after="100"/>
              <w:ind w:left="1267"/>
              <w:rPr>
                <w:rFonts w:ascii="HelveticaNeueLT Std Thin" w:hAnsi="HelveticaNeueLT Std Thin"/>
                <w:b/>
                <w:sz w:val="14"/>
                <w:szCs w:val="14"/>
              </w:rPr>
            </w:pPr>
            <w:r w:rsidRPr="003A0C5C">
              <w:rPr>
                <w:rFonts w:ascii="HelveticaNeueLT Std Thin" w:hAnsi="HelveticaNeueLT Std Thin"/>
                <w:b/>
                <w:sz w:val="14"/>
                <w:szCs w:val="14"/>
              </w:rPr>
              <w:t>Destin</w:t>
            </w:r>
          </w:p>
          <w:p w14:paraId="742601B4" w14:textId="77777777" w:rsidR="00DB12D7" w:rsidRPr="003A0C5C" w:rsidRDefault="00DB12D7" w:rsidP="00133AD7">
            <w:pPr>
              <w:tabs>
                <w:tab w:val="left" w:pos="6480"/>
              </w:tabs>
              <w:spacing w:after="100"/>
              <w:ind w:left="1267"/>
              <w:rPr>
                <w:rFonts w:ascii="HelveticaNeueLT Std Thin" w:hAnsi="HelveticaNeueLT Std Thin"/>
                <w:b/>
                <w:sz w:val="14"/>
                <w:szCs w:val="14"/>
              </w:rPr>
            </w:pPr>
            <w:r w:rsidRPr="003A0C5C">
              <w:rPr>
                <w:rFonts w:ascii="HelveticaNeueLT Std Thin" w:hAnsi="HelveticaNeueLT Std Thin"/>
                <w:b/>
                <w:sz w:val="14"/>
                <w:szCs w:val="14"/>
              </w:rPr>
              <w:t>Irvine</w:t>
            </w:r>
          </w:p>
          <w:p w14:paraId="711C4296" w14:textId="77777777" w:rsidR="00DB12D7" w:rsidRPr="003A0C5C" w:rsidRDefault="00DB12D7" w:rsidP="00C12421">
            <w:pPr>
              <w:tabs>
                <w:tab w:val="left" w:pos="6480"/>
              </w:tabs>
              <w:spacing w:after="100"/>
              <w:ind w:left="1267"/>
              <w:rPr>
                <w:rFonts w:ascii="HelveticaNeueLT Std Thin" w:hAnsi="HelveticaNeueLT Std Thin"/>
                <w:b/>
                <w:sz w:val="14"/>
                <w:szCs w:val="14"/>
              </w:rPr>
            </w:pPr>
            <w:r w:rsidRPr="003A0C5C">
              <w:rPr>
                <w:rFonts w:ascii="HelveticaNeueLT Std Thin" w:hAnsi="HelveticaNeueLT Std Thin"/>
                <w:b/>
                <w:sz w:val="14"/>
                <w:szCs w:val="14"/>
              </w:rPr>
              <w:t>Los Angeles</w:t>
            </w:r>
          </w:p>
        </w:tc>
        <w:tc>
          <w:tcPr>
            <w:tcW w:w="1350" w:type="dxa"/>
          </w:tcPr>
          <w:p w14:paraId="6433596B" w14:textId="77777777" w:rsidR="005A0796" w:rsidRPr="003A0C5C" w:rsidRDefault="00D04F84" w:rsidP="00DB12D7">
            <w:pPr>
              <w:tabs>
                <w:tab w:val="left" w:pos="6480"/>
              </w:tabs>
              <w:spacing w:after="100"/>
              <w:rPr>
                <w:rFonts w:ascii="HelveticaNeueLT Std Thin" w:hAnsi="HelveticaNeueLT Std Thin"/>
                <w:b/>
                <w:sz w:val="14"/>
                <w:szCs w:val="14"/>
                <w:lang w:val="es-ES"/>
              </w:rPr>
            </w:pPr>
            <w:r w:rsidRPr="003A0C5C">
              <w:rPr>
                <w:rFonts w:ascii="HelveticaNeueLT Std Thin" w:hAnsi="HelveticaNeueLT Std Thin"/>
                <w:b/>
                <w:sz w:val="14"/>
                <w:szCs w:val="14"/>
                <w:lang w:val="es-ES"/>
              </w:rPr>
              <w:t>Oakland</w:t>
            </w:r>
          </w:p>
          <w:p w14:paraId="20FA517D" w14:textId="77777777" w:rsidR="00DB12D7" w:rsidRPr="003A0C5C" w:rsidRDefault="00DB12D7" w:rsidP="00DB12D7">
            <w:pPr>
              <w:tabs>
                <w:tab w:val="left" w:pos="6480"/>
              </w:tabs>
              <w:spacing w:after="100"/>
              <w:rPr>
                <w:rFonts w:ascii="HelveticaNeueLT Std Thin" w:hAnsi="HelveticaNeueLT Std Thin"/>
                <w:b/>
                <w:sz w:val="14"/>
                <w:szCs w:val="14"/>
                <w:lang w:val="es-ES"/>
              </w:rPr>
            </w:pPr>
            <w:r w:rsidRPr="003A0C5C">
              <w:rPr>
                <w:rFonts w:ascii="HelveticaNeueLT Std Thin" w:hAnsi="HelveticaNeueLT Std Thin"/>
                <w:b/>
                <w:sz w:val="14"/>
                <w:szCs w:val="14"/>
                <w:lang w:val="es-ES"/>
              </w:rPr>
              <w:t>Orlando</w:t>
            </w:r>
          </w:p>
          <w:p w14:paraId="3E14E64D" w14:textId="77777777" w:rsidR="00DB12D7" w:rsidRPr="003A0C5C" w:rsidRDefault="00DB12D7" w:rsidP="00DB12D7">
            <w:pPr>
              <w:tabs>
                <w:tab w:val="left" w:pos="6480"/>
              </w:tabs>
              <w:spacing w:after="100"/>
              <w:rPr>
                <w:rFonts w:ascii="HelveticaNeueLT Std Thin" w:hAnsi="HelveticaNeueLT Std Thin"/>
                <w:b/>
                <w:sz w:val="14"/>
                <w:szCs w:val="14"/>
                <w:lang w:val="es-ES"/>
              </w:rPr>
            </w:pPr>
            <w:r w:rsidRPr="003A0C5C">
              <w:rPr>
                <w:rFonts w:ascii="HelveticaNeueLT Std Thin" w:hAnsi="HelveticaNeueLT Std Thin"/>
                <w:b/>
                <w:sz w:val="14"/>
                <w:szCs w:val="14"/>
                <w:lang w:val="es-ES"/>
              </w:rPr>
              <w:t>Pasadena</w:t>
            </w:r>
          </w:p>
          <w:p w14:paraId="42D3F329" w14:textId="77777777" w:rsidR="00DB12D7" w:rsidRPr="003A0C5C" w:rsidRDefault="00DB12D7" w:rsidP="00DB12D7">
            <w:pPr>
              <w:tabs>
                <w:tab w:val="left" w:pos="6480"/>
              </w:tabs>
              <w:spacing w:after="100"/>
              <w:rPr>
                <w:rFonts w:ascii="HelveticaNeueLT Std Thin" w:hAnsi="HelveticaNeueLT Std Thin"/>
                <w:b/>
                <w:sz w:val="14"/>
                <w:szCs w:val="14"/>
                <w:lang w:val="es-ES"/>
              </w:rPr>
            </w:pPr>
            <w:proofErr w:type="spellStart"/>
            <w:r w:rsidRPr="003A0C5C">
              <w:rPr>
                <w:rFonts w:ascii="HelveticaNeueLT Std Thin" w:hAnsi="HelveticaNeueLT Std Thin"/>
                <w:b/>
                <w:sz w:val="14"/>
                <w:szCs w:val="14"/>
                <w:lang w:val="es-ES"/>
              </w:rPr>
              <w:t>Petaluma</w:t>
            </w:r>
            <w:proofErr w:type="spellEnd"/>
          </w:p>
          <w:p w14:paraId="582447E8" w14:textId="77777777" w:rsidR="00DB12D7" w:rsidRPr="003A0C5C" w:rsidRDefault="00DB12D7" w:rsidP="00DB12D7">
            <w:pPr>
              <w:tabs>
                <w:tab w:val="left" w:pos="6480"/>
              </w:tabs>
              <w:spacing w:after="100"/>
              <w:rPr>
                <w:rFonts w:ascii="HelveticaNeueLT Std Thin" w:hAnsi="HelveticaNeueLT Std Thin"/>
                <w:b/>
                <w:sz w:val="14"/>
                <w:szCs w:val="14"/>
                <w:lang w:val="es-ES"/>
              </w:rPr>
            </w:pPr>
            <w:r w:rsidRPr="003A0C5C">
              <w:rPr>
                <w:rFonts w:ascii="HelveticaNeueLT Std Thin" w:hAnsi="HelveticaNeueLT Std Thin"/>
                <w:b/>
                <w:sz w:val="14"/>
                <w:szCs w:val="14"/>
                <w:lang w:val="es-ES"/>
              </w:rPr>
              <w:t>Portland</w:t>
            </w:r>
          </w:p>
          <w:p w14:paraId="02E76B39" w14:textId="77777777" w:rsidR="00DB12D7" w:rsidRPr="003A0C5C" w:rsidRDefault="00DB12D7" w:rsidP="00DB12D7">
            <w:pPr>
              <w:tabs>
                <w:tab w:val="left" w:pos="6480"/>
              </w:tabs>
              <w:spacing w:after="100"/>
              <w:rPr>
                <w:rFonts w:ascii="HelveticaNeueLT Std Thin" w:hAnsi="HelveticaNeueLT Std Thin"/>
                <w:b/>
                <w:sz w:val="14"/>
                <w:szCs w:val="14"/>
                <w:lang w:val="es-ES"/>
              </w:rPr>
            </w:pPr>
            <w:r w:rsidRPr="003A0C5C">
              <w:rPr>
                <w:rFonts w:ascii="HelveticaNeueLT Std Thin" w:hAnsi="HelveticaNeueLT Std Thin"/>
                <w:b/>
                <w:sz w:val="14"/>
                <w:szCs w:val="14"/>
                <w:lang w:val="es-ES"/>
              </w:rPr>
              <w:t>Sacramento</w:t>
            </w:r>
          </w:p>
        </w:tc>
        <w:tc>
          <w:tcPr>
            <w:tcW w:w="2250" w:type="dxa"/>
          </w:tcPr>
          <w:p w14:paraId="03091851" w14:textId="77777777" w:rsidR="00C12421" w:rsidRPr="003A0C5C" w:rsidRDefault="00C12421" w:rsidP="00DB12D7">
            <w:pPr>
              <w:tabs>
                <w:tab w:val="left" w:pos="6480"/>
              </w:tabs>
              <w:spacing w:after="100"/>
              <w:rPr>
                <w:rFonts w:ascii="HelveticaNeueLT Std Thin" w:hAnsi="HelveticaNeueLT Std Thin"/>
                <w:b/>
                <w:sz w:val="14"/>
                <w:szCs w:val="14"/>
                <w:lang w:val="es-ES"/>
              </w:rPr>
            </w:pPr>
            <w:r w:rsidRPr="003A0C5C">
              <w:rPr>
                <w:rFonts w:ascii="HelveticaNeueLT Std Thin" w:hAnsi="HelveticaNeueLT Std Thin"/>
                <w:b/>
                <w:sz w:val="14"/>
                <w:szCs w:val="14"/>
                <w:lang w:val="es-ES"/>
              </w:rPr>
              <w:t>San Diego</w:t>
            </w:r>
          </w:p>
          <w:p w14:paraId="0EF68E28" w14:textId="77777777" w:rsidR="00DB12D7" w:rsidRPr="003A0C5C" w:rsidRDefault="00DB12D7" w:rsidP="00DB12D7">
            <w:pPr>
              <w:tabs>
                <w:tab w:val="left" w:pos="6480"/>
              </w:tabs>
              <w:spacing w:after="100"/>
              <w:rPr>
                <w:rFonts w:ascii="HelveticaNeueLT Std Thin" w:hAnsi="HelveticaNeueLT Std Thin"/>
                <w:b/>
                <w:sz w:val="14"/>
                <w:szCs w:val="14"/>
                <w:lang w:val="es-ES"/>
              </w:rPr>
            </w:pPr>
            <w:r w:rsidRPr="003A0C5C">
              <w:rPr>
                <w:rFonts w:ascii="HelveticaNeueLT Std Thin" w:hAnsi="HelveticaNeueLT Std Thin"/>
                <w:b/>
                <w:sz w:val="14"/>
                <w:szCs w:val="14"/>
                <w:lang w:val="es-ES"/>
              </w:rPr>
              <w:t>San Francisco</w:t>
            </w:r>
          </w:p>
          <w:p w14:paraId="23B85DE2" w14:textId="77777777" w:rsidR="00DB12D7" w:rsidRPr="003A0C5C" w:rsidRDefault="00DB12D7" w:rsidP="00DB12D7">
            <w:pPr>
              <w:tabs>
                <w:tab w:val="left" w:pos="6480"/>
              </w:tabs>
              <w:spacing w:after="100"/>
              <w:rPr>
                <w:rFonts w:ascii="HelveticaNeueLT Std Thin" w:hAnsi="HelveticaNeueLT Std Thin"/>
                <w:b/>
                <w:sz w:val="14"/>
                <w:szCs w:val="14"/>
                <w:lang w:val="es-ES"/>
              </w:rPr>
            </w:pPr>
            <w:r w:rsidRPr="003A0C5C">
              <w:rPr>
                <w:rFonts w:ascii="HelveticaNeueLT Std Thin" w:hAnsi="HelveticaNeueLT Std Thin"/>
                <w:b/>
                <w:sz w:val="14"/>
                <w:szCs w:val="14"/>
                <w:lang w:val="es-ES"/>
              </w:rPr>
              <w:t>Santa Monica</w:t>
            </w:r>
          </w:p>
          <w:p w14:paraId="72F672A5" w14:textId="77777777" w:rsidR="00DB12D7" w:rsidRPr="003A0C5C" w:rsidRDefault="00DB12D7" w:rsidP="00DB12D7">
            <w:pPr>
              <w:tabs>
                <w:tab w:val="left" w:pos="6480"/>
              </w:tabs>
              <w:spacing w:after="100"/>
              <w:rPr>
                <w:rFonts w:ascii="HelveticaNeueLT Std Thin" w:hAnsi="HelveticaNeueLT Std Thin"/>
                <w:b/>
                <w:sz w:val="14"/>
                <w:szCs w:val="14"/>
              </w:rPr>
            </w:pPr>
            <w:r w:rsidRPr="003A0C5C">
              <w:rPr>
                <w:rFonts w:ascii="HelveticaNeueLT Std Thin" w:hAnsi="HelveticaNeueLT Std Thin"/>
                <w:b/>
                <w:sz w:val="14"/>
                <w:szCs w:val="14"/>
              </w:rPr>
              <w:t>Sarasota</w:t>
            </w:r>
          </w:p>
          <w:p w14:paraId="73991FDF" w14:textId="77777777" w:rsidR="00DB12D7" w:rsidRPr="003A0C5C" w:rsidRDefault="00DB12D7" w:rsidP="00DB12D7">
            <w:pPr>
              <w:tabs>
                <w:tab w:val="left" w:pos="6480"/>
              </w:tabs>
              <w:spacing w:after="100"/>
              <w:rPr>
                <w:rFonts w:ascii="HelveticaNeueLT Std Thin" w:hAnsi="HelveticaNeueLT Std Thin"/>
                <w:b/>
                <w:sz w:val="14"/>
                <w:szCs w:val="14"/>
              </w:rPr>
            </w:pPr>
            <w:r w:rsidRPr="003A0C5C">
              <w:rPr>
                <w:rFonts w:ascii="HelveticaNeueLT Std Thin" w:hAnsi="HelveticaNeueLT Std Thin"/>
                <w:b/>
                <w:sz w:val="14"/>
                <w:szCs w:val="14"/>
              </w:rPr>
              <w:t>Seattle</w:t>
            </w:r>
          </w:p>
          <w:p w14:paraId="546898A2" w14:textId="77777777" w:rsidR="00DB12D7" w:rsidRPr="003A0C5C" w:rsidRDefault="00DB12D7" w:rsidP="00DB12D7">
            <w:pPr>
              <w:tabs>
                <w:tab w:val="left" w:pos="6480"/>
              </w:tabs>
              <w:spacing w:after="100"/>
              <w:rPr>
                <w:rFonts w:ascii="HelveticaNeueLT Std Thin" w:hAnsi="HelveticaNeueLT Std Thin"/>
                <w:b/>
                <w:sz w:val="14"/>
                <w:szCs w:val="14"/>
              </w:rPr>
            </w:pPr>
            <w:r w:rsidRPr="003A0C5C">
              <w:rPr>
                <w:rFonts w:ascii="HelveticaNeueLT Std Thin" w:hAnsi="HelveticaNeueLT Std Thin"/>
                <w:b/>
                <w:sz w:val="14"/>
                <w:szCs w:val="14"/>
              </w:rPr>
              <w:t>Tampa</w:t>
            </w:r>
          </w:p>
        </w:tc>
        <w:tc>
          <w:tcPr>
            <w:tcW w:w="4320" w:type="dxa"/>
            <w:vMerge/>
            <w:vAlign w:val="center"/>
          </w:tcPr>
          <w:p w14:paraId="4BB46AF9" w14:textId="77777777" w:rsidR="00DB12D7" w:rsidRPr="003A0C5C" w:rsidRDefault="00DB12D7" w:rsidP="00133AD7">
            <w:pPr>
              <w:tabs>
                <w:tab w:val="left" w:pos="6826"/>
              </w:tabs>
              <w:jc w:val="right"/>
              <w:rPr>
                <w:rFonts w:ascii="HelveticaNeueLT Std" w:hAnsi="HelveticaNeueLT Std"/>
              </w:rPr>
            </w:pPr>
          </w:p>
        </w:tc>
      </w:tr>
    </w:tbl>
    <w:p w14:paraId="409CB088" w14:textId="77777777" w:rsidR="00CE20B1" w:rsidRPr="003A0C5C" w:rsidRDefault="00CE20B1" w:rsidP="00CE20B1">
      <w:pPr>
        <w:pageBreakBefore/>
      </w:pPr>
    </w:p>
    <w:p w14:paraId="562D343C" w14:textId="77777777" w:rsidR="00CE20B1" w:rsidRPr="003A0C5C" w:rsidRDefault="00CE20B1" w:rsidP="00CE20B1"/>
    <w:p w14:paraId="1F39D20B" w14:textId="77777777" w:rsidR="00CE20B1" w:rsidRPr="003A0C5C" w:rsidRDefault="00CE20B1" w:rsidP="00CE20B1"/>
    <w:p w14:paraId="083BA739" w14:textId="77777777" w:rsidR="00CE20B1" w:rsidRPr="003A0C5C" w:rsidRDefault="00CE20B1" w:rsidP="00CE20B1"/>
    <w:p w14:paraId="738AE429" w14:textId="77777777" w:rsidR="00CE20B1" w:rsidRPr="003A0C5C" w:rsidRDefault="00CE20B1" w:rsidP="00CE20B1"/>
    <w:p w14:paraId="325FEA69" w14:textId="77777777" w:rsidR="00CE20B1" w:rsidRPr="003A0C5C" w:rsidRDefault="00CE20B1" w:rsidP="00CE20B1"/>
    <w:p w14:paraId="24B09F2E" w14:textId="77777777" w:rsidR="00CE20B1" w:rsidRPr="003A0C5C" w:rsidRDefault="00CE20B1" w:rsidP="00CE20B1"/>
    <w:p w14:paraId="26D763CE" w14:textId="77777777" w:rsidR="00CE20B1" w:rsidRPr="003A0C5C" w:rsidRDefault="00CE20B1" w:rsidP="00CE20B1"/>
    <w:p w14:paraId="301CA33D" w14:textId="77777777" w:rsidR="00CE20B1" w:rsidRPr="003A0C5C" w:rsidRDefault="00CE20B1" w:rsidP="00CE20B1"/>
    <w:p w14:paraId="55AF26FD" w14:textId="77777777" w:rsidR="00CE20B1" w:rsidRPr="003A0C5C" w:rsidRDefault="00CE20B1" w:rsidP="00CE20B1"/>
    <w:p w14:paraId="3B778ADB" w14:textId="77777777" w:rsidR="00CE20B1" w:rsidRPr="003A0C5C" w:rsidRDefault="00CE20B1" w:rsidP="00CE20B1"/>
    <w:p w14:paraId="7416D051" w14:textId="77777777" w:rsidR="00CE20B1" w:rsidRPr="003A0C5C" w:rsidRDefault="00CE20B1" w:rsidP="00CE20B1"/>
    <w:p w14:paraId="2A42AEAF" w14:textId="77777777" w:rsidR="00CE20B1" w:rsidRPr="003A0C5C" w:rsidRDefault="00CE20B1" w:rsidP="00CE20B1"/>
    <w:p w14:paraId="5B3441C5" w14:textId="77777777" w:rsidR="00CE20B1" w:rsidRPr="003A0C5C" w:rsidRDefault="00CE20B1" w:rsidP="00CE20B1"/>
    <w:p w14:paraId="7ECC065E" w14:textId="77777777" w:rsidR="00CE20B1" w:rsidRPr="003A0C5C" w:rsidRDefault="00CE20B1" w:rsidP="00CE20B1"/>
    <w:p w14:paraId="741D4240" w14:textId="77777777" w:rsidR="00CE20B1" w:rsidRPr="003A0C5C" w:rsidRDefault="00CE20B1" w:rsidP="00CE20B1"/>
    <w:p w14:paraId="21838611" w14:textId="77777777" w:rsidR="00CE20B1" w:rsidRPr="003A0C5C" w:rsidRDefault="00CE20B1" w:rsidP="00CE20B1"/>
    <w:p w14:paraId="4DBAF48B" w14:textId="77777777" w:rsidR="00CE20B1" w:rsidRPr="003A0C5C" w:rsidRDefault="00CE20B1" w:rsidP="00CE20B1"/>
    <w:p w14:paraId="18446572" w14:textId="77777777" w:rsidR="00CE20B1" w:rsidRPr="003A0C5C" w:rsidRDefault="00CE20B1" w:rsidP="00CE20B1"/>
    <w:p w14:paraId="12F47DF0" w14:textId="77777777" w:rsidR="00CE20B1" w:rsidRPr="003A0C5C" w:rsidRDefault="00CE20B1" w:rsidP="00CE20B1"/>
    <w:p w14:paraId="48902A84" w14:textId="77777777" w:rsidR="00CE20B1" w:rsidRPr="003A0C5C" w:rsidRDefault="00CE20B1" w:rsidP="00CE20B1"/>
    <w:p w14:paraId="5DBBEAFC" w14:textId="77777777" w:rsidR="00CE20B1" w:rsidRPr="003A0C5C" w:rsidRDefault="00CE20B1" w:rsidP="00CE20B1"/>
    <w:p w14:paraId="0D32A802" w14:textId="77777777" w:rsidR="00CE20B1" w:rsidRPr="003A0C5C" w:rsidRDefault="00CE20B1" w:rsidP="00CE20B1"/>
    <w:p w14:paraId="6B63FBC3" w14:textId="77777777" w:rsidR="00CE20B1" w:rsidRPr="003A0C5C" w:rsidRDefault="00CE20B1" w:rsidP="00CE20B1"/>
    <w:p w14:paraId="75BE5A07" w14:textId="77777777" w:rsidR="00CE20B1" w:rsidRPr="003A0C5C" w:rsidRDefault="00CE20B1" w:rsidP="00CE20B1"/>
    <w:p w14:paraId="2290B7DB" w14:textId="77777777" w:rsidR="00CE20B1" w:rsidRPr="003A0C5C" w:rsidRDefault="00CE20B1" w:rsidP="00CE20B1"/>
    <w:p w14:paraId="24EA0309" w14:textId="77777777" w:rsidR="00CE20B1" w:rsidRPr="003A0C5C" w:rsidRDefault="00CE20B1" w:rsidP="00CE20B1"/>
    <w:p w14:paraId="408325C5" w14:textId="77777777" w:rsidR="00CE20B1" w:rsidRPr="003A0C5C" w:rsidRDefault="00CE20B1" w:rsidP="00CE20B1"/>
    <w:p w14:paraId="024CC492" w14:textId="77777777" w:rsidR="00CE20B1" w:rsidRPr="003A0C5C" w:rsidRDefault="00CE20B1" w:rsidP="00CE20B1"/>
    <w:p w14:paraId="561DCBE3" w14:textId="77777777" w:rsidR="00CE20B1" w:rsidRPr="003A0C5C" w:rsidRDefault="00CE20B1" w:rsidP="00CE20B1"/>
    <w:p w14:paraId="50239BCF" w14:textId="77777777" w:rsidR="00CE20B1" w:rsidRPr="003A0C5C" w:rsidRDefault="00CE20B1" w:rsidP="00CE20B1"/>
    <w:p w14:paraId="011D249A" w14:textId="77777777" w:rsidR="00CE20B1" w:rsidRPr="003A0C5C" w:rsidRDefault="00CE20B1" w:rsidP="00CE20B1"/>
    <w:p w14:paraId="5611D799" w14:textId="77777777" w:rsidR="00CE20B1" w:rsidRPr="003A0C5C" w:rsidRDefault="00CE20B1" w:rsidP="00CE20B1"/>
    <w:p w14:paraId="0588F682" w14:textId="77777777" w:rsidR="00CE20B1" w:rsidRPr="003A0C5C" w:rsidRDefault="00CE20B1" w:rsidP="00CE20B1"/>
    <w:p w14:paraId="726583B5" w14:textId="77777777" w:rsidR="00CE20B1" w:rsidRPr="003A0C5C" w:rsidRDefault="00CE20B1" w:rsidP="00CE20B1"/>
    <w:p w14:paraId="3B7AB695" w14:textId="77777777" w:rsidR="00CE20B1" w:rsidRPr="003A0C5C" w:rsidRDefault="00CE20B1" w:rsidP="00CE20B1"/>
    <w:p w14:paraId="6DBB4778" w14:textId="77777777" w:rsidR="00CE20B1" w:rsidRPr="003A0C5C" w:rsidRDefault="00CE20B1" w:rsidP="00CE20B1"/>
    <w:p w14:paraId="44B1C286" w14:textId="77777777" w:rsidR="00CE20B1" w:rsidRPr="003A0C5C" w:rsidRDefault="00CE20B1" w:rsidP="00CE20B1"/>
    <w:p w14:paraId="7280794D" w14:textId="77777777" w:rsidR="00CE20B1" w:rsidRPr="003A0C5C" w:rsidRDefault="00CE20B1" w:rsidP="00CE20B1"/>
    <w:p w14:paraId="45BA6B05" w14:textId="77777777" w:rsidR="00CE20B1" w:rsidRPr="003A0C5C" w:rsidRDefault="00CE20B1" w:rsidP="00CE20B1"/>
    <w:tbl>
      <w:tblPr>
        <w:tblW w:w="0" w:type="auto"/>
        <w:tblInd w:w="72" w:type="dxa"/>
        <w:tblLayout w:type="fixed"/>
        <w:tblCellMar>
          <w:left w:w="72" w:type="dxa"/>
          <w:right w:w="72" w:type="dxa"/>
        </w:tblCellMar>
        <w:tblLook w:val="04A0" w:firstRow="1" w:lastRow="0" w:firstColumn="1" w:lastColumn="0" w:noHBand="0" w:noVBand="1"/>
      </w:tblPr>
      <w:tblGrid>
        <w:gridCol w:w="6120"/>
        <w:gridCol w:w="4140"/>
      </w:tblGrid>
      <w:tr w:rsidR="00CE20B1" w:rsidRPr="003A0C5C" w14:paraId="39A06CB8" w14:textId="77777777" w:rsidTr="00133AD7">
        <w:trPr>
          <w:trHeight w:val="3042"/>
        </w:trPr>
        <w:tc>
          <w:tcPr>
            <w:tcW w:w="6120" w:type="dxa"/>
          </w:tcPr>
          <w:p w14:paraId="1BA875F6" w14:textId="77777777" w:rsidR="00CE20B1" w:rsidRPr="003A0C5C" w:rsidRDefault="00CE20B1" w:rsidP="00133AD7">
            <w:pPr>
              <w:tabs>
                <w:tab w:val="left" w:pos="6480"/>
              </w:tabs>
              <w:ind w:left="1195"/>
              <w:rPr>
                <w:rFonts w:ascii="HelveticaNeueLT Std Thin" w:hAnsi="HelveticaNeueLT Std Thin"/>
                <w:b/>
                <w:sz w:val="14"/>
                <w:szCs w:val="14"/>
              </w:rPr>
            </w:pPr>
          </w:p>
        </w:tc>
        <w:tc>
          <w:tcPr>
            <w:tcW w:w="4140" w:type="dxa"/>
            <w:vAlign w:val="bottom"/>
          </w:tcPr>
          <w:p w14:paraId="28C21B5C" w14:textId="27F6DB3A" w:rsidR="00CE20B1" w:rsidRPr="003A0C5C" w:rsidRDefault="00CE20B1" w:rsidP="00133AD7">
            <w:pPr>
              <w:spacing w:line="160" w:lineRule="exact"/>
              <w:rPr>
                <w:rFonts w:ascii="HelveticaNeueLT Std" w:hAnsi="HelveticaNeueLT Std" w:cs="Arial"/>
                <w:sz w:val="12"/>
                <w:szCs w:val="12"/>
              </w:rPr>
            </w:pPr>
            <w:r w:rsidRPr="003A0C5C">
              <w:rPr>
                <w:rFonts w:ascii="HelveticaNeueLT Std" w:hAnsi="HelveticaNeueLT Std" w:cs="Arial"/>
                <w:b/>
                <w:sz w:val="12"/>
                <w:szCs w:val="12"/>
              </w:rPr>
              <w:t>OUR COMMITMENT TO SUSTAINABILITY</w:t>
            </w:r>
            <w:r w:rsidR="00470C54" w:rsidRPr="003A0C5C">
              <w:rPr>
                <w:rFonts w:ascii="Arial" w:hAnsi="Arial" w:cs="Arial"/>
                <w:sz w:val="12"/>
                <w:szCs w:val="12"/>
              </w:rPr>
              <w:t xml:space="preserve"> </w:t>
            </w:r>
            <w:r w:rsidRPr="003A0C5C">
              <w:rPr>
                <w:rFonts w:ascii="Arial" w:hAnsi="Arial" w:cs="Arial"/>
                <w:sz w:val="12"/>
                <w:szCs w:val="12"/>
              </w:rPr>
              <w:t>|</w:t>
            </w:r>
            <w:r w:rsidR="00470C54" w:rsidRPr="003A0C5C">
              <w:rPr>
                <w:rFonts w:ascii="Arial" w:hAnsi="Arial" w:cs="Arial"/>
                <w:sz w:val="12"/>
                <w:szCs w:val="12"/>
              </w:rPr>
              <w:t xml:space="preserve"> </w:t>
            </w:r>
            <w:r w:rsidR="00FB07B9" w:rsidRPr="003A0C5C">
              <w:rPr>
                <w:rFonts w:ascii="HelveticaNeueLT Std" w:hAnsi="HelveticaNeueLT Std" w:cs="Arial"/>
                <w:sz w:val="12"/>
                <w:szCs w:val="12"/>
              </w:rPr>
              <w:t xml:space="preserve">ESA helps </w:t>
            </w:r>
            <w:r w:rsidRPr="003A0C5C">
              <w:rPr>
                <w:rFonts w:ascii="HelveticaNeueLT Std" w:hAnsi="HelveticaNeueLT Std" w:cs="Arial"/>
                <w:sz w:val="12"/>
                <w:szCs w:val="12"/>
              </w:rPr>
              <w:t xml:space="preserve">a variety of public and private sector clients plan and prepare for climate change and emerging regulations that limit GHG emissions. ESA is a registered assessor with the California Climate Action Registry, a Climate Leader, and founding reporter for the Climate Registry. ESA is also a corporate member of the U.S. Green Building Council and the Business Council on Climate Change (BC3). Internally, ESA has adopted a Sustainability Vision and Policy Statement and a plan to reduce waste and energy within our operations. This document was produced using recycled paper. </w:t>
            </w:r>
          </w:p>
        </w:tc>
      </w:tr>
    </w:tbl>
    <w:p w14:paraId="5A778F95" w14:textId="77777777" w:rsidR="00CE20B1" w:rsidRPr="003A0C5C" w:rsidRDefault="00CE20B1" w:rsidP="004E2B77"/>
    <w:p w14:paraId="7C5463FE" w14:textId="15DC7D03" w:rsidR="000661F6" w:rsidRPr="003A0C5C" w:rsidRDefault="000661F6" w:rsidP="006536F6">
      <w:pPr>
        <w:tabs>
          <w:tab w:val="left" w:pos="2685"/>
        </w:tabs>
      </w:pPr>
    </w:p>
    <w:p w14:paraId="37CC1E92" w14:textId="1AD51A08" w:rsidR="000661F6" w:rsidRPr="003A0C5C" w:rsidRDefault="000661F6" w:rsidP="000661F6">
      <w:pPr>
        <w:pStyle w:val="12space"/>
        <w:sectPr w:rsidR="000661F6" w:rsidRPr="003A0C5C" w:rsidSect="0073385B">
          <w:headerReference w:type="even" r:id="rId16"/>
          <w:headerReference w:type="default" r:id="rId17"/>
          <w:footerReference w:type="even" r:id="rId18"/>
          <w:footerReference w:type="default" r:id="rId19"/>
          <w:headerReference w:type="first" r:id="rId20"/>
          <w:footerReference w:type="first" r:id="rId21"/>
          <w:type w:val="oddPage"/>
          <w:pgSz w:w="12240" w:h="15840" w:code="1"/>
          <w:pgMar w:top="1296" w:right="720" w:bottom="432" w:left="720" w:header="720" w:footer="432" w:gutter="0"/>
          <w:pgNumType w:fmt="lowerRoman" w:start="1"/>
          <w:cols w:space="720"/>
          <w:titlePg/>
          <w:docGrid w:linePitch="360"/>
        </w:sectPr>
      </w:pPr>
    </w:p>
    <w:p w14:paraId="2CBD9FE8" w14:textId="1AA9AEDD" w:rsidR="004F426E" w:rsidRPr="003A0C5C" w:rsidRDefault="00336BCE" w:rsidP="004F426E">
      <w:pPr>
        <w:pStyle w:val="TOCTableofContents"/>
      </w:pPr>
      <w:r w:rsidRPr="003A0C5C">
        <w:lastRenderedPageBreak/>
        <w:t>T</w:t>
      </w:r>
      <w:r w:rsidR="004F426E" w:rsidRPr="003A0C5C">
        <w:t>able of Contents</w:t>
      </w:r>
    </w:p>
    <w:p w14:paraId="01AC4B18" w14:textId="77777777" w:rsidR="004F426E" w:rsidRPr="003A0C5C" w:rsidRDefault="004F426E" w:rsidP="00336BCE">
      <w:pPr>
        <w:pStyle w:val="TOCReportTitle"/>
      </w:pPr>
      <w:bookmarkStart w:id="0" w:name="_Toc1570986"/>
      <w:r w:rsidRPr="003A0C5C">
        <w:t>Initial Study/Mitigated Negative Declaration</w:t>
      </w:r>
      <w:bookmarkEnd w:id="0"/>
    </w:p>
    <w:sdt>
      <w:sdtPr>
        <w:rPr>
          <w:rFonts w:ascii="Times New Roman" w:hAnsi="Times New Roman" w:cstheme="minorBidi"/>
          <w:sz w:val="22"/>
          <w:highlight w:val="yellow"/>
          <w:u w:val="none"/>
        </w:rPr>
        <w:id w:val="1916658007"/>
        <w:docPartObj>
          <w:docPartGallery w:val="Table of Contents"/>
          <w:docPartUnique/>
        </w:docPartObj>
      </w:sdtPr>
      <w:sdtEndPr/>
      <w:sdtContent>
        <w:p w14:paraId="49C999F5" w14:textId="77777777" w:rsidR="004F426E" w:rsidRPr="003A0C5C" w:rsidRDefault="004F426E" w:rsidP="004F426E">
          <w:pPr>
            <w:pStyle w:val="TOCPage"/>
          </w:pPr>
          <w:r w:rsidRPr="003A0C5C">
            <w:t>Page</w:t>
          </w:r>
        </w:p>
        <w:p w14:paraId="5FD05F69" w14:textId="789BC0A5" w:rsidR="00C04A9B" w:rsidRPr="003A0C5C" w:rsidRDefault="00973293">
          <w:pPr>
            <w:pStyle w:val="TOC1"/>
            <w:rPr>
              <w:rFonts w:asciiTheme="minorHAnsi" w:eastAsiaTheme="minorEastAsia" w:hAnsiTheme="minorHAnsi"/>
              <w:b w:val="0"/>
              <w:sz w:val="22"/>
              <w:szCs w:val="22"/>
            </w:rPr>
          </w:pPr>
          <w:r w:rsidRPr="003A0C5C">
            <w:rPr>
              <w:b w:val="0"/>
              <w:highlight w:val="yellow"/>
            </w:rPr>
            <w:fldChar w:fldCharType="begin"/>
          </w:r>
          <w:r w:rsidRPr="003A0C5C">
            <w:rPr>
              <w:b w:val="0"/>
              <w:highlight w:val="yellow"/>
            </w:rPr>
            <w:instrText xml:space="preserve"> TOC \t "Heading 1,1,Heading 2,1,Heading 3,2,Heading 4,3" </w:instrText>
          </w:r>
          <w:r w:rsidRPr="003A0C5C">
            <w:rPr>
              <w:b w:val="0"/>
              <w:highlight w:val="yellow"/>
            </w:rPr>
            <w:fldChar w:fldCharType="separate"/>
          </w:r>
          <w:r w:rsidR="00C04A9B" w:rsidRPr="003A0C5C">
            <w:t>Chapter 1</w:t>
          </w:r>
          <w:r w:rsidR="00C04A9B" w:rsidRPr="003A0C5C">
            <w:tab/>
            <w:t>Introduction</w:t>
          </w:r>
          <w:r w:rsidR="00C04A9B" w:rsidRPr="003A0C5C">
            <w:tab/>
          </w:r>
          <w:r w:rsidR="00C04A9B" w:rsidRPr="003A0C5C">
            <w:fldChar w:fldCharType="begin"/>
          </w:r>
          <w:r w:rsidR="00C04A9B" w:rsidRPr="003A0C5C">
            <w:instrText xml:space="preserve"> PAGEREF _Toc101791966 \h </w:instrText>
          </w:r>
          <w:r w:rsidR="00C04A9B" w:rsidRPr="003A0C5C">
            <w:fldChar w:fldCharType="separate"/>
          </w:r>
          <w:r w:rsidR="002348BC">
            <w:t>1</w:t>
          </w:r>
          <w:r w:rsidR="00C04A9B" w:rsidRPr="003A0C5C">
            <w:fldChar w:fldCharType="end"/>
          </w:r>
        </w:p>
        <w:p w14:paraId="57E92532" w14:textId="7FC036F2" w:rsidR="00C04A9B" w:rsidRPr="003A0C5C" w:rsidRDefault="00C04A9B">
          <w:pPr>
            <w:pStyle w:val="TOC2"/>
            <w:rPr>
              <w:rFonts w:asciiTheme="minorHAnsi" w:eastAsiaTheme="minorEastAsia" w:hAnsiTheme="minorHAnsi"/>
              <w:sz w:val="22"/>
              <w:szCs w:val="22"/>
            </w:rPr>
          </w:pPr>
          <w:r w:rsidRPr="003A0C5C">
            <w:t>Environmental Factors Potentially Affected</w:t>
          </w:r>
          <w:r w:rsidRPr="003A0C5C">
            <w:tab/>
          </w:r>
          <w:r w:rsidRPr="003A0C5C">
            <w:fldChar w:fldCharType="begin"/>
          </w:r>
          <w:r w:rsidRPr="003A0C5C">
            <w:instrText xml:space="preserve"> PAGEREF _Toc101791967 \h </w:instrText>
          </w:r>
          <w:r w:rsidRPr="003A0C5C">
            <w:fldChar w:fldCharType="separate"/>
          </w:r>
          <w:r w:rsidR="002348BC">
            <w:t>3</w:t>
          </w:r>
          <w:r w:rsidRPr="003A0C5C">
            <w:fldChar w:fldCharType="end"/>
          </w:r>
        </w:p>
        <w:p w14:paraId="2644D824" w14:textId="49A12432" w:rsidR="00C04A9B" w:rsidRPr="003A0C5C" w:rsidRDefault="00C04A9B">
          <w:pPr>
            <w:pStyle w:val="TOC2"/>
            <w:rPr>
              <w:rFonts w:asciiTheme="minorHAnsi" w:eastAsiaTheme="minorEastAsia" w:hAnsiTheme="minorHAnsi"/>
              <w:sz w:val="22"/>
              <w:szCs w:val="22"/>
            </w:rPr>
          </w:pPr>
          <w:r w:rsidRPr="003A0C5C">
            <w:t>Determination</w:t>
          </w:r>
          <w:r w:rsidRPr="003A0C5C">
            <w:tab/>
          </w:r>
          <w:r w:rsidRPr="003A0C5C">
            <w:fldChar w:fldCharType="begin"/>
          </w:r>
          <w:r w:rsidRPr="003A0C5C">
            <w:instrText xml:space="preserve"> PAGEREF _Toc101791968 \h </w:instrText>
          </w:r>
          <w:r w:rsidRPr="003A0C5C">
            <w:fldChar w:fldCharType="separate"/>
          </w:r>
          <w:r w:rsidR="002348BC">
            <w:t>3</w:t>
          </w:r>
          <w:r w:rsidRPr="003A0C5C">
            <w:fldChar w:fldCharType="end"/>
          </w:r>
        </w:p>
        <w:p w14:paraId="2A8AA993" w14:textId="1C8E3206" w:rsidR="00C04A9B" w:rsidRPr="003A0C5C" w:rsidRDefault="00C04A9B">
          <w:pPr>
            <w:pStyle w:val="TOC1"/>
            <w:rPr>
              <w:rFonts w:asciiTheme="minorHAnsi" w:eastAsiaTheme="minorEastAsia" w:hAnsiTheme="minorHAnsi"/>
              <w:b w:val="0"/>
              <w:sz w:val="22"/>
              <w:szCs w:val="22"/>
            </w:rPr>
          </w:pPr>
          <w:r w:rsidRPr="003A0C5C">
            <w:t>Chapter 2</w:t>
          </w:r>
          <w:r w:rsidRPr="003A0C5C">
            <w:tab/>
            <w:t>Project Description</w:t>
          </w:r>
          <w:r w:rsidRPr="003A0C5C">
            <w:tab/>
          </w:r>
          <w:r w:rsidRPr="003A0C5C">
            <w:fldChar w:fldCharType="begin"/>
          </w:r>
          <w:r w:rsidRPr="003A0C5C">
            <w:instrText xml:space="preserve"> PAGEREF _Toc101791970 \h </w:instrText>
          </w:r>
          <w:r w:rsidRPr="003A0C5C">
            <w:fldChar w:fldCharType="separate"/>
          </w:r>
          <w:r w:rsidR="002348BC">
            <w:t>5</w:t>
          </w:r>
          <w:r w:rsidRPr="003A0C5C">
            <w:fldChar w:fldCharType="end"/>
          </w:r>
        </w:p>
        <w:p w14:paraId="24983995" w14:textId="2C9784F3" w:rsidR="00C04A9B" w:rsidRPr="003A0C5C" w:rsidRDefault="00C04A9B">
          <w:pPr>
            <w:pStyle w:val="TOC2"/>
            <w:tabs>
              <w:tab w:val="left" w:pos="2088"/>
            </w:tabs>
            <w:rPr>
              <w:rFonts w:asciiTheme="minorHAnsi" w:eastAsiaTheme="minorEastAsia" w:hAnsiTheme="minorHAnsi"/>
              <w:sz w:val="22"/>
              <w:szCs w:val="22"/>
            </w:rPr>
          </w:pPr>
          <w:r w:rsidRPr="003A0C5C">
            <w:t>2.1</w:t>
          </w:r>
          <w:r w:rsidRPr="003A0C5C">
            <w:rPr>
              <w:rFonts w:asciiTheme="minorHAnsi" w:eastAsiaTheme="minorEastAsia" w:hAnsiTheme="minorHAnsi"/>
              <w:sz w:val="22"/>
              <w:szCs w:val="22"/>
            </w:rPr>
            <w:tab/>
          </w:r>
          <w:r w:rsidRPr="003A0C5C">
            <w:t>Project Overview</w:t>
          </w:r>
          <w:r w:rsidRPr="003A0C5C">
            <w:tab/>
          </w:r>
          <w:r w:rsidRPr="003A0C5C">
            <w:fldChar w:fldCharType="begin"/>
          </w:r>
          <w:r w:rsidRPr="003A0C5C">
            <w:instrText xml:space="preserve"> PAGEREF _Toc101791971 \h </w:instrText>
          </w:r>
          <w:r w:rsidRPr="003A0C5C">
            <w:fldChar w:fldCharType="separate"/>
          </w:r>
          <w:r w:rsidR="002348BC">
            <w:t>5</w:t>
          </w:r>
          <w:r w:rsidRPr="003A0C5C">
            <w:fldChar w:fldCharType="end"/>
          </w:r>
        </w:p>
        <w:p w14:paraId="7EE5C00C" w14:textId="248B6A54" w:rsidR="00C04A9B" w:rsidRPr="003A0C5C" w:rsidRDefault="00C04A9B">
          <w:pPr>
            <w:pStyle w:val="TOC2"/>
            <w:tabs>
              <w:tab w:val="left" w:pos="2088"/>
            </w:tabs>
            <w:rPr>
              <w:rFonts w:asciiTheme="minorHAnsi" w:eastAsiaTheme="minorEastAsia" w:hAnsiTheme="minorHAnsi"/>
              <w:sz w:val="22"/>
              <w:szCs w:val="22"/>
            </w:rPr>
          </w:pPr>
          <w:r w:rsidRPr="003A0C5C">
            <w:t>2.2</w:t>
          </w:r>
          <w:r w:rsidRPr="003A0C5C">
            <w:rPr>
              <w:rFonts w:asciiTheme="minorHAnsi" w:eastAsiaTheme="minorEastAsia" w:hAnsiTheme="minorHAnsi"/>
              <w:sz w:val="22"/>
              <w:szCs w:val="22"/>
            </w:rPr>
            <w:tab/>
          </w:r>
          <w:r w:rsidRPr="003A0C5C">
            <w:t>Project Location and Existing Setting</w:t>
          </w:r>
          <w:r w:rsidRPr="003A0C5C">
            <w:tab/>
          </w:r>
          <w:r w:rsidRPr="003A0C5C">
            <w:fldChar w:fldCharType="begin"/>
          </w:r>
          <w:r w:rsidRPr="003A0C5C">
            <w:instrText xml:space="preserve"> PAGEREF _Toc101791972 \h </w:instrText>
          </w:r>
          <w:r w:rsidRPr="003A0C5C">
            <w:fldChar w:fldCharType="separate"/>
          </w:r>
          <w:r w:rsidR="002348BC">
            <w:t>5</w:t>
          </w:r>
          <w:r w:rsidRPr="003A0C5C">
            <w:fldChar w:fldCharType="end"/>
          </w:r>
        </w:p>
        <w:p w14:paraId="4F059208" w14:textId="6915FF43" w:rsidR="00C04A9B" w:rsidRPr="003A0C5C" w:rsidRDefault="00C04A9B">
          <w:pPr>
            <w:pStyle w:val="TOC2"/>
            <w:tabs>
              <w:tab w:val="left" w:pos="2088"/>
            </w:tabs>
            <w:rPr>
              <w:rFonts w:asciiTheme="minorHAnsi" w:eastAsiaTheme="minorEastAsia" w:hAnsiTheme="minorHAnsi"/>
              <w:sz w:val="22"/>
              <w:szCs w:val="22"/>
            </w:rPr>
          </w:pPr>
          <w:r w:rsidRPr="003A0C5C">
            <w:t>2.3</w:t>
          </w:r>
          <w:r w:rsidRPr="003A0C5C">
            <w:rPr>
              <w:rFonts w:asciiTheme="minorHAnsi" w:eastAsiaTheme="minorEastAsia" w:hAnsiTheme="minorHAnsi"/>
              <w:sz w:val="22"/>
              <w:szCs w:val="22"/>
            </w:rPr>
            <w:tab/>
          </w:r>
          <w:r w:rsidRPr="003A0C5C">
            <w:t>Project Site History and Existing Conditions</w:t>
          </w:r>
          <w:r w:rsidRPr="003A0C5C">
            <w:tab/>
          </w:r>
          <w:r w:rsidRPr="003A0C5C">
            <w:fldChar w:fldCharType="begin"/>
          </w:r>
          <w:r w:rsidRPr="003A0C5C">
            <w:instrText xml:space="preserve"> PAGEREF _Toc101791973 \h </w:instrText>
          </w:r>
          <w:r w:rsidRPr="003A0C5C">
            <w:fldChar w:fldCharType="separate"/>
          </w:r>
          <w:r w:rsidR="002348BC">
            <w:t>8</w:t>
          </w:r>
          <w:r w:rsidRPr="003A0C5C">
            <w:fldChar w:fldCharType="end"/>
          </w:r>
        </w:p>
        <w:p w14:paraId="23C0188C" w14:textId="5C2BBA32" w:rsidR="00C04A9B" w:rsidRPr="003A0C5C" w:rsidRDefault="00C04A9B">
          <w:pPr>
            <w:pStyle w:val="TOC2"/>
            <w:tabs>
              <w:tab w:val="left" w:pos="2088"/>
            </w:tabs>
            <w:rPr>
              <w:rFonts w:asciiTheme="minorHAnsi" w:eastAsiaTheme="minorEastAsia" w:hAnsiTheme="minorHAnsi"/>
              <w:sz w:val="22"/>
              <w:szCs w:val="22"/>
            </w:rPr>
          </w:pPr>
          <w:r w:rsidRPr="003A0C5C">
            <w:t>2.4</w:t>
          </w:r>
          <w:r w:rsidRPr="003A0C5C">
            <w:rPr>
              <w:rFonts w:asciiTheme="minorHAnsi" w:eastAsiaTheme="minorEastAsia" w:hAnsiTheme="minorHAnsi"/>
              <w:sz w:val="22"/>
              <w:szCs w:val="22"/>
            </w:rPr>
            <w:tab/>
          </w:r>
          <w:r w:rsidRPr="003A0C5C">
            <w:t>Project Characteristics</w:t>
          </w:r>
          <w:r w:rsidRPr="003A0C5C">
            <w:tab/>
          </w:r>
          <w:r w:rsidRPr="003A0C5C">
            <w:fldChar w:fldCharType="begin"/>
          </w:r>
          <w:r w:rsidRPr="003A0C5C">
            <w:instrText xml:space="preserve"> PAGEREF _Toc101791974 \h </w:instrText>
          </w:r>
          <w:r w:rsidRPr="003A0C5C">
            <w:fldChar w:fldCharType="separate"/>
          </w:r>
          <w:r w:rsidR="002348BC">
            <w:t>9</w:t>
          </w:r>
          <w:r w:rsidRPr="003A0C5C">
            <w:fldChar w:fldCharType="end"/>
          </w:r>
        </w:p>
        <w:p w14:paraId="1B7A6BF5" w14:textId="65AEBCEF" w:rsidR="00C04A9B" w:rsidRPr="003A0C5C" w:rsidRDefault="00C04A9B">
          <w:pPr>
            <w:pStyle w:val="TOC2"/>
            <w:tabs>
              <w:tab w:val="left" w:pos="2088"/>
            </w:tabs>
            <w:rPr>
              <w:rFonts w:asciiTheme="minorHAnsi" w:eastAsiaTheme="minorEastAsia" w:hAnsiTheme="minorHAnsi"/>
              <w:sz w:val="22"/>
              <w:szCs w:val="22"/>
            </w:rPr>
          </w:pPr>
          <w:r w:rsidRPr="003A0C5C">
            <w:t>2.5</w:t>
          </w:r>
          <w:r w:rsidRPr="003A0C5C">
            <w:rPr>
              <w:rFonts w:asciiTheme="minorHAnsi" w:eastAsiaTheme="minorEastAsia" w:hAnsiTheme="minorHAnsi"/>
              <w:sz w:val="22"/>
              <w:szCs w:val="22"/>
            </w:rPr>
            <w:tab/>
          </w:r>
          <w:r w:rsidRPr="003A0C5C">
            <w:t>Project Construction</w:t>
          </w:r>
          <w:r w:rsidRPr="003A0C5C">
            <w:tab/>
          </w:r>
          <w:r w:rsidRPr="003A0C5C">
            <w:fldChar w:fldCharType="begin"/>
          </w:r>
          <w:r w:rsidRPr="003A0C5C">
            <w:instrText xml:space="preserve"> PAGEREF _Toc101791975 \h </w:instrText>
          </w:r>
          <w:r w:rsidRPr="003A0C5C">
            <w:fldChar w:fldCharType="separate"/>
          </w:r>
          <w:r w:rsidR="002348BC">
            <w:t>12</w:t>
          </w:r>
          <w:r w:rsidRPr="003A0C5C">
            <w:fldChar w:fldCharType="end"/>
          </w:r>
        </w:p>
        <w:p w14:paraId="428C5937" w14:textId="54C2133E" w:rsidR="00C04A9B" w:rsidRPr="003A0C5C" w:rsidRDefault="00C04A9B">
          <w:pPr>
            <w:pStyle w:val="TOC2"/>
            <w:tabs>
              <w:tab w:val="left" w:pos="2088"/>
            </w:tabs>
            <w:rPr>
              <w:rFonts w:asciiTheme="minorHAnsi" w:eastAsiaTheme="minorEastAsia" w:hAnsiTheme="minorHAnsi"/>
              <w:sz w:val="22"/>
              <w:szCs w:val="22"/>
            </w:rPr>
          </w:pPr>
          <w:r w:rsidRPr="003A0C5C">
            <w:t>2.6</w:t>
          </w:r>
          <w:r w:rsidRPr="003A0C5C">
            <w:rPr>
              <w:rFonts w:asciiTheme="minorHAnsi" w:eastAsiaTheme="minorEastAsia" w:hAnsiTheme="minorHAnsi"/>
              <w:sz w:val="22"/>
              <w:szCs w:val="22"/>
            </w:rPr>
            <w:tab/>
          </w:r>
          <w:r w:rsidRPr="003A0C5C">
            <w:t>Project Operations</w:t>
          </w:r>
          <w:r w:rsidRPr="003A0C5C">
            <w:tab/>
          </w:r>
          <w:r w:rsidRPr="003A0C5C">
            <w:fldChar w:fldCharType="begin"/>
          </w:r>
          <w:r w:rsidRPr="003A0C5C">
            <w:instrText xml:space="preserve"> PAGEREF _Toc101791976 \h </w:instrText>
          </w:r>
          <w:r w:rsidRPr="003A0C5C">
            <w:fldChar w:fldCharType="separate"/>
          </w:r>
          <w:r w:rsidR="002348BC">
            <w:t>13</w:t>
          </w:r>
          <w:r w:rsidRPr="003A0C5C">
            <w:fldChar w:fldCharType="end"/>
          </w:r>
        </w:p>
        <w:p w14:paraId="1D476A33" w14:textId="3CC901C0" w:rsidR="00C04A9B" w:rsidRPr="003A0C5C" w:rsidRDefault="00C04A9B">
          <w:pPr>
            <w:pStyle w:val="TOC2"/>
            <w:tabs>
              <w:tab w:val="left" w:pos="2088"/>
            </w:tabs>
            <w:rPr>
              <w:rFonts w:asciiTheme="minorHAnsi" w:eastAsiaTheme="minorEastAsia" w:hAnsiTheme="minorHAnsi"/>
              <w:sz w:val="22"/>
              <w:szCs w:val="22"/>
            </w:rPr>
          </w:pPr>
          <w:r w:rsidRPr="003A0C5C">
            <w:t>2.7</w:t>
          </w:r>
          <w:r w:rsidRPr="003A0C5C">
            <w:rPr>
              <w:rFonts w:asciiTheme="minorHAnsi" w:eastAsiaTheme="minorEastAsia" w:hAnsiTheme="minorHAnsi"/>
              <w:sz w:val="22"/>
              <w:szCs w:val="22"/>
            </w:rPr>
            <w:tab/>
          </w:r>
          <w:r w:rsidRPr="003A0C5C">
            <w:t>Project Approvals and Discretionary Actions</w:t>
          </w:r>
          <w:r w:rsidRPr="003A0C5C">
            <w:tab/>
          </w:r>
          <w:r w:rsidRPr="003A0C5C">
            <w:fldChar w:fldCharType="begin"/>
          </w:r>
          <w:r w:rsidRPr="003A0C5C">
            <w:instrText xml:space="preserve"> PAGEREF _Toc101791977 \h </w:instrText>
          </w:r>
          <w:r w:rsidRPr="003A0C5C">
            <w:fldChar w:fldCharType="separate"/>
          </w:r>
          <w:r w:rsidR="002348BC">
            <w:t>13</w:t>
          </w:r>
          <w:r w:rsidRPr="003A0C5C">
            <w:fldChar w:fldCharType="end"/>
          </w:r>
        </w:p>
        <w:p w14:paraId="454D8D95" w14:textId="05C6FA65" w:rsidR="00C04A9B" w:rsidRPr="003A0C5C" w:rsidRDefault="00C04A9B">
          <w:pPr>
            <w:pStyle w:val="TOC1"/>
            <w:rPr>
              <w:rFonts w:asciiTheme="minorHAnsi" w:eastAsiaTheme="minorEastAsia" w:hAnsiTheme="minorHAnsi"/>
              <w:b w:val="0"/>
              <w:sz w:val="22"/>
              <w:szCs w:val="22"/>
            </w:rPr>
          </w:pPr>
          <w:r w:rsidRPr="003A0C5C">
            <w:t>Chapter 3</w:t>
          </w:r>
          <w:r w:rsidRPr="003A0C5C">
            <w:tab/>
            <w:t>Environmental Checklist</w:t>
          </w:r>
          <w:r w:rsidRPr="003A0C5C">
            <w:tab/>
          </w:r>
          <w:r w:rsidRPr="003A0C5C">
            <w:fldChar w:fldCharType="begin"/>
          </w:r>
          <w:r w:rsidRPr="003A0C5C">
            <w:instrText xml:space="preserve"> PAGEREF _Toc101791979 \h </w:instrText>
          </w:r>
          <w:r w:rsidRPr="003A0C5C">
            <w:fldChar w:fldCharType="separate"/>
          </w:r>
          <w:r w:rsidR="002348BC">
            <w:t>15</w:t>
          </w:r>
          <w:r w:rsidRPr="003A0C5C">
            <w:fldChar w:fldCharType="end"/>
          </w:r>
        </w:p>
        <w:p w14:paraId="4B3D749B" w14:textId="092B290B" w:rsidR="00C04A9B" w:rsidRPr="003A0C5C" w:rsidRDefault="00C04A9B">
          <w:pPr>
            <w:pStyle w:val="TOC3"/>
            <w:tabs>
              <w:tab w:val="left" w:pos="2088"/>
            </w:tabs>
            <w:rPr>
              <w:rFonts w:asciiTheme="minorHAnsi" w:eastAsiaTheme="minorEastAsia" w:hAnsiTheme="minorHAnsi"/>
              <w:sz w:val="22"/>
              <w:szCs w:val="22"/>
            </w:rPr>
          </w:pPr>
          <w:r w:rsidRPr="003A0C5C">
            <w:t>I.</w:t>
          </w:r>
          <w:r w:rsidRPr="003A0C5C">
            <w:rPr>
              <w:rFonts w:asciiTheme="minorHAnsi" w:eastAsiaTheme="minorEastAsia" w:hAnsiTheme="minorHAnsi"/>
              <w:sz w:val="22"/>
              <w:szCs w:val="22"/>
            </w:rPr>
            <w:tab/>
          </w:r>
          <w:r w:rsidRPr="003A0C5C">
            <w:t>Aesthetics</w:t>
          </w:r>
          <w:r w:rsidRPr="003A0C5C">
            <w:tab/>
          </w:r>
          <w:r w:rsidRPr="003A0C5C">
            <w:fldChar w:fldCharType="begin"/>
          </w:r>
          <w:r w:rsidRPr="003A0C5C">
            <w:instrText xml:space="preserve"> PAGEREF _Toc101791980 \h </w:instrText>
          </w:r>
          <w:r w:rsidRPr="003A0C5C">
            <w:fldChar w:fldCharType="separate"/>
          </w:r>
          <w:r w:rsidR="002348BC">
            <w:t>15</w:t>
          </w:r>
          <w:r w:rsidRPr="003A0C5C">
            <w:fldChar w:fldCharType="end"/>
          </w:r>
        </w:p>
        <w:p w14:paraId="0FAF323B" w14:textId="35F30DCE" w:rsidR="00C04A9B" w:rsidRPr="003A0C5C" w:rsidRDefault="00C04A9B">
          <w:pPr>
            <w:pStyle w:val="TOC3"/>
            <w:tabs>
              <w:tab w:val="left" w:pos="2088"/>
            </w:tabs>
            <w:rPr>
              <w:rFonts w:asciiTheme="minorHAnsi" w:eastAsiaTheme="minorEastAsia" w:hAnsiTheme="minorHAnsi"/>
              <w:sz w:val="22"/>
              <w:szCs w:val="22"/>
            </w:rPr>
          </w:pPr>
          <w:r w:rsidRPr="003A0C5C">
            <w:t>II.</w:t>
          </w:r>
          <w:r w:rsidRPr="003A0C5C">
            <w:rPr>
              <w:rFonts w:asciiTheme="minorHAnsi" w:eastAsiaTheme="minorEastAsia" w:hAnsiTheme="minorHAnsi"/>
              <w:sz w:val="22"/>
              <w:szCs w:val="22"/>
            </w:rPr>
            <w:tab/>
          </w:r>
          <w:r w:rsidRPr="003A0C5C">
            <w:t>Agriculture and Forestry Resources</w:t>
          </w:r>
          <w:r w:rsidRPr="003A0C5C">
            <w:tab/>
          </w:r>
          <w:r w:rsidRPr="003A0C5C">
            <w:fldChar w:fldCharType="begin"/>
          </w:r>
          <w:r w:rsidRPr="003A0C5C">
            <w:instrText xml:space="preserve"> PAGEREF _Toc101791981 \h </w:instrText>
          </w:r>
          <w:r w:rsidRPr="003A0C5C">
            <w:fldChar w:fldCharType="separate"/>
          </w:r>
          <w:r w:rsidR="002348BC">
            <w:t>18</w:t>
          </w:r>
          <w:r w:rsidRPr="003A0C5C">
            <w:fldChar w:fldCharType="end"/>
          </w:r>
        </w:p>
        <w:p w14:paraId="4F26C5B1" w14:textId="75511C54" w:rsidR="00C04A9B" w:rsidRPr="003A0C5C" w:rsidRDefault="00C04A9B">
          <w:pPr>
            <w:pStyle w:val="TOC3"/>
            <w:tabs>
              <w:tab w:val="left" w:pos="2088"/>
            </w:tabs>
            <w:rPr>
              <w:rFonts w:asciiTheme="minorHAnsi" w:eastAsiaTheme="minorEastAsia" w:hAnsiTheme="minorHAnsi"/>
              <w:sz w:val="22"/>
              <w:szCs w:val="22"/>
            </w:rPr>
          </w:pPr>
          <w:r w:rsidRPr="003A0C5C">
            <w:t>III.</w:t>
          </w:r>
          <w:r w:rsidRPr="003A0C5C">
            <w:rPr>
              <w:rFonts w:asciiTheme="minorHAnsi" w:eastAsiaTheme="minorEastAsia" w:hAnsiTheme="minorHAnsi"/>
              <w:sz w:val="22"/>
              <w:szCs w:val="22"/>
            </w:rPr>
            <w:tab/>
          </w:r>
          <w:r w:rsidRPr="003A0C5C">
            <w:t>Air Quality</w:t>
          </w:r>
          <w:r w:rsidRPr="003A0C5C">
            <w:tab/>
          </w:r>
          <w:r w:rsidRPr="003A0C5C">
            <w:fldChar w:fldCharType="begin"/>
          </w:r>
          <w:r w:rsidRPr="003A0C5C">
            <w:instrText xml:space="preserve"> PAGEREF _Toc101791982 \h </w:instrText>
          </w:r>
          <w:r w:rsidRPr="003A0C5C">
            <w:fldChar w:fldCharType="separate"/>
          </w:r>
          <w:r w:rsidR="002348BC">
            <w:t>20</w:t>
          </w:r>
          <w:r w:rsidRPr="003A0C5C">
            <w:fldChar w:fldCharType="end"/>
          </w:r>
        </w:p>
        <w:p w14:paraId="1D7B035A" w14:textId="21CDE1B2" w:rsidR="00C04A9B" w:rsidRPr="003A0C5C" w:rsidRDefault="00C04A9B">
          <w:pPr>
            <w:pStyle w:val="TOC3"/>
            <w:tabs>
              <w:tab w:val="left" w:pos="2088"/>
            </w:tabs>
            <w:rPr>
              <w:rFonts w:asciiTheme="minorHAnsi" w:eastAsiaTheme="minorEastAsia" w:hAnsiTheme="minorHAnsi"/>
              <w:sz w:val="22"/>
              <w:szCs w:val="22"/>
            </w:rPr>
          </w:pPr>
          <w:r w:rsidRPr="003A0C5C">
            <w:t>IV.</w:t>
          </w:r>
          <w:r w:rsidRPr="003A0C5C">
            <w:rPr>
              <w:rFonts w:asciiTheme="minorHAnsi" w:eastAsiaTheme="minorEastAsia" w:hAnsiTheme="minorHAnsi"/>
              <w:sz w:val="22"/>
              <w:szCs w:val="22"/>
            </w:rPr>
            <w:tab/>
          </w:r>
          <w:r w:rsidRPr="003A0C5C">
            <w:t>Biological Resources</w:t>
          </w:r>
          <w:r w:rsidRPr="003A0C5C">
            <w:tab/>
          </w:r>
          <w:r w:rsidRPr="003A0C5C">
            <w:fldChar w:fldCharType="begin"/>
          </w:r>
          <w:r w:rsidRPr="003A0C5C">
            <w:instrText xml:space="preserve"> PAGEREF _Toc101791983 \h </w:instrText>
          </w:r>
          <w:r w:rsidRPr="003A0C5C">
            <w:fldChar w:fldCharType="separate"/>
          </w:r>
          <w:r w:rsidR="002348BC">
            <w:t>35</w:t>
          </w:r>
          <w:r w:rsidRPr="003A0C5C">
            <w:fldChar w:fldCharType="end"/>
          </w:r>
        </w:p>
        <w:p w14:paraId="133C4454" w14:textId="3DAFAE38" w:rsidR="00C04A9B" w:rsidRPr="003A0C5C" w:rsidRDefault="00C04A9B">
          <w:pPr>
            <w:pStyle w:val="TOC3"/>
            <w:tabs>
              <w:tab w:val="left" w:pos="2088"/>
            </w:tabs>
            <w:rPr>
              <w:rFonts w:asciiTheme="minorHAnsi" w:eastAsiaTheme="minorEastAsia" w:hAnsiTheme="minorHAnsi"/>
              <w:sz w:val="22"/>
              <w:szCs w:val="22"/>
            </w:rPr>
          </w:pPr>
          <w:r w:rsidRPr="003A0C5C">
            <w:t>V.</w:t>
          </w:r>
          <w:r w:rsidRPr="003A0C5C">
            <w:rPr>
              <w:rFonts w:asciiTheme="minorHAnsi" w:eastAsiaTheme="minorEastAsia" w:hAnsiTheme="minorHAnsi"/>
              <w:sz w:val="22"/>
              <w:szCs w:val="22"/>
            </w:rPr>
            <w:tab/>
          </w:r>
          <w:r w:rsidRPr="003A0C5C">
            <w:t>Cultural Resources</w:t>
          </w:r>
          <w:r w:rsidRPr="003A0C5C">
            <w:tab/>
          </w:r>
          <w:r w:rsidRPr="003A0C5C">
            <w:fldChar w:fldCharType="begin"/>
          </w:r>
          <w:r w:rsidRPr="003A0C5C">
            <w:instrText xml:space="preserve"> PAGEREF _Toc101791984 \h </w:instrText>
          </w:r>
          <w:r w:rsidRPr="003A0C5C">
            <w:fldChar w:fldCharType="separate"/>
          </w:r>
          <w:r w:rsidR="002348BC">
            <w:t>38</w:t>
          </w:r>
          <w:r w:rsidRPr="003A0C5C">
            <w:fldChar w:fldCharType="end"/>
          </w:r>
        </w:p>
        <w:p w14:paraId="0A15F993" w14:textId="0C84CAD6" w:rsidR="00C04A9B" w:rsidRPr="003A0C5C" w:rsidRDefault="00C04A9B">
          <w:pPr>
            <w:pStyle w:val="TOC3"/>
            <w:tabs>
              <w:tab w:val="left" w:pos="2088"/>
            </w:tabs>
            <w:rPr>
              <w:rFonts w:asciiTheme="minorHAnsi" w:eastAsiaTheme="minorEastAsia" w:hAnsiTheme="minorHAnsi"/>
              <w:sz w:val="22"/>
              <w:szCs w:val="22"/>
            </w:rPr>
          </w:pPr>
          <w:r w:rsidRPr="003A0C5C">
            <w:t>VI.</w:t>
          </w:r>
          <w:r w:rsidRPr="003A0C5C">
            <w:rPr>
              <w:rFonts w:asciiTheme="minorHAnsi" w:eastAsiaTheme="minorEastAsia" w:hAnsiTheme="minorHAnsi"/>
              <w:sz w:val="22"/>
              <w:szCs w:val="22"/>
            </w:rPr>
            <w:tab/>
          </w:r>
          <w:r w:rsidRPr="003A0C5C">
            <w:t>Energy</w:t>
          </w:r>
          <w:r w:rsidRPr="003A0C5C">
            <w:tab/>
          </w:r>
          <w:r w:rsidRPr="003A0C5C">
            <w:fldChar w:fldCharType="begin"/>
          </w:r>
          <w:r w:rsidRPr="003A0C5C">
            <w:instrText xml:space="preserve"> PAGEREF _Toc101791985 \h </w:instrText>
          </w:r>
          <w:r w:rsidRPr="003A0C5C">
            <w:fldChar w:fldCharType="separate"/>
          </w:r>
          <w:r w:rsidR="002348BC">
            <w:t>45</w:t>
          </w:r>
          <w:r w:rsidRPr="003A0C5C">
            <w:fldChar w:fldCharType="end"/>
          </w:r>
        </w:p>
        <w:p w14:paraId="08143294" w14:textId="3517C8B4" w:rsidR="00C04A9B" w:rsidRPr="003A0C5C" w:rsidRDefault="00C04A9B">
          <w:pPr>
            <w:pStyle w:val="TOC3"/>
            <w:tabs>
              <w:tab w:val="left" w:pos="2088"/>
            </w:tabs>
            <w:rPr>
              <w:rFonts w:asciiTheme="minorHAnsi" w:eastAsiaTheme="minorEastAsia" w:hAnsiTheme="minorHAnsi"/>
              <w:sz w:val="22"/>
              <w:szCs w:val="22"/>
            </w:rPr>
          </w:pPr>
          <w:r w:rsidRPr="003A0C5C">
            <w:t>VII.</w:t>
          </w:r>
          <w:r w:rsidRPr="003A0C5C">
            <w:rPr>
              <w:rFonts w:asciiTheme="minorHAnsi" w:eastAsiaTheme="minorEastAsia" w:hAnsiTheme="minorHAnsi"/>
              <w:sz w:val="22"/>
              <w:szCs w:val="22"/>
            </w:rPr>
            <w:tab/>
          </w:r>
          <w:r w:rsidRPr="003A0C5C">
            <w:t>Geology and Soils</w:t>
          </w:r>
          <w:r w:rsidRPr="003A0C5C">
            <w:tab/>
          </w:r>
          <w:r w:rsidRPr="003A0C5C">
            <w:fldChar w:fldCharType="begin"/>
          </w:r>
          <w:r w:rsidRPr="003A0C5C">
            <w:instrText xml:space="preserve"> PAGEREF _Toc101791986 \h </w:instrText>
          </w:r>
          <w:r w:rsidRPr="003A0C5C">
            <w:fldChar w:fldCharType="separate"/>
          </w:r>
          <w:r w:rsidR="002348BC">
            <w:t>51</w:t>
          </w:r>
          <w:r w:rsidRPr="003A0C5C">
            <w:fldChar w:fldCharType="end"/>
          </w:r>
        </w:p>
        <w:p w14:paraId="09E517C2" w14:textId="5702A5D0" w:rsidR="00C04A9B" w:rsidRPr="003A0C5C" w:rsidRDefault="00C04A9B">
          <w:pPr>
            <w:pStyle w:val="TOC3"/>
            <w:tabs>
              <w:tab w:val="left" w:pos="2088"/>
            </w:tabs>
            <w:rPr>
              <w:rFonts w:asciiTheme="minorHAnsi" w:eastAsiaTheme="minorEastAsia" w:hAnsiTheme="minorHAnsi"/>
              <w:sz w:val="22"/>
              <w:szCs w:val="22"/>
            </w:rPr>
          </w:pPr>
          <w:r w:rsidRPr="003A0C5C">
            <w:t>VIII.</w:t>
          </w:r>
          <w:r w:rsidRPr="003A0C5C">
            <w:rPr>
              <w:rFonts w:asciiTheme="minorHAnsi" w:eastAsiaTheme="minorEastAsia" w:hAnsiTheme="minorHAnsi"/>
              <w:sz w:val="22"/>
              <w:szCs w:val="22"/>
            </w:rPr>
            <w:tab/>
          </w:r>
          <w:r w:rsidRPr="003A0C5C">
            <w:t>Greenhouse Gas Emissions</w:t>
          </w:r>
          <w:r w:rsidRPr="003A0C5C">
            <w:tab/>
          </w:r>
          <w:r w:rsidRPr="003A0C5C">
            <w:fldChar w:fldCharType="begin"/>
          </w:r>
          <w:r w:rsidRPr="003A0C5C">
            <w:instrText xml:space="preserve"> PAGEREF _Toc101791987 \h </w:instrText>
          </w:r>
          <w:r w:rsidRPr="003A0C5C">
            <w:fldChar w:fldCharType="separate"/>
          </w:r>
          <w:r w:rsidR="002348BC">
            <w:t>56</w:t>
          </w:r>
          <w:r w:rsidRPr="003A0C5C">
            <w:fldChar w:fldCharType="end"/>
          </w:r>
        </w:p>
        <w:p w14:paraId="34CD2599" w14:textId="64E48642" w:rsidR="00C04A9B" w:rsidRPr="003A0C5C" w:rsidRDefault="00C04A9B">
          <w:pPr>
            <w:pStyle w:val="TOC3"/>
            <w:tabs>
              <w:tab w:val="left" w:pos="2088"/>
            </w:tabs>
            <w:rPr>
              <w:rFonts w:asciiTheme="minorHAnsi" w:eastAsiaTheme="minorEastAsia" w:hAnsiTheme="minorHAnsi"/>
              <w:sz w:val="22"/>
              <w:szCs w:val="22"/>
            </w:rPr>
          </w:pPr>
          <w:r w:rsidRPr="003A0C5C">
            <w:t>IX.</w:t>
          </w:r>
          <w:r w:rsidRPr="003A0C5C">
            <w:rPr>
              <w:rFonts w:asciiTheme="minorHAnsi" w:eastAsiaTheme="minorEastAsia" w:hAnsiTheme="minorHAnsi"/>
              <w:sz w:val="22"/>
              <w:szCs w:val="22"/>
            </w:rPr>
            <w:tab/>
          </w:r>
          <w:r w:rsidRPr="003A0C5C">
            <w:t>Hazards and Hazardous Materials</w:t>
          </w:r>
          <w:r w:rsidRPr="003A0C5C">
            <w:tab/>
          </w:r>
          <w:r w:rsidRPr="003A0C5C">
            <w:fldChar w:fldCharType="begin"/>
          </w:r>
          <w:r w:rsidRPr="003A0C5C">
            <w:instrText xml:space="preserve"> PAGEREF _Toc101791988 \h </w:instrText>
          </w:r>
          <w:r w:rsidRPr="003A0C5C">
            <w:fldChar w:fldCharType="separate"/>
          </w:r>
          <w:r w:rsidR="002348BC">
            <w:t>62</w:t>
          </w:r>
          <w:r w:rsidRPr="003A0C5C">
            <w:fldChar w:fldCharType="end"/>
          </w:r>
        </w:p>
        <w:p w14:paraId="3D283A4B" w14:textId="3CEEAA8B" w:rsidR="00C04A9B" w:rsidRPr="003A0C5C" w:rsidRDefault="00C04A9B">
          <w:pPr>
            <w:pStyle w:val="TOC3"/>
            <w:tabs>
              <w:tab w:val="left" w:pos="2088"/>
            </w:tabs>
            <w:rPr>
              <w:rFonts w:asciiTheme="minorHAnsi" w:eastAsiaTheme="minorEastAsia" w:hAnsiTheme="minorHAnsi"/>
              <w:sz w:val="22"/>
              <w:szCs w:val="22"/>
            </w:rPr>
          </w:pPr>
          <w:r w:rsidRPr="003A0C5C">
            <w:t>X.</w:t>
          </w:r>
          <w:r w:rsidRPr="003A0C5C">
            <w:rPr>
              <w:rFonts w:asciiTheme="minorHAnsi" w:eastAsiaTheme="minorEastAsia" w:hAnsiTheme="minorHAnsi"/>
              <w:sz w:val="22"/>
              <w:szCs w:val="22"/>
            </w:rPr>
            <w:tab/>
          </w:r>
          <w:r w:rsidRPr="003A0C5C">
            <w:t>Hydrology and Water Quality</w:t>
          </w:r>
          <w:r w:rsidRPr="003A0C5C">
            <w:tab/>
          </w:r>
          <w:r w:rsidRPr="003A0C5C">
            <w:fldChar w:fldCharType="begin"/>
          </w:r>
          <w:r w:rsidRPr="003A0C5C">
            <w:instrText xml:space="preserve"> PAGEREF _Toc101791989 \h </w:instrText>
          </w:r>
          <w:r w:rsidRPr="003A0C5C">
            <w:fldChar w:fldCharType="separate"/>
          </w:r>
          <w:r w:rsidR="002348BC">
            <w:t>67</w:t>
          </w:r>
          <w:r w:rsidRPr="003A0C5C">
            <w:fldChar w:fldCharType="end"/>
          </w:r>
        </w:p>
        <w:p w14:paraId="4B5135AC" w14:textId="571AE465" w:rsidR="00C04A9B" w:rsidRPr="003A0C5C" w:rsidRDefault="00C04A9B">
          <w:pPr>
            <w:pStyle w:val="TOC3"/>
            <w:tabs>
              <w:tab w:val="left" w:pos="2088"/>
            </w:tabs>
            <w:rPr>
              <w:rFonts w:asciiTheme="minorHAnsi" w:eastAsiaTheme="minorEastAsia" w:hAnsiTheme="minorHAnsi"/>
              <w:sz w:val="22"/>
              <w:szCs w:val="22"/>
            </w:rPr>
          </w:pPr>
          <w:r w:rsidRPr="003A0C5C">
            <w:t>XI.</w:t>
          </w:r>
          <w:r w:rsidRPr="003A0C5C">
            <w:rPr>
              <w:rFonts w:asciiTheme="minorHAnsi" w:eastAsiaTheme="minorEastAsia" w:hAnsiTheme="minorHAnsi"/>
              <w:sz w:val="22"/>
              <w:szCs w:val="22"/>
            </w:rPr>
            <w:tab/>
          </w:r>
          <w:r w:rsidRPr="003A0C5C">
            <w:t>Land Use and Planning</w:t>
          </w:r>
          <w:r w:rsidRPr="003A0C5C">
            <w:tab/>
          </w:r>
          <w:r w:rsidRPr="003A0C5C">
            <w:fldChar w:fldCharType="begin"/>
          </w:r>
          <w:r w:rsidRPr="003A0C5C">
            <w:instrText xml:space="preserve"> PAGEREF _Toc101791990 \h </w:instrText>
          </w:r>
          <w:r w:rsidRPr="003A0C5C">
            <w:fldChar w:fldCharType="separate"/>
          </w:r>
          <w:r w:rsidR="002348BC">
            <w:t>72</w:t>
          </w:r>
          <w:r w:rsidRPr="003A0C5C">
            <w:fldChar w:fldCharType="end"/>
          </w:r>
        </w:p>
        <w:p w14:paraId="0584ECF1" w14:textId="795ADE16" w:rsidR="00C04A9B" w:rsidRPr="003A0C5C" w:rsidRDefault="00C04A9B">
          <w:pPr>
            <w:pStyle w:val="TOC3"/>
            <w:tabs>
              <w:tab w:val="left" w:pos="2088"/>
            </w:tabs>
            <w:rPr>
              <w:rFonts w:asciiTheme="minorHAnsi" w:eastAsiaTheme="minorEastAsia" w:hAnsiTheme="minorHAnsi"/>
              <w:sz w:val="22"/>
              <w:szCs w:val="22"/>
            </w:rPr>
          </w:pPr>
          <w:r w:rsidRPr="003A0C5C">
            <w:t>XII.</w:t>
          </w:r>
          <w:r w:rsidRPr="003A0C5C">
            <w:rPr>
              <w:rFonts w:asciiTheme="minorHAnsi" w:eastAsiaTheme="minorEastAsia" w:hAnsiTheme="minorHAnsi"/>
              <w:sz w:val="22"/>
              <w:szCs w:val="22"/>
            </w:rPr>
            <w:tab/>
          </w:r>
          <w:r w:rsidRPr="003A0C5C">
            <w:t>Mineral Resources</w:t>
          </w:r>
          <w:r w:rsidRPr="003A0C5C">
            <w:tab/>
          </w:r>
          <w:r w:rsidRPr="003A0C5C">
            <w:fldChar w:fldCharType="begin"/>
          </w:r>
          <w:r w:rsidRPr="003A0C5C">
            <w:instrText xml:space="preserve"> PAGEREF _Toc101791991 \h </w:instrText>
          </w:r>
          <w:r w:rsidRPr="003A0C5C">
            <w:fldChar w:fldCharType="separate"/>
          </w:r>
          <w:r w:rsidR="002348BC">
            <w:t>74</w:t>
          </w:r>
          <w:r w:rsidRPr="003A0C5C">
            <w:fldChar w:fldCharType="end"/>
          </w:r>
        </w:p>
        <w:p w14:paraId="57828AC7" w14:textId="5D0D2852" w:rsidR="00C04A9B" w:rsidRPr="003A0C5C" w:rsidRDefault="00C04A9B">
          <w:pPr>
            <w:pStyle w:val="TOC3"/>
            <w:tabs>
              <w:tab w:val="left" w:pos="2088"/>
            </w:tabs>
            <w:rPr>
              <w:rFonts w:asciiTheme="minorHAnsi" w:eastAsiaTheme="minorEastAsia" w:hAnsiTheme="minorHAnsi"/>
              <w:sz w:val="22"/>
              <w:szCs w:val="22"/>
            </w:rPr>
          </w:pPr>
          <w:r w:rsidRPr="003A0C5C">
            <w:t>XIII.</w:t>
          </w:r>
          <w:r w:rsidRPr="003A0C5C">
            <w:rPr>
              <w:rFonts w:asciiTheme="minorHAnsi" w:eastAsiaTheme="minorEastAsia" w:hAnsiTheme="minorHAnsi"/>
              <w:sz w:val="22"/>
              <w:szCs w:val="22"/>
            </w:rPr>
            <w:tab/>
          </w:r>
          <w:r w:rsidRPr="003A0C5C">
            <w:t>Noise</w:t>
          </w:r>
          <w:r w:rsidRPr="003A0C5C">
            <w:tab/>
          </w:r>
          <w:r w:rsidRPr="003A0C5C">
            <w:fldChar w:fldCharType="begin"/>
          </w:r>
          <w:r w:rsidRPr="003A0C5C">
            <w:instrText xml:space="preserve"> PAGEREF _Toc101791992 \h </w:instrText>
          </w:r>
          <w:r w:rsidRPr="003A0C5C">
            <w:fldChar w:fldCharType="separate"/>
          </w:r>
          <w:r w:rsidR="002348BC">
            <w:t>75</w:t>
          </w:r>
          <w:r w:rsidRPr="003A0C5C">
            <w:fldChar w:fldCharType="end"/>
          </w:r>
        </w:p>
        <w:p w14:paraId="4612DB18" w14:textId="4F8E0C0B" w:rsidR="00C04A9B" w:rsidRPr="003A0C5C" w:rsidRDefault="00C04A9B">
          <w:pPr>
            <w:pStyle w:val="TOC3"/>
            <w:tabs>
              <w:tab w:val="left" w:pos="2088"/>
            </w:tabs>
            <w:rPr>
              <w:rFonts w:asciiTheme="minorHAnsi" w:eastAsiaTheme="minorEastAsia" w:hAnsiTheme="minorHAnsi"/>
              <w:sz w:val="22"/>
              <w:szCs w:val="22"/>
            </w:rPr>
          </w:pPr>
          <w:r w:rsidRPr="003A0C5C">
            <w:t>XIV.</w:t>
          </w:r>
          <w:r w:rsidRPr="003A0C5C">
            <w:rPr>
              <w:rFonts w:asciiTheme="minorHAnsi" w:eastAsiaTheme="minorEastAsia" w:hAnsiTheme="minorHAnsi"/>
              <w:sz w:val="22"/>
              <w:szCs w:val="22"/>
            </w:rPr>
            <w:tab/>
          </w:r>
          <w:r w:rsidRPr="003A0C5C">
            <w:t>Population and Housing</w:t>
          </w:r>
          <w:r w:rsidRPr="003A0C5C">
            <w:tab/>
          </w:r>
          <w:r w:rsidRPr="003A0C5C">
            <w:fldChar w:fldCharType="begin"/>
          </w:r>
          <w:r w:rsidRPr="003A0C5C">
            <w:instrText xml:space="preserve"> PAGEREF _Toc101791993 \h </w:instrText>
          </w:r>
          <w:r w:rsidRPr="003A0C5C">
            <w:fldChar w:fldCharType="separate"/>
          </w:r>
          <w:r w:rsidR="002348BC">
            <w:t>94</w:t>
          </w:r>
          <w:r w:rsidRPr="003A0C5C">
            <w:fldChar w:fldCharType="end"/>
          </w:r>
        </w:p>
        <w:p w14:paraId="5C6C09A6" w14:textId="609747F0" w:rsidR="00C04A9B" w:rsidRPr="003A0C5C" w:rsidRDefault="00C04A9B">
          <w:pPr>
            <w:pStyle w:val="TOC3"/>
            <w:tabs>
              <w:tab w:val="left" w:pos="2088"/>
            </w:tabs>
            <w:rPr>
              <w:rFonts w:asciiTheme="minorHAnsi" w:eastAsiaTheme="minorEastAsia" w:hAnsiTheme="minorHAnsi"/>
              <w:sz w:val="22"/>
              <w:szCs w:val="22"/>
            </w:rPr>
          </w:pPr>
          <w:r w:rsidRPr="003A0C5C">
            <w:t>XV.</w:t>
          </w:r>
          <w:r w:rsidRPr="003A0C5C">
            <w:rPr>
              <w:rFonts w:asciiTheme="minorHAnsi" w:eastAsiaTheme="minorEastAsia" w:hAnsiTheme="minorHAnsi"/>
              <w:sz w:val="22"/>
              <w:szCs w:val="22"/>
            </w:rPr>
            <w:tab/>
          </w:r>
          <w:r w:rsidRPr="003A0C5C">
            <w:t>Public Services</w:t>
          </w:r>
          <w:r w:rsidRPr="003A0C5C">
            <w:tab/>
          </w:r>
          <w:r w:rsidRPr="003A0C5C">
            <w:fldChar w:fldCharType="begin"/>
          </w:r>
          <w:r w:rsidRPr="003A0C5C">
            <w:instrText xml:space="preserve"> PAGEREF _Toc101791994 \h </w:instrText>
          </w:r>
          <w:r w:rsidRPr="003A0C5C">
            <w:fldChar w:fldCharType="separate"/>
          </w:r>
          <w:r w:rsidR="002348BC">
            <w:t>95</w:t>
          </w:r>
          <w:r w:rsidRPr="003A0C5C">
            <w:fldChar w:fldCharType="end"/>
          </w:r>
        </w:p>
        <w:p w14:paraId="37BB0EA8" w14:textId="3BA81734" w:rsidR="00C04A9B" w:rsidRPr="003A0C5C" w:rsidRDefault="00C04A9B">
          <w:pPr>
            <w:pStyle w:val="TOC3"/>
            <w:tabs>
              <w:tab w:val="left" w:pos="2088"/>
            </w:tabs>
            <w:rPr>
              <w:rFonts w:asciiTheme="minorHAnsi" w:eastAsiaTheme="minorEastAsia" w:hAnsiTheme="minorHAnsi"/>
              <w:sz w:val="22"/>
              <w:szCs w:val="22"/>
            </w:rPr>
          </w:pPr>
          <w:r w:rsidRPr="003A0C5C">
            <w:t>XVI.</w:t>
          </w:r>
          <w:r w:rsidRPr="003A0C5C">
            <w:rPr>
              <w:rFonts w:asciiTheme="minorHAnsi" w:eastAsiaTheme="minorEastAsia" w:hAnsiTheme="minorHAnsi"/>
              <w:sz w:val="22"/>
              <w:szCs w:val="22"/>
            </w:rPr>
            <w:tab/>
          </w:r>
          <w:r w:rsidRPr="003A0C5C">
            <w:t>Recreation</w:t>
          </w:r>
          <w:r w:rsidRPr="003A0C5C">
            <w:tab/>
          </w:r>
          <w:r w:rsidRPr="003A0C5C">
            <w:fldChar w:fldCharType="begin"/>
          </w:r>
          <w:r w:rsidRPr="003A0C5C">
            <w:instrText xml:space="preserve"> PAGEREF _Toc101791995 \h </w:instrText>
          </w:r>
          <w:r w:rsidRPr="003A0C5C">
            <w:fldChar w:fldCharType="separate"/>
          </w:r>
          <w:r w:rsidR="002348BC">
            <w:t>98</w:t>
          </w:r>
          <w:r w:rsidRPr="003A0C5C">
            <w:fldChar w:fldCharType="end"/>
          </w:r>
        </w:p>
        <w:p w14:paraId="1E2E0558" w14:textId="1C17CD8C" w:rsidR="00C04A9B" w:rsidRPr="003A0C5C" w:rsidRDefault="00C04A9B">
          <w:pPr>
            <w:pStyle w:val="TOC3"/>
            <w:tabs>
              <w:tab w:val="left" w:pos="2520"/>
            </w:tabs>
            <w:rPr>
              <w:rFonts w:asciiTheme="minorHAnsi" w:eastAsiaTheme="minorEastAsia" w:hAnsiTheme="minorHAnsi"/>
              <w:sz w:val="22"/>
              <w:szCs w:val="22"/>
            </w:rPr>
          </w:pPr>
          <w:r w:rsidRPr="003A0C5C">
            <w:t>XVII.</w:t>
          </w:r>
          <w:r w:rsidRPr="003A0C5C">
            <w:rPr>
              <w:rFonts w:asciiTheme="minorHAnsi" w:eastAsiaTheme="minorEastAsia" w:hAnsiTheme="minorHAnsi"/>
              <w:sz w:val="22"/>
              <w:szCs w:val="22"/>
            </w:rPr>
            <w:tab/>
          </w:r>
          <w:r w:rsidRPr="003A0C5C">
            <w:t>Transportation</w:t>
          </w:r>
          <w:r w:rsidRPr="003A0C5C">
            <w:tab/>
          </w:r>
          <w:r w:rsidRPr="003A0C5C">
            <w:fldChar w:fldCharType="begin"/>
          </w:r>
          <w:r w:rsidRPr="003A0C5C">
            <w:instrText xml:space="preserve"> PAGEREF _Toc101791996 \h </w:instrText>
          </w:r>
          <w:r w:rsidRPr="003A0C5C">
            <w:fldChar w:fldCharType="separate"/>
          </w:r>
          <w:r w:rsidR="002348BC">
            <w:t>99</w:t>
          </w:r>
          <w:r w:rsidRPr="003A0C5C">
            <w:fldChar w:fldCharType="end"/>
          </w:r>
        </w:p>
        <w:p w14:paraId="668FD14A" w14:textId="0AFEF6BC" w:rsidR="00C04A9B" w:rsidRPr="003A0C5C" w:rsidRDefault="00C04A9B">
          <w:pPr>
            <w:pStyle w:val="TOC3"/>
            <w:tabs>
              <w:tab w:val="left" w:pos="2520"/>
            </w:tabs>
            <w:rPr>
              <w:rFonts w:asciiTheme="minorHAnsi" w:eastAsiaTheme="minorEastAsia" w:hAnsiTheme="minorHAnsi"/>
              <w:sz w:val="22"/>
              <w:szCs w:val="22"/>
            </w:rPr>
          </w:pPr>
          <w:r w:rsidRPr="003A0C5C">
            <w:t>XVIII.</w:t>
          </w:r>
          <w:r w:rsidRPr="003A0C5C">
            <w:rPr>
              <w:rFonts w:asciiTheme="minorHAnsi" w:eastAsiaTheme="minorEastAsia" w:hAnsiTheme="minorHAnsi"/>
              <w:sz w:val="22"/>
              <w:szCs w:val="22"/>
            </w:rPr>
            <w:tab/>
          </w:r>
          <w:r w:rsidRPr="003A0C5C">
            <w:t>Tribal Cultural Resources</w:t>
          </w:r>
          <w:r w:rsidRPr="003A0C5C">
            <w:tab/>
          </w:r>
          <w:r w:rsidRPr="003A0C5C">
            <w:fldChar w:fldCharType="begin"/>
          </w:r>
          <w:r w:rsidRPr="003A0C5C">
            <w:instrText xml:space="preserve"> PAGEREF _Toc101791997 \h </w:instrText>
          </w:r>
          <w:r w:rsidRPr="003A0C5C">
            <w:fldChar w:fldCharType="separate"/>
          </w:r>
          <w:r w:rsidR="002348BC">
            <w:t>102</w:t>
          </w:r>
          <w:r w:rsidRPr="003A0C5C">
            <w:fldChar w:fldCharType="end"/>
          </w:r>
        </w:p>
        <w:p w14:paraId="365CF94C" w14:textId="73FE6EAC" w:rsidR="00C04A9B" w:rsidRPr="003A0C5C" w:rsidRDefault="00C04A9B">
          <w:pPr>
            <w:pStyle w:val="TOC3"/>
            <w:tabs>
              <w:tab w:val="left" w:pos="2088"/>
            </w:tabs>
            <w:rPr>
              <w:rFonts w:asciiTheme="minorHAnsi" w:eastAsiaTheme="minorEastAsia" w:hAnsiTheme="minorHAnsi"/>
              <w:sz w:val="22"/>
              <w:szCs w:val="22"/>
            </w:rPr>
          </w:pPr>
          <w:r w:rsidRPr="003A0C5C">
            <w:t>XIX.</w:t>
          </w:r>
          <w:r w:rsidRPr="003A0C5C">
            <w:rPr>
              <w:rFonts w:asciiTheme="minorHAnsi" w:eastAsiaTheme="minorEastAsia" w:hAnsiTheme="minorHAnsi"/>
              <w:sz w:val="22"/>
              <w:szCs w:val="22"/>
            </w:rPr>
            <w:tab/>
          </w:r>
          <w:r w:rsidRPr="003A0C5C">
            <w:t>Utilities and Service Systems</w:t>
          </w:r>
          <w:r w:rsidRPr="003A0C5C">
            <w:tab/>
          </w:r>
          <w:r w:rsidRPr="003A0C5C">
            <w:fldChar w:fldCharType="begin"/>
          </w:r>
          <w:r w:rsidRPr="003A0C5C">
            <w:instrText xml:space="preserve"> PAGEREF _Toc101791998 \h </w:instrText>
          </w:r>
          <w:r w:rsidRPr="003A0C5C">
            <w:fldChar w:fldCharType="separate"/>
          </w:r>
          <w:r w:rsidR="002348BC">
            <w:t>106</w:t>
          </w:r>
          <w:r w:rsidRPr="003A0C5C">
            <w:fldChar w:fldCharType="end"/>
          </w:r>
        </w:p>
        <w:p w14:paraId="27D4A44A" w14:textId="3647F5ED" w:rsidR="00C04A9B" w:rsidRPr="003A0C5C" w:rsidRDefault="00C04A9B">
          <w:pPr>
            <w:pStyle w:val="TOC3"/>
            <w:tabs>
              <w:tab w:val="left" w:pos="2088"/>
            </w:tabs>
            <w:rPr>
              <w:rFonts w:asciiTheme="minorHAnsi" w:eastAsiaTheme="minorEastAsia" w:hAnsiTheme="minorHAnsi"/>
              <w:sz w:val="22"/>
              <w:szCs w:val="22"/>
            </w:rPr>
          </w:pPr>
          <w:r w:rsidRPr="003A0C5C">
            <w:t>XX.</w:t>
          </w:r>
          <w:r w:rsidRPr="003A0C5C">
            <w:rPr>
              <w:rFonts w:asciiTheme="minorHAnsi" w:eastAsiaTheme="minorEastAsia" w:hAnsiTheme="minorHAnsi"/>
              <w:sz w:val="22"/>
              <w:szCs w:val="22"/>
            </w:rPr>
            <w:tab/>
          </w:r>
          <w:r w:rsidRPr="003A0C5C">
            <w:t>Wildfire</w:t>
          </w:r>
          <w:r w:rsidRPr="003A0C5C">
            <w:tab/>
          </w:r>
          <w:r w:rsidRPr="003A0C5C">
            <w:fldChar w:fldCharType="begin"/>
          </w:r>
          <w:r w:rsidRPr="003A0C5C">
            <w:instrText xml:space="preserve"> PAGEREF _Toc101791999 \h </w:instrText>
          </w:r>
          <w:r w:rsidRPr="003A0C5C">
            <w:fldChar w:fldCharType="separate"/>
          </w:r>
          <w:r w:rsidR="002348BC">
            <w:t>111</w:t>
          </w:r>
          <w:r w:rsidRPr="003A0C5C">
            <w:fldChar w:fldCharType="end"/>
          </w:r>
        </w:p>
        <w:p w14:paraId="23AF6FE5" w14:textId="315BB819" w:rsidR="00C04A9B" w:rsidRPr="003A0C5C" w:rsidRDefault="00C04A9B">
          <w:pPr>
            <w:pStyle w:val="TOC3"/>
            <w:tabs>
              <w:tab w:val="left" w:pos="2088"/>
            </w:tabs>
            <w:rPr>
              <w:rFonts w:asciiTheme="minorHAnsi" w:eastAsiaTheme="minorEastAsia" w:hAnsiTheme="minorHAnsi"/>
              <w:sz w:val="22"/>
              <w:szCs w:val="22"/>
            </w:rPr>
          </w:pPr>
          <w:r w:rsidRPr="003A0C5C">
            <w:t>XXI.</w:t>
          </w:r>
          <w:r w:rsidRPr="003A0C5C">
            <w:rPr>
              <w:rFonts w:asciiTheme="minorHAnsi" w:eastAsiaTheme="minorEastAsia" w:hAnsiTheme="minorHAnsi"/>
              <w:sz w:val="22"/>
              <w:szCs w:val="22"/>
            </w:rPr>
            <w:tab/>
          </w:r>
          <w:r w:rsidRPr="003A0C5C">
            <w:t>Mandatory Findings of Significance</w:t>
          </w:r>
          <w:r w:rsidRPr="003A0C5C">
            <w:tab/>
          </w:r>
          <w:r w:rsidRPr="003A0C5C">
            <w:fldChar w:fldCharType="begin"/>
          </w:r>
          <w:r w:rsidRPr="003A0C5C">
            <w:instrText xml:space="preserve"> PAGEREF _Toc101792000 \h </w:instrText>
          </w:r>
          <w:r w:rsidRPr="003A0C5C">
            <w:fldChar w:fldCharType="separate"/>
          </w:r>
          <w:r w:rsidR="002348BC">
            <w:t>113</w:t>
          </w:r>
          <w:r w:rsidRPr="003A0C5C">
            <w:fldChar w:fldCharType="end"/>
          </w:r>
        </w:p>
        <w:p w14:paraId="52305986" w14:textId="260D7D23" w:rsidR="00C04A9B" w:rsidRPr="003A0C5C" w:rsidRDefault="00C04A9B">
          <w:pPr>
            <w:pStyle w:val="TOC1"/>
            <w:rPr>
              <w:rFonts w:asciiTheme="minorHAnsi" w:eastAsiaTheme="minorEastAsia" w:hAnsiTheme="minorHAnsi"/>
              <w:b w:val="0"/>
              <w:sz w:val="22"/>
              <w:szCs w:val="22"/>
            </w:rPr>
          </w:pPr>
          <w:r w:rsidRPr="003A0C5C">
            <w:t>Chapter 4</w:t>
          </w:r>
          <w:r w:rsidRPr="003A0C5C">
            <w:tab/>
            <w:t>References</w:t>
          </w:r>
          <w:r w:rsidRPr="003A0C5C">
            <w:tab/>
          </w:r>
          <w:r w:rsidRPr="003A0C5C">
            <w:fldChar w:fldCharType="begin"/>
          </w:r>
          <w:r w:rsidRPr="003A0C5C">
            <w:instrText xml:space="preserve"> PAGEREF _Toc101792002 \h </w:instrText>
          </w:r>
          <w:r w:rsidRPr="003A0C5C">
            <w:fldChar w:fldCharType="separate"/>
          </w:r>
          <w:r w:rsidR="002348BC">
            <w:t>115</w:t>
          </w:r>
          <w:r w:rsidRPr="003A0C5C">
            <w:fldChar w:fldCharType="end"/>
          </w:r>
        </w:p>
        <w:p w14:paraId="6CC47757" w14:textId="38342748" w:rsidR="004F426E" w:rsidRPr="003A0C5C" w:rsidRDefault="00973293" w:rsidP="0031316C">
          <w:pPr>
            <w:rPr>
              <w:highlight w:val="yellow"/>
            </w:rPr>
          </w:pPr>
          <w:r w:rsidRPr="003A0C5C">
            <w:rPr>
              <w:rFonts w:ascii="Arial" w:hAnsi="Arial"/>
              <w:b/>
              <w:noProof/>
              <w:sz w:val="21"/>
              <w:highlight w:val="yellow"/>
            </w:rPr>
            <w:fldChar w:fldCharType="end"/>
          </w:r>
        </w:p>
      </w:sdtContent>
    </w:sdt>
    <w:p w14:paraId="482341E3" w14:textId="77777777" w:rsidR="005E2F94" w:rsidRPr="003A0C5C" w:rsidRDefault="005E2F94" w:rsidP="00505CCD">
      <w:pPr>
        <w:pStyle w:val="TOCSection"/>
        <w:keepLines/>
      </w:pPr>
      <w:r w:rsidRPr="003A0C5C">
        <w:lastRenderedPageBreak/>
        <w:t>Appendices</w:t>
      </w:r>
    </w:p>
    <w:p w14:paraId="0BA36FEB" w14:textId="7902B759" w:rsidR="005E2F94" w:rsidRPr="003A0C5C" w:rsidRDefault="00CD2E2E" w:rsidP="00505CCD">
      <w:pPr>
        <w:pStyle w:val="TOCAppendix"/>
        <w:keepNext/>
        <w:keepLines/>
      </w:pPr>
      <w:r w:rsidRPr="003A0C5C">
        <w:t>Appendix </w:t>
      </w:r>
      <w:r w:rsidR="005E2F94" w:rsidRPr="003A0C5C">
        <w:t>A</w:t>
      </w:r>
      <w:r w:rsidR="0031316C" w:rsidRPr="003A0C5C">
        <w:tab/>
      </w:r>
      <w:r w:rsidR="00A77095" w:rsidRPr="003A0C5C">
        <w:t>Air Quality Modeling Files</w:t>
      </w:r>
    </w:p>
    <w:p w14:paraId="180944AB" w14:textId="14AD9516" w:rsidR="00290CFF" w:rsidRPr="003A0C5C" w:rsidRDefault="00CD2E2E" w:rsidP="00505CCD">
      <w:pPr>
        <w:pStyle w:val="TOCAppendix"/>
        <w:keepNext/>
        <w:keepLines/>
      </w:pPr>
      <w:r w:rsidRPr="003A0C5C">
        <w:t>Appendix </w:t>
      </w:r>
      <w:r w:rsidR="005E2F94" w:rsidRPr="003A0C5C">
        <w:t>B</w:t>
      </w:r>
      <w:r w:rsidR="0031316C" w:rsidRPr="003A0C5C">
        <w:tab/>
      </w:r>
      <w:r w:rsidR="00A77095" w:rsidRPr="003A0C5C">
        <w:t>Biological Resources Memorandum</w:t>
      </w:r>
    </w:p>
    <w:p w14:paraId="369C13BC" w14:textId="4C86E222" w:rsidR="005E2F94" w:rsidRPr="003A0C5C" w:rsidRDefault="00CD2E2E" w:rsidP="00505CCD">
      <w:pPr>
        <w:pStyle w:val="TOCAppendix"/>
        <w:keepNext/>
        <w:keepLines/>
      </w:pPr>
      <w:r w:rsidRPr="003A0C5C">
        <w:t>Appendix </w:t>
      </w:r>
      <w:r w:rsidR="005E2F94" w:rsidRPr="003A0C5C">
        <w:t>C</w:t>
      </w:r>
      <w:r w:rsidR="0031316C" w:rsidRPr="003A0C5C">
        <w:tab/>
      </w:r>
      <w:r w:rsidR="00A77095" w:rsidRPr="003A0C5C">
        <w:t>Cultural Resources Assessment Report</w:t>
      </w:r>
      <w:r w:rsidR="008D053E" w:rsidRPr="003A0C5C">
        <w:t xml:space="preserve"> (Confidential)</w:t>
      </w:r>
    </w:p>
    <w:p w14:paraId="1CADF54E" w14:textId="1A1AD90D" w:rsidR="005E2F94" w:rsidRPr="003A0C5C" w:rsidRDefault="00CD2E2E" w:rsidP="00505CCD">
      <w:pPr>
        <w:pStyle w:val="TOCAppendix"/>
        <w:keepNext/>
        <w:keepLines/>
      </w:pPr>
      <w:r w:rsidRPr="003A0C5C">
        <w:t>Appendix </w:t>
      </w:r>
      <w:r w:rsidR="005E2F94" w:rsidRPr="003A0C5C">
        <w:t>D</w:t>
      </w:r>
      <w:r w:rsidR="0031316C" w:rsidRPr="003A0C5C">
        <w:tab/>
      </w:r>
      <w:r w:rsidR="00A77095" w:rsidRPr="003A0C5C">
        <w:t>Energy Calculations</w:t>
      </w:r>
    </w:p>
    <w:p w14:paraId="58A87B4A" w14:textId="6EA403DD" w:rsidR="005E2F94" w:rsidRPr="003A0C5C" w:rsidRDefault="00CD2E2E" w:rsidP="00505CCD">
      <w:pPr>
        <w:pStyle w:val="TOCAppendix"/>
        <w:keepNext/>
        <w:keepLines/>
      </w:pPr>
      <w:r w:rsidRPr="003A0C5C">
        <w:t>Appendix </w:t>
      </w:r>
      <w:r w:rsidR="005E2F94" w:rsidRPr="003A0C5C">
        <w:t>E</w:t>
      </w:r>
      <w:r w:rsidR="0031316C" w:rsidRPr="003A0C5C">
        <w:tab/>
      </w:r>
      <w:r w:rsidR="00A77095" w:rsidRPr="003A0C5C">
        <w:t>Geotechnical Investigation</w:t>
      </w:r>
    </w:p>
    <w:p w14:paraId="528EAA70" w14:textId="1AE03FC6" w:rsidR="005E2F94" w:rsidRPr="003A0C5C" w:rsidRDefault="00CD2E2E" w:rsidP="00505CCD">
      <w:pPr>
        <w:pStyle w:val="TOCAppendix"/>
        <w:keepNext/>
        <w:keepLines/>
      </w:pPr>
      <w:r w:rsidRPr="003A0C5C">
        <w:t>Appendix </w:t>
      </w:r>
      <w:r w:rsidR="005E2F94" w:rsidRPr="003A0C5C">
        <w:t>F</w:t>
      </w:r>
      <w:r w:rsidR="0031316C" w:rsidRPr="003A0C5C">
        <w:tab/>
      </w:r>
      <w:r w:rsidR="00A77095" w:rsidRPr="003A0C5C">
        <w:t>Paleontological Resources Assessment Report</w:t>
      </w:r>
      <w:r w:rsidR="008D053E" w:rsidRPr="003A0C5C">
        <w:t xml:space="preserve"> (Confidential)</w:t>
      </w:r>
    </w:p>
    <w:p w14:paraId="5517B07E" w14:textId="05543221" w:rsidR="00290CFF" w:rsidRPr="003A0C5C" w:rsidRDefault="00CD2E2E" w:rsidP="00505CCD">
      <w:pPr>
        <w:pStyle w:val="TOCAppendix"/>
        <w:keepNext/>
        <w:keepLines/>
      </w:pPr>
      <w:r w:rsidRPr="003A0C5C">
        <w:t>Appendix </w:t>
      </w:r>
      <w:r w:rsidR="002F0FE0" w:rsidRPr="003A0C5C">
        <w:t>G</w:t>
      </w:r>
      <w:r w:rsidR="0031316C" w:rsidRPr="003A0C5C">
        <w:tab/>
      </w:r>
      <w:r w:rsidR="00A77095" w:rsidRPr="003A0C5C">
        <w:t>Greenhouse Gas Modeling Files</w:t>
      </w:r>
    </w:p>
    <w:p w14:paraId="319F1534" w14:textId="2BCE6272" w:rsidR="00E454D2" w:rsidRPr="003A0C5C" w:rsidRDefault="00E454D2" w:rsidP="0031316C">
      <w:pPr>
        <w:pStyle w:val="TOCAppendix"/>
      </w:pPr>
      <w:r w:rsidRPr="003A0C5C">
        <w:t>Appendix H</w:t>
      </w:r>
      <w:r w:rsidRPr="003A0C5C">
        <w:tab/>
      </w:r>
      <w:r w:rsidR="00A77095" w:rsidRPr="003A0C5C">
        <w:t>Phase I Environmental Site Assessment</w:t>
      </w:r>
    </w:p>
    <w:p w14:paraId="6ED7C53B" w14:textId="0C3CE2F4" w:rsidR="00E454D2" w:rsidRPr="003A0C5C" w:rsidRDefault="00E454D2" w:rsidP="0031316C">
      <w:pPr>
        <w:pStyle w:val="TOCAppendix"/>
      </w:pPr>
      <w:r w:rsidRPr="003A0C5C">
        <w:t>Appendix I</w:t>
      </w:r>
      <w:r w:rsidRPr="003A0C5C">
        <w:tab/>
      </w:r>
      <w:r w:rsidR="003047F7" w:rsidRPr="003A0C5C">
        <w:t>Utilities Memorandum</w:t>
      </w:r>
    </w:p>
    <w:p w14:paraId="58DFE15A" w14:textId="74A402C7" w:rsidR="00E454D2" w:rsidRPr="003A0C5C" w:rsidRDefault="00E454D2" w:rsidP="0031316C">
      <w:pPr>
        <w:pStyle w:val="TOCAppendix"/>
      </w:pPr>
      <w:r w:rsidRPr="003A0C5C">
        <w:t>Appendix J</w:t>
      </w:r>
      <w:r w:rsidRPr="003A0C5C">
        <w:tab/>
      </w:r>
      <w:r w:rsidR="00A77095" w:rsidRPr="003A0C5C">
        <w:t>Low Impact Development Plan</w:t>
      </w:r>
    </w:p>
    <w:p w14:paraId="186F4121" w14:textId="4C56D451" w:rsidR="00E454D2" w:rsidRPr="003A0C5C" w:rsidRDefault="00E454D2" w:rsidP="0031316C">
      <w:pPr>
        <w:pStyle w:val="TOCAppendix"/>
      </w:pPr>
      <w:r w:rsidRPr="003A0C5C">
        <w:t>Appendix K</w:t>
      </w:r>
      <w:r w:rsidRPr="003A0C5C">
        <w:tab/>
      </w:r>
      <w:r w:rsidR="003B5DE7" w:rsidRPr="003A0C5C">
        <w:t>Noise Measurement Calculations</w:t>
      </w:r>
    </w:p>
    <w:p w14:paraId="1A5BACC7" w14:textId="3AAD52FB" w:rsidR="00E454D2" w:rsidRPr="003A0C5C" w:rsidRDefault="00E454D2" w:rsidP="0031316C">
      <w:pPr>
        <w:pStyle w:val="TOCAppendix"/>
      </w:pPr>
      <w:r w:rsidRPr="003A0C5C">
        <w:t>Appendix L</w:t>
      </w:r>
      <w:r w:rsidRPr="003A0C5C">
        <w:tab/>
      </w:r>
      <w:r w:rsidR="003B5DE7" w:rsidRPr="003A0C5C">
        <w:t>Local Transportation Assessment</w:t>
      </w:r>
    </w:p>
    <w:p w14:paraId="45336DF6" w14:textId="7055E997" w:rsidR="00E454D2" w:rsidRPr="003A0C5C" w:rsidRDefault="00E454D2" w:rsidP="0031316C">
      <w:pPr>
        <w:pStyle w:val="TOCAppendix"/>
      </w:pPr>
      <w:r w:rsidRPr="003A0C5C">
        <w:t>Appendix M</w:t>
      </w:r>
      <w:r w:rsidRPr="003A0C5C">
        <w:tab/>
      </w:r>
      <w:r w:rsidR="003B5DE7" w:rsidRPr="003A0C5C">
        <w:t xml:space="preserve">AB 52 </w:t>
      </w:r>
      <w:r w:rsidR="003047F7" w:rsidRPr="003A0C5C">
        <w:t xml:space="preserve">and </w:t>
      </w:r>
      <w:r w:rsidR="00D33A9E" w:rsidRPr="003A0C5C">
        <w:t>S</w:t>
      </w:r>
      <w:r w:rsidR="003047F7" w:rsidRPr="003A0C5C">
        <w:t xml:space="preserve">B 18 </w:t>
      </w:r>
      <w:r w:rsidR="003B5DE7" w:rsidRPr="003A0C5C">
        <w:t>Notification</w:t>
      </w:r>
    </w:p>
    <w:p w14:paraId="08DAAF36" w14:textId="2570C65E" w:rsidR="004F426E" w:rsidRPr="003A0C5C" w:rsidRDefault="004F426E" w:rsidP="004E2B77">
      <w:pPr>
        <w:pStyle w:val="TOCSection"/>
      </w:pPr>
      <w:r w:rsidRPr="003A0C5C">
        <w:t>Figures</w:t>
      </w:r>
    </w:p>
    <w:p w14:paraId="552DD0D2" w14:textId="2EB40005" w:rsidR="008016C0" w:rsidRPr="003A0C5C" w:rsidRDefault="004F426E">
      <w:pPr>
        <w:pStyle w:val="TableofFigures"/>
        <w:rPr>
          <w:rFonts w:asciiTheme="minorHAnsi" w:eastAsiaTheme="minorEastAsia" w:hAnsiTheme="minorHAnsi"/>
          <w:sz w:val="22"/>
          <w:szCs w:val="22"/>
        </w:rPr>
      </w:pPr>
      <w:r w:rsidRPr="003A0C5C">
        <w:fldChar w:fldCharType="begin"/>
      </w:r>
      <w:r w:rsidRPr="003A0C5C">
        <w:instrText xml:space="preserve"> TOC \h \z \t "Figure" \c </w:instrText>
      </w:r>
      <w:r w:rsidRPr="003A0C5C">
        <w:fldChar w:fldCharType="separate"/>
      </w:r>
      <w:hyperlink w:anchor="_Toc101792188" w:history="1">
        <w:r w:rsidR="008016C0" w:rsidRPr="003A0C5C">
          <w:rPr>
            <w:rStyle w:val="Hyperlink"/>
          </w:rPr>
          <w:t>Figure 2</w:t>
        </w:r>
        <w:r w:rsidR="008016C0" w:rsidRPr="003A0C5C">
          <w:rPr>
            <w:rStyle w:val="Hyperlink"/>
          </w:rPr>
          <w:noBreakHyphen/>
          <w:t>1</w:t>
        </w:r>
        <w:r w:rsidR="008016C0" w:rsidRPr="003A0C5C">
          <w:rPr>
            <w:rFonts w:asciiTheme="minorHAnsi" w:eastAsiaTheme="minorEastAsia" w:hAnsiTheme="minorHAnsi"/>
            <w:sz w:val="22"/>
            <w:szCs w:val="22"/>
          </w:rPr>
          <w:tab/>
        </w:r>
        <w:r w:rsidR="008016C0" w:rsidRPr="003A0C5C">
          <w:rPr>
            <w:rStyle w:val="Hyperlink"/>
          </w:rPr>
          <w:t>Project Site and Regional Location</w:t>
        </w:r>
        <w:r w:rsidR="008016C0" w:rsidRPr="003A0C5C">
          <w:rPr>
            <w:webHidden/>
          </w:rPr>
          <w:tab/>
        </w:r>
        <w:r w:rsidR="008016C0" w:rsidRPr="003A0C5C">
          <w:rPr>
            <w:webHidden/>
          </w:rPr>
          <w:fldChar w:fldCharType="begin"/>
        </w:r>
        <w:r w:rsidR="008016C0" w:rsidRPr="003A0C5C">
          <w:rPr>
            <w:webHidden/>
          </w:rPr>
          <w:instrText xml:space="preserve"> PAGEREF _Toc101792188 \h </w:instrText>
        </w:r>
        <w:r w:rsidR="008016C0" w:rsidRPr="003A0C5C">
          <w:rPr>
            <w:webHidden/>
          </w:rPr>
        </w:r>
        <w:r w:rsidR="008016C0" w:rsidRPr="003A0C5C">
          <w:rPr>
            <w:webHidden/>
          </w:rPr>
          <w:fldChar w:fldCharType="separate"/>
        </w:r>
        <w:r w:rsidR="00E66583">
          <w:rPr>
            <w:webHidden/>
          </w:rPr>
          <w:t>6</w:t>
        </w:r>
        <w:r w:rsidR="008016C0" w:rsidRPr="003A0C5C">
          <w:rPr>
            <w:webHidden/>
          </w:rPr>
          <w:fldChar w:fldCharType="end"/>
        </w:r>
      </w:hyperlink>
    </w:p>
    <w:p w14:paraId="59B0F861" w14:textId="0068F301" w:rsidR="008016C0" w:rsidRPr="003A0C5C" w:rsidRDefault="002348BC">
      <w:pPr>
        <w:pStyle w:val="TableofFigures"/>
        <w:rPr>
          <w:rFonts w:asciiTheme="minorHAnsi" w:eastAsiaTheme="minorEastAsia" w:hAnsiTheme="minorHAnsi"/>
          <w:sz w:val="22"/>
          <w:szCs w:val="22"/>
        </w:rPr>
      </w:pPr>
      <w:hyperlink w:anchor="_Toc101792189" w:history="1">
        <w:r w:rsidR="008016C0" w:rsidRPr="003A0C5C">
          <w:rPr>
            <w:rStyle w:val="Hyperlink"/>
          </w:rPr>
          <w:t>Figure 2</w:t>
        </w:r>
        <w:r w:rsidR="008016C0" w:rsidRPr="003A0C5C">
          <w:rPr>
            <w:rStyle w:val="Hyperlink"/>
          </w:rPr>
          <w:noBreakHyphen/>
          <w:t>2</w:t>
        </w:r>
        <w:r w:rsidR="008016C0" w:rsidRPr="003A0C5C">
          <w:rPr>
            <w:rFonts w:asciiTheme="minorHAnsi" w:eastAsiaTheme="minorEastAsia" w:hAnsiTheme="minorHAnsi"/>
            <w:sz w:val="22"/>
            <w:szCs w:val="22"/>
          </w:rPr>
          <w:tab/>
        </w:r>
        <w:r w:rsidR="008016C0" w:rsidRPr="003A0C5C">
          <w:rPr>
            <w:rStyle w:val="Hyperlink"/>
          </w:rPr>
          <w:t>Aerial Photograph</w:t>
        </w:r>
        <w:r w:rsidR="008016C0" w:rsidRPr="003A0C5C">
          <w:rPr>
            <w:webHidden/>
          </w:rPr>
          <w:tab/>
        </w:r>
        <w:r w:rsidR="008016C0" w:rsidRPr="003A0C5C">
          <w:rPr>
            <w:webHidden/>
          </w:rPr>
          <w:fldChar w:fldCharType="begin"/>
        </w:r>
        <w:r w:rsidR="008016C0" w:rsidRPr="003A0C5C">
          <w:rPr>
            <w:webHidden/>
          </w:rPr>
          <w:instrText xml:space="preserve"> PAGEREF _Toc101792189 \h </w:instrText>
        </w:r>
        <w:r w:rsidR="008016C0" w:rsidRPr="003A0C5C">
          <w:rPr>
            <w:webHidden/>
          </w:rPr>
        </w:r>
        <w:r w:rsidR="008016C0" w:rsidRPr="003A0C5C">
          <w:rPr>
            <w:webHidden/>
          </w:rPr>
          <w:fldChar w:fldCharType="separate"/>
        </w:r>
        <w:r w:rsidR="00E66583">
          <w:rPr>
            <w:webHidden/>
          </w:rPr>
          <w:t>7</w:t>
        </w:r>
        <w:r w:rsidR="008016C0" w:rsidRPr="003A0C5C">
          <w:rPr>
            <w:webHidden/>
          </w:rPr>
          <w:fldChar w:fldCharType="end"/>
        </w:r>
      </w:hyperlink>
    </w:p>
    <w:p w14:paraId="7535973F" w14:textId="71C4AAD0" w:rsidR="008016C0" w:rsidRPr="003A0C5C" w:rsidRDefault="002348BC">
      <w:pPr>
        <w:pStyle w:val="TableofFigures"/>
        <w:rPr>
          <w:rFonts w:asciiTheme="minorHAnsi" w:eastAsiaTheme="minorEastAsia" w:hAnsiTheme="minorHAnsi"/>
          <w:sz w:val="22"/>
          <w:szCs w:val="22"/>
        </w:rPr>
      </w:pPr>
      <w:hyperlink w:anchor="_Toc101792190" w:history="1">
        <w:r w:rsidR="008016C0" w:rsidRPr="003A0C5C">
          <w:rPr>
            <w:rStyle w:val="Hyperlink"/>
          </w:rPr>
          <w:t>Figure 2</w:t>
        </w:r>
        <w:r w:rsidR="008016C0" w:rsidRPr="003A0C5C">
          <w:rPr>
            <w:rStyle w:val="Hyperlink"/>
          </w:rPr>
          <w:noBreakHyphen/>
          <w:t>3</w:t>
        </w:r>
        <w:r w:rsidR="008016C0" w:rsidRPr="003A0C5C">
          <w:rPr>
            <w:rFonts w:asciiTheme="minorHAnsi" w:eastAsiaTheme="minorEastAsia" w:hAnsiTheme="minorHAnsi"/>
            <w:sz w:val="22"/>
            <w:szCs w:val="22"/>
          </w:rPr>
          <w:tab/>
        </w:r>
        <w:r w:rsidR="008016C0" w:rsidRPr="003A0C5C">
          <w:rPr>
            <w:rStyle w:val="Hyperlink"/>
          </w:rPr>
          <w:t>Conceptual Site Plan</w:t>
        </w:r>
        <w:r w:rsidR="008016C0" w:rsidRPr="003A0C5C">
          <w:rPr>
            <w:webHidden/>
          </w:rPr>
          <w:tab/>
        </w:r>
        <w:r w:rsidR="008016C0" w:rsidRPr="003A0C5C">
          <w:rPr>
            <w:webHidden/>
          </w:rPr>
          <w:fldChar w:fldCharType="begin"/>
        </w:r>
        <w:r w:rsidR="008016C0" w:rsidRPr="003A0C5C">
          <w:rPr>
            <w:webHidden/>
          </w:rPr>
          <w:instrText xml:space="preserve"> PAGEREF _Toc101792190 \h </w:instrText>
        </w:r>
        <w:r w:rsidR="008016C0" w:rsidRPr="003A0C5C">
          <w:rPr>
            <w:webHidden/>
          </w:rPr>
        </w:r>
        <w:r w:rsidR="008016C0" w:rsidRPr="003A0C5C">
          <w:rPr>
            <w:webHidden/>
          </w:rPr>
          <w:fldChar w:fldCharType="separate"/>
        </w:r>
        <w:r w:rsidR="00E66583">
          <w:rPr>
            <w:webHidden/>
          </w:rPr>
          <w:t>10</w:t>
        </w:r>
        <w:r w:rsidR="008016C0" w:rsidRPr="003A0C5C">
          <w:rPr>
            <w:webHidden/>
          </w:rPr>
          <w:fldChar w:fldCharType="end"/>
        </w:r>
      </w:hyperlink>
    </w:p>
    <w:p w14:paraId="23F84F50" w14:textId="5F0B3D6C" w:rsidR="008016C0" w:rsidRPr="003A0C5C" w:rsidRDefault="002348BC">
      <w:pPr>
        <w:pStyle w:val="TableofFigures"/>
        <w:rPr>
          <w:rFonts w:asciiTheme="minorHAnsi" w:eastAsiaTheme="minorEastAsia" w:hAnsiTheme="minorHAnsi"/>
          <w:sz w:val="22"/>
          <w:szCs w:val="22"/>
        </w:rPr>
      </w:pPr>
      <w:hyperlink w:anchor="_Toc101792191" w:history="1">
        <w:r w:rsidR="008016C0" w:rsidRPr="003A0C5C">
          <w:rPr>
            <w:rStyle w:val="Hyperlink"/>
          </w:rPr>
          <w:t>Figure 2</w:t>
        </w:r>
        <w:r w:rsidR="008016C0" w:rsidRPr="003A0C5C">
          <w:rPr>
            <w:rStyle w:val="Hyperlink"/>
          </w:rPr>
          <w:noBreakHyphen/>
          <w:t>4</w:t>
        </w:r>
        <w:r w:rsidR="008016C0" w:rsidRPr="003A0C5C">
          <w:rPr>
            <w:rFonts w:asciiTheme="minorHAnsi" w:eastAsiaTheme="minorEastAsia" w:hAnsiTheme="minorHAnsi"/>
            <w:sz w:val="22"/>
            <w:szCs w:val="22"/>
          </w:rPr>
          <w:tab/>
        </w:r>
        <w:r w:rsidR="008016C0" w:rsidRPr="003A0C5C">
          <w:rPr>
            <w:rStyle w:val="Hyperlink"/>
          </w:rPr>
          <w:t>Conceptual Rendering</w:t>
        </w:r>
        <w:r w:rsidR="008016C0" w:rsidRPr="003A0C5C">
          <w:rPr>
            <w:webHidden/>
          </w:rPr>
          <w:tab/>
        </w:r>
        <w:r w:rsidR="008016C0" w:rsidRPr="003A0C5C">
          <w:rPr>
            <w:webHidden/>
          </w:rPr>
          <w:fldChar w:fldCharType="begin"/>
        </w:r>
        <w:r w:rsidR="008016C0" w:rsidRPr="003A0C5C">
          <w:rPr>
            <w:webHidden/>
          </w:rPr>
          <w:instrText xml:space="preserve"> PAGEREF _Toc101792191 \h </w:instrText>
        </w:r>
        <w:r w:rsidR="008016C0" w:rsidRPr="003A0C5C">
          <w:rPr>
            <w:webHidden/>
          </w:rPr>
        </w:r>
        <w:r w:rsidR="008016C0" w:rsidRPr="003A0C5C">
          <w:rPr>
            <w:webHidden/>
          </w:rPr>
          <w:fldChar w:fldCharType="separate"/>
        </w:r>
        <w:r w:rsidR="00E66583">
          <w:rPr>
            <w:webHidden/>
          </w:rPr>
          <w:t>11</w:t>
        </w:r>
        <w:r w:rsidR="008016C0" w:rsidRPr="003A0C5C">
          <w:rPr>
            <w:webHidden/>
          </w:rPr>
          <w:fldChar w:fldCharType="end"/>
        </w:r>
      </w:hyperlink>
    </w:p>
    <w:p w14:paraId="08077A9F" w14:textId="325DB99E" w:rsidR="008016C0" w:rsidRPr="003A0C5C" w:rsidRDefault="002348BC">
      <w:pPr>
        <w:pStyle w:val="TableofFigures"/>
        <w:rPr>
          <w:rFonts w:asciiTheme="minorHAnsi" w:eastAsiaTheme="minorEastAsia" w:hAnsiTheme="minorHAnsi"/>
          <w:sz w:val="22"/>
          <w:szCs w:val="22"/>
        </w:rPr>
      </w:pPr>
      <w:hyperlink w:anchor="_Toc101792192" w:history="1">
        <w:r w:rsidR="008016C0" w:rsidRPr="003A0C5C">
          <w:rPr>
            <w:rStyle w:val="Hyperlink"/>
          </w:rPr>
          <w:t>Figure 2</w:t>
        </w:r>
        <w:r w:rsidR="008016C0" w:rsidRPr="003A0C5C">
          <w:rPr>
            <w:rStyle w:val="Hyperlink"/>
          </w:rPr>
          <w:noBreakHyphen/>
          <w:t>5</w:t>
        </w:r>
        <w:r w:rsidR="008016C0" w:rsidRPr="003A0C5C">
          <w:rPr>
            <w:rFonts w:asciiTheme="minorHAnsi" w:eastAsiaTheme="minorEastAsia" w:hAnsiTheme="minorHAnsi"/>
            <w:sz w:val="22"/>
            <w:szCs w:val="22"/>
          </w:rPr>
          <w:tab/>
        </w:r>
        <w:r w:rsidR="008016C0" w:rsidRPr="003A0C5C">
          <w:rPr>
            <w:rStyle w:val="Hyperlink"/>
          </w:rPr>
          <w:t>Remediation Areas</w:t>
        </w:r>
        <w:r w:rsidR="008016C0" w:rsidRPr="003A0C5C">
          <w:rPr>
            <w:webHidden/>
          </w:rPr>
          <w:tab/>
        </w:r>
        <w:r w:rsidR="008016C0" w:rsidRPr="003A0C5C">
          <w:rPr>
            <w:webHidden/>
          </w:rPr>
          <w:fldChar w:fldCharType="begin"/>
        </w:r>
        <w:r w:rsidR="008016C0" w:rsidRPr="003A0C5C">
          <w:rPr>
            <w:webHidden/>
          </w:rPr>
          <w:instrText xml:space="preserve"> PAGEREF _Toc101792192 \h </w:instrText>
        </w:r>
        <w:r w:rsidR="008016C0" w:rsidRPr="003A0C5C">
          <w:rPr>
            <w:webHidden/>
          </w:rPr>
        </w:r>
        <w:r w:rsidR="008016C0" w:rsidRPr="003A0C5C">
          <w:rPr>
            <w:webHidden/>
          </w:rPr>
          <w:fldChar w:fldCharType="separate"/>
        </w:r>
        <w:r w:rsidR="00E66583">
          <w:rPr>
            <w:webHidden/>
          </w:rPr>
          <w:t>40</w:t>
        </w:r>
        <w:r w:rsidR="008016C0" w:rsidRPr="003A0C5C">
          <w:rPr>
            <w:webHidden/>
          </w:rPr>
          <w:fldChar w:fldCharType="end"/>
        </w:r>
      </w:hyperlink>
    </w:p>
    <w:p w14:paraId="197379A1" w14:textId="21F7CEF9" w:rsidR="004E2B77" w:rsidRPr="003A0C5C" w:rsidRDefault="004F426E" w:rsidP="0031316C">
      <w:pPr>
        <w:pStyle w:val="TOCSection"/>
      </w:pPr>
      <w:r w:rsidRPr="003A0C5C">
        <w:fldChar w:fldCharType="end"/>
      </w:r>
      <w:r w:rsidR="004E2B77" w:rsidRPr="003A0C5C">
        <w:t>Tables</w:t>
      </w:r>
    </w:p>
    <w:p w14:paraId="249F9419" w14:textId="52C9E281" w:rsidR="008016C0" w:rsidRPr="003A0C5C" w:rsidRDefault="004E2B77">
      <w:pPr>
        <w:pStyle w:val="TableofFigures"/>
        <w:rPr>
          <w:rFonts w:asciiTheme="minorHAnsi" w:eastAsiaTheme="minorEastAsia" w:hAnsiTheme="minorHAnsi"/>
          <w:sz w:val="22"/>
          <w:szCs w:val="22"/>
        </w:rPr>
      </w:pPr>
      <w:r w:rsidRPr="003A0C5C">
        <w:rPr>
          <w:highlight w:val="yellow"/>
        </w:rPr>
        <w:fldChar w:fldCharType="begin"/>
      </w:r>
      <w:r w:rsidRPr="003A0C5C">
        <w:rPr>
          <w:highlight w:val="yellow"/>
        </w:rPr>
        <w:instrText xml:space="preserve"> TOC \h \z \t "Table No./Title" \c </w:instrText>
      </w:r>
      <w:r w:rsidRPr="003A0C5C">
        <w:rPr>
          <w:highlight w:val="yellow"/>
        </w:rPr>
        <w:fldChar w:fldCharType="separate"/>
      </w:r>
      <w:hyperlink w:anchor="_Toc101792193" w:history="1">
        <w:r w:rsidR="008016C0" w:rsidRPr="003A0C5C">
          <w:rPr>
            <w:rStyle w:val="Hyperlink"/>
          </w:rPr>
          <w:t xml:space="preserve">Table 1 </w:t>
        </w:r>
        <w:r w:rsidR="008016C0" w:rsidRPr="003A0C5C">
          <w:rPr>
            <w:rFonts w:asciiTheme="minorHAnsi" w:eastAsiaTheme="minorEastAsia" w:hAnsiTheme="minorHAnsi"/>
            <w:sz w:val="22"/>
            <w:szCs w:val="22"/>
          </w:rPr>
          <w:tab/>
        </w:r>
        <w:r w:rsidR="008016C0" w:rsidRPr="003A0C5C">
          <w:rPr>
            <w:rStyle w:val="Hyperlink"/>
          </w:rPr>
          <w:t>Estimated Construction Schedule</w:t>
        </w:r>
        <w:r w:rsidR="008016C0" w:rsidRPr="003A0C5C">
          <w:rPr>
            <w:webHidden/>
          </w:rPr>
          <w:tab/>
        </w:r>
        <w:r w:rsidR="008016C0" w:rsidRPr="003A0C5C">
          <w:rPr>
            <w:webHidden/>
          </w:rPr>
          <w:fldChar w:fldCharType="begin"/>
        </w:r>
        <w:r w:rsidR="008016C0" w:rsidRPr="003A0C5C">
          <w:rPr>
            <w:webHidden/>
          </w:rPr>
          <w:instrText xml:space="preserve"> PAGEREF _Toc101792193 \h </w:instrText>
        </w:r>
        <w:r w:rsidR="008016C0" w:rsidRPr="003A0C5C">
          <w:rPr>
            <w:webHidden/>
          </w:rPr>
        </w:r>
        <w:r w:rsidR="008016C0" w:rsidRPr="003A0C5C">
          <w:rPr>
            <w:webHidden/>
          </w:rPr>
          <w:fldChar w:fldCharType="separate"/>
        </w:r>
        <w:r w:rsidR="002348BC">
          <w:rPr>
            <w:webHidden/>
          </w:rPr>
          <w:t>26</w:t>
        </w:r>
        <w:r w:rsidR="008016C0" w:rsidRPr="003A0C5C">
          <w:rPr>
            <w:webHidden/>
          </w:rPr>
          <w:fldChar w:fldCharType="end"/>
        </w:r>
      </w:hyperlink>
    </w:p>
    <w:p w14:paraId="1901598D" w14:textId="376BE463" w:rsidR="008016C0" w:rsidRPr="003A0C5C" w:rsidRDefault="002348BC">
      <w:pPr>
        <w:pStyle w:val="TableofFigures"/>
        <w:rPr>
          <w:rFonts w:asciiTheme="minorHAnsi" w:eastAsiaTheme="minorEastAsia" w:hAnsiTheme="minorHAnsi"/>
          <w:sz w:val="22"/>
          <w:szCs w:val="22"/>
        </w:rPr>
      </w:pPr>
      <w:hyperlink w:anchor="_Toc101792194" w:history="1">
        <w:r w:rsidR="008016C0" w:rsidRPr="003A0C5C">
          <w:rPr>
            <w:rStyle w:val="Hyperlink"/>
          </w:rPr>
          <w:t xml:space="preserve">Table 2 </w:t>
        </w:r>
        <w:r w:rsidR="008016C0" w:rsidRPr="003A0C5C">
          <w:rPr>
            <w:rFonts w:asciiTheme="minorHAnsi" w:eastAsiaTheme="minorEastAsia" w:hAnsiTheme="minorHAnsi"/>
            <w:sz w:val="22"/>
            <w:szCs w:val="22"/>
          </w:rPr>
          <w:tab/>
        </w:r>
        <w:r w:rsidR="008016C0" w:rsidRPr="003A0C5C">
          <w:rPr>
            <w:rStyle w:val="Hyperlink"/>
          </w:rPr>
          <w:t>Maximum Regional Construction Emissions – Without Mitigation (Pounds per Day)</w:t>
        </w:r>
        <w:r w:rsidR="008016C0" w:rsidRPr="003A0C5C">
          <w:rPr>
            <w:webHidden/>
          </w:rPr>
          <w:tab/>
        </w:r>
        <w:r w:rsidR="008016C0" w:rsidRPr="003A0C5C">
          <w:rPr>
            <w:webHidden/>
          </w:rPr>
          <w:fldChar w:fldCharType="begin"/>
        </w:r>
        <w:r w:rsidR="008016C0" w:rsidRPr="003A0C5C">
          <w:rPr>
            <w:webHidden/>
          </w:rPr>
          <w:instrText xml:space="preserve"> PAGEREF _Toc101792194 \h </w:instrText>
        </w:r>
        <w:r w:rsidR="008016C0" w:rsidRPr="003A0C5C">
          <w:rPr>
            <w:webHidden/>
          </w:rPr>
        </w:r>
        <w:r w:rsidR="008016C0" w:rsidRPr="003A0C5C">
          <w:rPr>
            <w:webHidden/>
          </w:rPr>
          <w:fldChar w:fldCharType="separate"/>
        </w:r>
        <w:r>
          <w:rPr>
            <w:webHidden/>
          </w:rPr>
          <w:t>26</w:t>
        </w:r>
        <w:r w:rsidR="008016C0" w:rsidRPr="003A0C5C">
          <w:rPr>
            <w:webHidden/>
          </w:rPr>
          <w:fldChar w:fldCharType="end"/>
        </w:r>
      </w:hyperlink>
    </w:p>
    <w:p w14:paraId="63D54139" w14:textId="6260816B" w:rsidR="008016C0" w:rsidRPr="003A0C5C" w:rsidRDefault="002348BC">
      <w:pPr>
        <w:pStyle w:val="TableofFigures"/>
        <w:rPr>
          <w:rFonts w:asciiTheme="minorHAnsi" w:eastAsiaTheme="minorEastAsia" w:hAnsiTheme="minorHAnsi"/>
          <w:sz w:val="22"/>
          <w:szCs w:val="22"/>
        </w:rPr>
      </w:pPr>
      <w:hyperlink w:anchor="_Toc101792195" w:history="1">
        <w:r w:rsidR="008016C0" w:rsidRPr="003A0C5C">
          <w:rPr>
            <w:rStyle w:val="Hyperlink"/>
          </w:rPr>
          <w:t xml:space="preserve">Table 3 </w:t>
        </w:r>
        <w:r w:rsidR="008016C0" w:rsidRPr="003A0C5C">
          <w:rPr>
            <w:rFonts w:asciiTheme="minorHAnsi" w:eastAsiaTheme="minorEastAsia" w:hAnsiTheme="minorHAnsi"/>
            <w:sz w:val="22"/>
            <w:szCs w:val="22"/>
          </w:rPr>
          <w:tab/>
        </w:r>
        <w:r w:rsidR="008016C0" w:rsidRPr="003A0C5C">
          <w:rPr>
            <w:rStyle w:val="Hyperlink"/>
          </w:rPr>
          <w:t>Maximum Unmitigated Regional Operational Emissions (Pounds per Day)</w:t>
        </w:r>
        <w:r w:rsidR="008016C0" w:rsidRPr="003A0C5C">
          <w:rPr>
            <w:webHidden/>
          </w:rPr>
          <w:tab/>
        </w:r>
        <w:r w:rsidR="008016C0" w:rsidRPr="003A0C5C">
          <w:rPr>
            <w:webHidden/>
          </w:rPr>
          <w:fldChar w:fldCharType="begin"/>
        </w:r>
        <w:r w:rsidR="008016C0" w:rsidRPr="003A0C5C">
          <w:rPr>
            <w:webHidden/>
          </w:rPr>
          <w:instrText xml:space="preserve"> PAGEREF _Toc101792195 \h </w:instrText>
        </w:r>
        <w:r w:rsidR="008016C0" w:rsidRPr="003A0C5C">
          <w:rPr>
            <w:webHidden/>
          </w:rPr>
        </w:r>
        <w:r w:rsidR="008016C0" w:rsidRPr="003A0C5C">
          <w:rPr>
            <w:webHidden/>
          </w:rPr>
          <w:fldChar w:fldCharType="separate"/>
        </w:r>
        <w:r>
          <w:rPr>
            <w:webHidden/>
          </w:rPr>
          <w:t>28</w:t>
        </w:r>
        <w:r w:rsidR="008016C0" w:rsidRPr="003A0C5C">
          <w:rPr>
            <w:webHidden/>
          </w:rPr>
          <w:fldChar w:fldCharType="end"/>
        </w:r>
      </w:hyperlink>
    </w:p>
    <w:p w14:paraId="07342118" w14:textId="5FA094CB" w:rsidR="008016C0" w:rsidRPr="003A0C5C" w:rsidRDefault="002348BC">
      <w:pPr>
        <w:pStyle w:val="TableofFigures"/>
        <w:rPr>
          <w:rFonts w:asciiTheme="minorHAnsi" w:eastAsiaTheme="minorEastAsia" w:hAnsiTheme="minorHAnsi"/>
          <w:sz w:val="22"/>
          <w:szCs w:val="22"/>
        </w:rPr>
      </w:pPr>
      <w:hyperlink w:anchor="_Toc101792196" w:history="1">
        <w:r w:rsidR="008016C0" w:rsidRPr="003A0C5C">
          <w:rPr>
            <w:rStyle w:val="Hyperlink"/>
          </w:rPr>
          <w:t xml:space="preserve">Table 4 </w:t>
        </w:r>
        <w:r w:rsidR="008016C0" w:rsidRPr="003A0C5C">
          <w:rPr>
            <w:rFonts w:asciiTheme="minorHAnsi" w:eastAsiaTheme="minorEastAsia" w:hAnsiTheme="minorHAnsi"/>
            <w:sz w:val="22"/>
            <w:szCs w:val="22"/>
          </w:rPr>
          <w:tab/>
        </w:r>
        <w:r w:rsidR="008016C0" w:rsidRPr="003A0C5C">
          <w:rPr>
            <w:rStyle w:val="Hyperlink"/>
          </w:rPr>
          <w:t>Maximum Daily Localized Construction Emissions</w:t>
        </w:r>
        <w:r w:rsidR="008016C0" w:rsidRPr="003A0C5C">
          <w:rPr>
            <w:webHidden/>
          </w:rPr>
          <w:tab/>
        </w:r>
        <w:r w:rsidR="008016C0" w:rsidRPr="003A0C5C">
          <w:rPr>
            <w:webHidden/>
          </w:rPr>
          <w:fldChar w:fldCharType="begin"/>
        </w:r>
        <w:r w:rsidR="008016C0" w:rsidRPr="003A0C5C">
          <w:rPr>
            <w:webHidden/>
          </w:rPr>
          <w:instrText xml:space="preserve"> PAGEREF _Toc101792196 \h </w:instrText>
        </w:r>
        <w:r w:rsidR="008016C0" w:rsidRPr="003A0C5C">
          <w:rPr>
            <w:webHidden/>
          </w:rPr>
        </w:r>
        <w:r w:rsidR="008016C0" w:rsidRPr="003A0C5C">
          <w:rPr>
            <w:webHidden/>
          </w:rPr>
          <w:fldChar w:fldCharType="separate"/>
        </w:r>
        <w:r>
          <w:rPr>
            <w:webHidden/>
          </w:rPr>
          <w:t>30</w:t>
        </w:r>
        <w:r w:rsidR="008016C0" w:rsidRPr="003A0C5C">
          <w:rPr>
            <w:webHidden/>
          </w:rPr>
          <w:fldChar w:fldCharType="end"/>
        </w:r>
      </w:hyperlink>
    </w:p>
    <w:p w14:paraId="75E65315" w14:textId="395F7479" w:rsidR="008016C0" w:rsidRPr="003A0C5C" w:rsidRDefault="002348BC">
      <w:pPr>
        <w:pStyle w:val="TableofFigures"/>
        <w:rPr>
          <w:rFonts w:asciiTheme="minorHAnsi" w:eastAsiaTheme="minorEastAsia" w:hAnsiTheme="minorHAnsi"/>
          <w:sz w:val="22"/>
          <w:szCs w:val="22"/>
        </w:rPr>
      </w:pPr>
      <w:hyperlink w:anchor="_Toc101792197" w:history="1">
        <w:r w:rsidR="008016C0" w:rsidRPr="003A0C5C">
          <w:rPr>
            <w:rStyle w:val="Hyperlink"/>
          </w:rPr>
          <w:t xml:space="preserve">Table 5 </w:t>
        </w:r>
        <w:r w:rsidR="008016C0" w:rsidRPr="003A0C5C">
          <w:rPr>
            <w:rFonts w:asciiTheme="minorHAnsi" w:eastAsiaTheme="minorEastAsia" w:hAnsiTheme="minorHAnsi"/>
            <w:sz w:val="22"/>
            <w:szCs w:val="22"/>
          </w:rPr>
          <w:tab/>
        </w:r>
        <w:r w:rsidR="008016C0" w:rsidRPr="003A0C5C">
          <w:rPr>
            <w:rStyle w:val="Hyperlink"/>
          </w:rPr>
          <w:t>Maximum Daily Localized Operational Emissions</w:t>
        </w:r>
        <w:r w:rsidR="008016C0" w:rsidRPr="003A0C5C">
          <w:rPr>
            <w:webHidden/>
          </w:rPr>
          <w:tab/>
        </w:r>
        <w:r w:rsidR="008016C0" w:rsidRPr="003A0C5C">
          <w:rPr>
            <w:webHidden/>
          </w:rPr>
          <w:fldChar w:fldCharType="begin"/>
        </w:r>
        <w:r w:rsidR="008016C0" w:rsidRPr="003A0C5C">
          <w:rPr>
            <w:webHidden/>
          </w:rPr>
          <w:instrText xml:space="preserve"> PAGEREF _Toc101792197 \h </w:instrText>
        </w:r>
        <w:r w:rsidR="008016C0" w:rsidRPr="003A0C5C">
          <w:rPr>
            <w:webHidden/>
          </w:rPr>
        </w:r>
        <w:r w:rsidR="008016C0" w:rsidRPr="003A0C5C">
          <w:rPr>
            <w:webHidden/>
          </w:rPr>
          <w:fldChar w:fldCharType="separate"/>
        </w:r>
        <w:r>
          <w:rPr>
            <w:webHidden/>
          </w:rPr>
          <w:t>31</w:t>
        </w:r>
        <w:r w:rsidR="008016C0" w:rsidRPr="003A0C5C">
          <w:rPr>
            <w:webHidden/>
          </w:rPr>
          <w:fldChar w:fldCharType="end"/>
        </w:r>
      </w:hyperlink>
    </w:p>
    <w:p w14:paraId="200E43C4" w14:textId="767F42F3" w:rsidR="008016C0" w:rsidRPr="003A0C5C" w:rsidRDefault="002348BC">
      <w:pPr>
        <w:pStyle w:val="TableofFigures"/>
        <w:rPr>
          <w:rFonts w:asciiTheme="minorHAnsi" w:eastAsiaTheme="minorEastAsia" w:hAnsiTheme="minorHAnsi"/>
          <w:sz w:val="22"/>
          <w:szCs w:val="22"/>
        </w:rPr>
      </w:pPr>
      <w:hyperlink w:anchor="_Toc101792198" w:history="1">
        <w:r w:rsidR="008016C0" w:rsidRPr="003A0C5C">
          <w:rPr>
            <w:rStyle w:val="Hyperlink"/>
          </w:rPr>
          <w:t xml:space="preserve">Table 6 </w:t>
        </w:r>
        <w:r w:rsidR="008016C0" w:rsidRPr="003A0C5C">
          <w:rPr>
            <w:rFonts w:asciiTheme="minorHAnsi" w:eastAsiaTheme="minorEastAsia" w:hAnsiTheme="minorHAnsi"/>
            <w:sz w:val="22"/>
            <w:szCs w:val="22"/>
          </w:rPr>
          <w:tab/>
        </w:r>
        <w:r w:rsidR="008016C0" w:rsidRPr="003A0C5C">
          <w:rPr>
            <w:rStyle w:val="Hyperlink"/>
          </w:rPr>
          <w:t>Summary of Energy Consumption During Project Construction</w:t>
        </w:r>
        <w:r w:rsidR="008016C0" w:rsidRPr="003A0C5C">
          <w:rPr>
            <w:webHidden/>
          </w:rPr>
          <w:tab/>
        </w:r>
        <w:r w:rsidR="008016C0" w:rsidRPr="003A0C5C">
          <w:rPr>
            <w:webHidden/>
          </w:rPr>
          <w:fldChar w:fldCharType="begin"/>
        </w:r>
        <w:r w:rsidR="008016C0" w:rsidRPr="003A0C5C">
          <w:rPr>
            <w:webHidden/>
          </w:rPr>
          <w:instrText xml:space="preserve"> PAGEREF _Toc101792198 \h </w:instrText>
        </w:r>
        <w:r w:rsidR="008016C0" w:rsidRPr="003A0C5C">
          <w:rPr>
            <w:webHidden/>
          </w:rPr>
        </w:r>
        <w:r w:rsidR="008016C0" w:rsidRPr="003A0C5C">
          <w:rPr>
            <w:webHidden/>
          </w:rPr>
          <w:fldChar w:fldCharType="separate"/>
        </w:r>
        <w:r>
          <w:rPr>
            <w:webHidden/>
          </w:rPr>
          <w:t>46</w:t>
        </w:r>
        <w:r w:rsidR="008016C0" w:rsidRPr="003A0C5C">
          <w:rPr>
            <w:webHidden/>
          </w:rPr>
          <w:fldChar w:fldCharType="end"/>
        </w:r>
      </w:hyperlink>
    </w:p>
    <w:p w14:paraId="5E4A88D9" w14:textId="6B3391AB" w:rsidR="008016C0" w:rsidRPr="003A0C5C" w:rsidRDefault="002348BC">
      <w:pPr>
        <w:pStyle w:val="TableofFigures"/>
        <w:rPr>
          <w:rFonts w:asciiTheme="minorHAnsi" w:eastAsiaTheme="minorEastAsia" w:hAnsiTheme="minorHAnsi"/>
          <w:sz w:val="22"/>
          <w:szCs w:val="22"/>
        </w:rPr>
      </w:pPr>
      <w:hyperlink w:anchor="_Toc101792199" w:history="1">
        <w:r w:rsidR="008016C0" w:rsidRPr="003A0C5C">
          <w:rPr>
            <w:rStyle w:val="Hyperlink"/>
          </w:rPr>
          <w:t xml:space="preserve">Table 7 </w:t>
        </w:r>
        <w:r w:rsidR="008016C0" w:rsidRPr="003A0C5C">
          <w:rPr>
            <w:rFonts w:asciiTheme="minorHAnsi" w:eastAsiaTheme="minorEastAsia" w:hAnsiTheme="minorHAnsi"/>
            <w:sz w:val="22"/>
            <w:szCs w:val="22"/>
          </w:rPr>
          <w:tab/>
        </w:r>
        <w:r w:rsidR="008016C0" w:rsidRPr="003A0C5C">
          <w:rPr>
            <w:rStyle w:val="Hyperlink"/>
          </w:rPr>
          <w:t>Project Operational Energy Usage</w:t>
        </w:r>
        <w:r w:rsidR="008016C0" w:rsidRPr="003A0C5C">
          <w:rPr>
            <w:webHidden/>
          </w:rPr>
          <w:tab/>
        </w:r>
        <w:r w:rsidR="008016C0" w:rsidRPr="003A0C5C">
          <w:rPr>
            <w:webHidden/>
          </w:rPr>
          <w:fldChar w:fldCharType="begin"/>
        </w:r>
        <w:r w:rsidR="008016C0" w:rsidRPr="003A0C5C">
          <w:rPr>
            <w:webHidden/>
          </w:rPr>
          <w:instrText xml:space="preserve"> PAGEREF _Toc101792199 \h </w:instrText>
        </w:r>
        <w:r w:rsidR="008016C0" w:rsidRPr="003A0C5C">
          <w:rPr>
            <w:webHidden/>
          </w:rPr>
        </w:r>
        <w:r w:rsidR="008016C0" w:rsidRPr="003A0C5C">
          <w:rPr>
            <w:webHidden/>
          </w:rPr>
          <w:fldChar w:fldCharType="separate"/>
        </w:r>
        <w:r>
          <w:rPr>
            <w:webHidden/>
          </w:rPr>
          <w:t>47</w:t>
        </w:r>
        <w:r w:rsidR="008016C0" w:rsidRPr="003A0C5C">
          <w:rPr>
            <w:webHidden/>
          </w:rPr>
          <w:fldChar w:fldCharType="end"/>
        </w:r>
      </w:hyperlink>
    </w:p>
    <w:p w14:paraId="6C70D415" w14:textId="0C486C50" w:rsidR="008016C0" w:rsidRPr="003A0C5C" w:rsidRDefault="002348BC">
      <w:pPr>
        <w:pStyle w:val="TableofFigures"/>
        <w:rPr>
          <w:rFonts w:asciiTheme="minorHAnsi" w:eastAsiaTheme="minorEastAsia" w:hAnsiTheme="minorHAnsi"/>
          <w:sz w:val="22"/>
          <w:szCs w:val="22"/>
        </w:rPr>
      </w:pPr>
      <w:hyperlink w:anchor="_Toc101792200" w:history="1">
        <w:r w:rsidR="008016C0" w:rsidRPr="003A0C5C">
          <w:rPr>
            <w:rStyle w:val="Hyperlink"/>
          </w:rPr>
          <w:t xml:space="preserve">Table 8 </w:t>
        </w:r>
        <w:r w:rsidR="008016C0" w:rsidRPr="003A0C5C">
          <w:rPr>
            <w:rFonts w:asciiTheme="minorHAnsi" w:eastAsiaTheme="minorEastAsia" w:hAnsiTheme="minorHAnsi"/>
            <w:sz w:val="22"/>
            <w:szCs w:val="22"/>
          </w:rPr>
          <w:tab/>
        </w:r>
        <w:r w:rsidR="008016C0" w:rsidRPr="003A0C5C">
          <w:rPr>
            <w:rStyle w:val="Hyperlink"/>
          </w:rPr>
          <w:t>Annual Project Greenhouse Gas Emissions</w:t>
        </w:r>
        <w:r w:rsidR="008016C0" w:rsidRPr="003A0C5C">
          <w:rPr>
            <w:webHidden/>
          </w:rPr>
          <w:tab/>
        </w:r>
        <w:r w:rsidR="008016C0" w:rsidRPr="003A0C5C">
          <w:rPr>
            <w:webHidden/>
          </w:rPr>
          <w:fldChar w:fldCharType="begin"/>
        </w:r>
        <w:r w:rsidR="008016C0" w:rsidRPr="003A0C5C">
          <w:rPr>
            <w:webHidden/>
          </w:rPr>
          <w:instrText xml:space="preserve"> PAGEREF _Toc101792200 \h </w:instrText>
        </w:r>
        <w:r w:rsidR="008016C0" w:rsidRPr="003A0C5C">
          <w:rPr>
            <w:webHidden/>
          </w:rPr>
        </w:r>
        <w:r w:rsidR="008016C0" w:rsidRPr="003A0C5C">
          <w:rPr>
            <w:webHidden/>
          </w:rPr>
          <w:fldChar w:fldCharType="separate"/>
        </w:r>
        <w:r>
          <w:rPr>
            <w:webHidden/>
          </w:rPr>
          <w:t>59</w:t>
        </w:r>
        <w:r w:rsidR="008016C0" w:rsidRPr="003A0C5C">
          <w:rPr>
            <w:webHidden/>
          </w:rPr>
          <w:fldChar w:fldCharType="end"/>
        </w:r>
      </w:hyperlink>
    </w:p>
    <w:p w14:paraId="3F850F02" w14:textId="03B2AE3A" w:rsidR="008016C0" w:rsidRPr="003A0C5C" w:rsidRDefault="002348BC">
      <w:pPr>
        <w:pStyle w:val="TableofFigures"/>
        <w:rPr>
          <w:rFonts w:asciiTheme="minorHAnsi" w:eastAsiaTheme="minorEastAsia" w:hAnsiTheme="minorHAnsi"/>
          <w:sz w:val="22"/>
          <w:szCs w:val="22"/>
        </w:rPr>
      </w:pPr>
      <w:hyperlink w:anchor="_Toc101792201" w:history="1">
        <w:r w:rsidR="008016C0" w:rsidRPr="003A0C5C">
          <w:rPr>
            <w:rStyle w:val="Hyperlink"/>
          </w:rPr>
          <w:t xml:space="preserve">Table 9 </w:t>
        </w:r>
        <w:r w:rsidR="008016C0" w:rsidRPr="003A0C5C">
          <w:rPr>
            <w:rFonts w:asciiTheme="minorHAnsi" w:eastAsiaTheme="minorEastAsia" w:hAnsiTheme="minorHAnsi"/>
            <w:sz w:val="22"/>
            <w:szCs w:val="22"/>
          </w:rPr>
          <w:tab/>
        </w:r>
        <w:r w:rsidR="008016C0" w:rsidRPr="003A0C5C">
          <w:rPr>
            <w:rStyle w:val="Hyperlink"/>
          </w:rPr>
          <w:t>General Plan Consistency Analysis</w:t>
        </w:r>
        <w:r w:rsidR="008016C0" w:rsidRPr="003A0C5C">
          <w:rPr>
            <w:webHidden/>
          </w:rPr>
          <w:tab/>
        </w:r>
        <w:r w:rsidR="008016C0" w:rsidRPr="003A0C5C">
          <w:rPr>
            <w:webHidden/>
          </w:rPr>
          <w:fldChar w:fldCharType="begin"/>
        </w:r>
        <w:r w:rsidR="008016C0" w:rsidRPr="003A0C5C">
          <w:rPr>
            <w:webHidden/>
          </w:rPr>
          <w:instrText xml:space="preserve"> PAGEREF _Toc101792201 \h </w:instrText>
        </w:r>
        <w:r w:rsidR="008016C0" w:rsidRPr="003A0C5C">
          <w:rPr>
            <w:webHidden/>
          </w:rPr>
        </w:r>
        <w:r w:rsidR="008016C0" w:rsidRPr="003A0C5C">
          <w:rPr>
            <w:webHidden/>
          </w:rPr>
          <w:fldChar w:fldCharType="separate"/>
        </w:r>
        <w:r>
          <w:rPr>
            <w:webHidden/>
          </w:rPr>
          <w:t>73</w:t>
        </w:r>
        <w:r w:rsidR="008016C0" w:rsidRPr="003A0C5C">
          <w:rPr>
            <w:webHidden/>
          </w:rPr>
          <w:fldChar w:fldCharType="end"/>
        </w:r>
      </w:hyperlink>
    </w:p>
    <w:p w14:paraId="6E9D906C" w14:textId="29EA8ED4" w:rsidR="008016C0" w:rsidRPr="003A0C5C" w:rsidRDefault="002348BC">
      <w:pPr>
        <w:pStyle w:val="TableofFigures"/>
        <w:rPr>
          <w:rFonts w:asciiTheme="minorHAnsi" w:eastAsiaTheme="minorEastAsia" w:hAnsiTheme="minorHAnsi"/>
          <w:sz w:val="22"/>
          <w:szCs w:val="22"/>
        </w:rPr>
      </w:pPr>
      <w:hyperlink w:anchor="_Toc101792202" w:history="1">
        <w:r w:rsidR="008016C0" w:rsidRPr="003A0C5C">
          <w:rPr>
            <w:rStyle w:val="Hyperlink"/>
          </w:rPr>
          <w:t xml:space="preserve">Table 10 </w:t>
        </w:r>
        <w:r w:rsidR="008016C0" w:rsidRPr="003A0C5C">
          <w:rPr>
            <w:rFonts w:asciiTheme="minorHAnsi" w:eastAsiaTheme="minorEastAsia" w:hAnsiTheme="minorHAnsi"/>
            <w:sz w:val="22"/>
            <w:szCs w:val="22"/>
          </w:rPr>
          <w:tab/>
        </w:r>
        <w:r w:rsidR="008016C0" w:rsidRPr="003A0C5C">
          <w:rPr>
            <w:rStyle w:val="Hyperlink"/>
          </w:rPr>
          <w:t>City of Carson Exterior Noise Level Standards</w:t>
        </w:r>
        <w:r w:rsidR="008016C0" w:rsidRPr="003A0C5C">
          <w:rPr>
            <w:webHidden/>
          </w:rPr>
          <w:tab/>
        </w:r>
        <w:r w:rsidR="008016C0" w:rsidRPr="003A0C5C">
          <w:rPr>
            <w:webHidden/>
          </w:rPr>
          <w:fldChar w:fldCharType="begin"/>
        </w:r>
        <w:r w:rsidR="008016C0" w:rsidRPr="003A0C5C">
          <w:rPr>
            <w:webHidden/>
          </w:rPr>
          <w:instrText xml:space="preserve"> PAGEREF _Toc101792202 \h </w:instrText>
        </w:r>
        <w:r w:rsidR="008016C0" w:rsidRPr="003A0C5C">
          <w:rPr>
            <w:webHidden/>
          </w:rPr>
        </w:r>
        <w:r w:rsidR="008016C0" w:rsidRPr="003A0C5C">
          <w:rPr>
            <w:webHidden/>
          </w:rPr>
          <w:fldChar w:fldCharType="separate"/>
        </w:r>
        <w:r>
          <w:rPr>
            <w:webHidden/>
          </w:rPr>
          <w:t>77</w:t>
        </w:r>
        <w:r w:rsidR="008016C0" w:rsidRPr="003A0C5C">
          <w:rPr>
            <w:webHidden/>
          </w:rPr>
          <w:fldChar w:fldCharType="end"/>
        </w:r>
      </w:hyperlink>
    </w:p>
    <w:p w14:paraId="2DBA7120" w14:textId="730FD45A" w:rsidR="008016C0" w:rsidRPr="003A0C5C" w:rsidRDefault="002348BC">
      <w:pPr>
        <w:pStyle w:val="TableofFigures"/>
        <w:rPr>
          <w:rFonts w:asciiTheme="minorHAnsi" w:eastAsiaTheme="minorEastAsia" w:hAnsiTheme="minorHAnsi"/>
          <w:sz w:val="22"/>
          <w:szCs w:val="22"/>
        </w:rPr>
      </w:pPr>
      <w:hyperlink w:anchor="_Toc101792203" w:history="1">
        <w:r w:rsidR="008016C0" w:rsidRPr="003A0C5C">
          <w:rPr>
            <w:rStyle w:val="Hyperlink"/>
          </w:rPr>
          <w:t xml:space="preserve">Table 11 </w:t>
        </w:r>
        <w:r w:rsidR="008016C0" w:rsidRPr="003A0C5C">
          <w:rPr>
            <w:rFonts w:asciiTheme="minorHAnsi" w:eastAsiaTheme="minorEastAsia" w:hAnsiTheme="minorHAnsi"/>
            <w:sz w:val="22"/>
            <w:szCs w:val="22"/>
          </w:rPr>
          <w:tab/>
        </w:r>
        <w:r w:rsidR="008016C0" w:rsidRPr="003A0C5C">
          <w:rPr>
            <w:rStyle w:val="Hyperlink"/>
          </w:rPr>
          <w:t>City of Carson Guidelines for Noise Compatible Land Use</w:t>
        </w:r>
        <w:r w:rsidR="008016C0" w:rsidRPr="003A0C5C">
          <w:rPr>
            <w:webHidden/>
          </w:rPr>
          <w:tab/>
        </w:r>
        <w:r w:rsidR="008016C0" w:rsidRPr="003A0C5C">
          <w:rPr>
            <w:webHidden/>
          </w:rPr>
          <w:fldChar w:fldCharType="begin"/>
        </w:r>
        <w:r w:rsidR="008016C0" w:rsidRPr="003A0C5C">
          <w:rPr>
            <w:webHidden/>
          </w:rPr>
          <w:instrText xml:space="preserve"> PAGEREF _Toc101792203 \h </w:instrText>
        </w:r>
        <w:r w:rsidR="008016C0" w:rsidRPr="003A0C5C">
          <w:rPr>
            <w:webHidden/>
          </w:rPr>
        </w:r>
        <w:r w:rsidR="008016C0" w:rsidRPr="003A0C5C">
          <w:rPr>
            <w:webHidden/>
          </w:rPr>
          <w:fldChar w:fldCharType="separate"/>
        </w:r>
        <w:r>
          <w:rPr>
            <w:webHidden/>
          </w:rPr>
          <w:t>79</w:t>
        </w:r>
        <w:r w:rsidR="008016C0" w:rsidRPr="003A0C5C">
          <w:rPr>
            <w:webHidden/>
          </w:rPr>
          <w:fldChar w:fldCharType="end"/>
        </w:r>
      </w:hyperlink>
    </w:p>
    <w:p w14:paraId="6492B60F" w14:textId="4C14ED04" w:rsidR="008016C0" w:rsidRPr="003A0C5C" w:rsidRDefault="002348BC">
      <w:pPr>
        <w:pStyle w:val="TableofFigures"/>
        <w:rPr>
          <w:rFonts w:asciiTheme="minorHAnsi" w:eastAsiaTheme="minorEastAsia" w:hAnsiTheme="minorHAnsi"/>
          <w:sz w:val="22"/>
          <w:szCs w:val="22"/>
        </w:rPr>
      </w:pPr>
      <w:hyperlink w:anchor="_Toc101792204" w:history="1">
        <w:r w:rsidR="008016C0" w:rsidRPr="003A0C5C">
          <w:rPr>
            <w:rStyle w:val="Hyperlink"/>
          </w:rPr>
          <w:t xml:space="preserve">Table 12 </w:t>
        </w:r>
        <w:r w:rsidR="008016C0" w:rsidRPr="003A0C5C">
          <w:rPr>
            <w:rFonts w:asciiTheme="minorHAnsi" w:eastAsiaTheme="minorEastAsia" w:hAnsiTheme="minorHAnsi"/>
            <w:sz w:val="22"/>
            <w:szCs w:val="22"/>
          </w:rPr>
          <w:tab/>
        </w:r>
        <w:r w:rsidR="008016C0" w:rsidRPr="003A0C5C">
          <w:rPr>
            <w:rStyle w:val="Hyperlink"/>
          </w:rPr>
          <w:t>Summary of Ambient Noise Measurements</w:t>
        </w:r>
        <w:r w:rsidR="008016C0" w:rsidRPr="003A0C5C">
          <w:rPr>
            <w:webHidden/>
          </w:rPr>
          <w:tab/>
        </w:r>
        <w:r w:rsidR="008016C0" w:rsidRPr="003A0C5C">
          <w:rPr>
            <w:webHidden/>
          </w:rPr>
          <w:fldChar w:fldCharType="begin"/>
        </w:r>
        <w:r w:rsidR="008016C0" w:rsidRPr="003A0C5C">
          <w:rPr>
            <w:webHidden/>
          </w:rPr>
          <w:instrText xml:space="preserve"> PAGEREF _Toc101792204 \h </w:instrText>
        </w:r>
        <w:r w:rsidR="008016C0" w:rsidRPr="003A0C5C">
          <w:rPr>
            <w:webHidden/>
          </w:rPr>
        </w:r>
        <w:r w:rsidR="008016C0" w:rsidRPr="003A0C5C">
          <w:rPr>
            <w:webHidden/>
          </w:rPr>
          <w:fldChar w:fldCharType="separate"/>
        </w:r>
        <w:r>
          <w:rPr>
            <w:webHidden/>
          </w:rPr>
          <w:t>80</w:t>
        </w:r>
        <w:r w:rsidR="008016C0" w:rsidRPr="003A0C5C">
          <w:rPr>
            <w:webHidden/>
          </w:rPr>
          <w:fldChar w:fldCharType="end"/>
        </w:r>
      </w:hyperlink>
    </w:p>
    <w:p w14:paraId="6B5F4AB1" w14:textId="4195722B" w:rsidR="008016C0" w:rsidRPr="003A0C5C" w:rsidRDefault="002348BC">
      <w:pPr>
        <w:pStyle w:val="TableofFigures"/>
        <w:rPr>
          <w:rFonts w:asciiTheme="minorHAnsi" w:eastAsiaTheme="minorEastAsia" w:hAnsiTheme="minorHAnsi"/>
          <w:sz w:val="22"/>
          <w:szCs w:val="22"/>
        </w:rPr>
      </w:pPr>
      <w:hyperlink w:anchor="_Toc101792205" w:history="1">
        <w:r w:rsidR="008016C0" w:rsidRPr="003A0C5C">
          <w:rPr>
            <w:rStyle w:val="Hyperlink"/>
          </w:rPr>
          <w:t xml:space="preserve">Table 13 </w:t>
        </w:r>
        <w:r w:rsidR="008016C0" w:rsidRPr="003A0C5C">
          <w:rPr>
            <w:rFonts w:asciiTheme="minorHAnsi" w:eastAsiaTheme="minorEastAsia" w:hAnsiTheme="minorHAnsi"/>
            <w:sz w:val="22"/>
            <w:szCs w:val="22"/>
          </w:rPr>
          <w:tab/>
        </w:r>
        <w:r w:rsidR="008016C0" w:rsidRPr="003A0C5C">
          <w:rPr>
            <w:rStyle w:val="Hyperlink"/>
          </w:rPr>
          <w:t>Construction Equipment and Estimated Noise Levels</w:t>
        </w:r>
        <w:r w:rsidR="008016C0" w:rsidRPr="003A0C5C">
          <w:rPr>
            <w:webHidden/>
          </w:rPr>
          <w:tab/>
        </w:r>
        <w:r w:rsidR="008016C0" w:rsidRPr="003A0C5C">
          <w:rPr>
            <w:webHidden/>
          </w:rPr>
          <w:fldChar w:fldCharType="begin"/>
        </w:r>
        <w:r w:rsidR="008016C0" w:rsidRPr="003A0C5C">
          <w:rPr>
            <w:webHidden/>
          </w:rPr>
          <w:instrText xml:space="preserve"> PAGEREF _Toc101792205 \h </w:instrText>
        </w:r>
        <w:r w:rsidR="008016C0" w:rsidRPr="003A0C5C">
          <w:rPr>
            <w:webHidden/>
          </w:rPr>
        </w:r>
        <w:r w:rsidR="008016C0" w:rsidRPr="003A0C5C">
          <w:rPr>
            <w:webHidden/>
          </w:rPr>
          <w:fldChar w:fldCharType="separate"/>
        </w:r>
        <w:r>
          <w:rPr>
            <w:webHidden/>
          </w:rPr>
          <w:t>82</w:t>
        </w:r>
        <w:r w:rsidR="008016C0" w:rsidRPr="003A0C5C">
          <w:rPr>
            <w:webHidden/>
          </w:rPr>
          <w:fldChar w:fldCharType="end"/>
        </w:r>
      </w:hyperlink>
    </w:p>
    <w:p w14:paraId="41C1620F" w14:textId="101D4E67" w:rsidR="008016C0" w:rsidRPr="003A0C5C" w:rsidRDefault="002348BC">
      <w:pPr>
        <w:pStyle w:val="TableofFigures"/>
        <w:rPr>
          <w:rFonts w:asciiTheme="minorHAnsi" w:eastAsiaTheme="minorEastAsia" w:hAnsiTheme="minorHAnsi"/>
          <w:sz w:val="22"/>
          <w:szCs w:val="22"/>
        </w:rPr>
      </w:pPr>
      <w:hyperlink w:anchor="_Toc101792206" w:history="1">
        <w:r w:rsidR="008016C0" w:rsidRPr="003A0C5C">
          <w:rPr>
            <w:rStyle w:val="Hyperlink"/>
          </w:rPr>
          <w:t xml:space="preserve">Table 14 </w:t>
        </w:r>
        <w:r w:rsidR="008016C0" w:rsidRPr="003A0C5C">
          <w:rPr>
            <w:rFonts w:asciiTheme="minorHAnsi" w:eastAsiaTheme="minorEastAsia" w:hAnsiTheme="minorHAnsi"/>
            <w:sz w:val="22"/>
            <w:szCs w:val="22"/>
          </w:rPr>
          <w:tab/>
        </w:r>
        <w:r w:rsidR="008016C0" w:rsidRPr="003A0C5C">
          <w:rPr>
            <w:rStyle w:val="Hyperlink"/>
          </w:rPr>
          <w:t>Construction Noise Levels with Mitigation</w:t>
        </w:r>
        <w:r w:rsidR="008016C0" w:rsidRPr="003A0C5C">
          <w:rPr>
            <w:webHidden/>
          </w:rPr>
          <w:tab/>
        </w:r>
        <w:r w:rsidR="008016C0" w:rsidRPr="003A0C5C">
          <w:rPr>
            <w:webHidden/>
          </w:rPr>
          <w:fldChar w:fldCharType="begin"/>
        </w:r>
        <w:r w:rsidR="008016C0" w:rsidRPr="003A0C5C">
          <w:rPr>
            <w:webHidden/>
          </w:rPr>
          <w:instrText xml:space="preserve"> PAGEREF _Toc101792206 \h </w:instrText>
        </w:r>
        <w:r w:rsidR="008016C0" w:rsidRPr="003A0C5C">
          <w:rPr>
            <w:webHidden/>
          </w:rPr>
        </w:r>
        <w:r w:rsidR="008016C0" w:rsidRPr="003A0C5C">
          <w:rPr>
            <w:webHidden/>
          </w:rPr>
          <w:fldChar w:fldCharType="separate"/>
        </w:r>
        <w:r>
          <w:rPr>
            <w:webHidden/>
          </w:rPr>
          <w:t>85</w:t>
        </w:r>
        <w:r w:rsidR="008016C0" w:rsidRPr="003A0C5C">
          <w:rPr>
            <w:webHidden/>
          </w:rPr>
          <w:fldChar w:fldCharType="end"/>
        </w:r>
      </w:hyperlink>
    </w:p>
    <w:p w14:paraId="32DBB9BC" w14:textId="3E6E3E02" w:rsidR="008016C0" w:rsidRPr="003A0C5C" w:rsidRDefault="002348BC">
      <w:pPr>
        <w:pStyle w:val="TableofFigures"/>
        <w:rPr>
          <w:rFonts w:asciiTheme="minorHAnsi" w:eastAsiaTheme="minorEastAsia" w:hAnsiTheme="minorHAnsi"/>
          <w:sz w:val="22"/>
          <w:szCs w:val="22"/>
        </w:rPr>
      </w:pPr>
      <w:hyperlink w:anchor="_Toc101792207" w:history="1">
        <w:r w:rsidR="008016C0" w:rsidRPr="003A0C5C">
          <w:rPr>
            <w:rStyle w:val="Hyperlink"/>
          </w:rPr>
          <w:t xml:space="preserve">Table 15 </w:t>
        </w:r>
        <w:r w:rsidR="008016C0" w:rsidRPr="003A0C5C">
          <w:rPr>
            <w:rFonts w:asciiTheme="minorHAnsi" w:eastAsiaTheme="minorEastAsia" w:hAnsiTheme="minorHAnsi"/>
            <w:sz w:val="22"/>
            <w:szCs w:val="22"/>
          </w:rPr>
          <w:tab/>
        </w:r>
        <w:r w:rsidR="008016C0" w:rsidRPr="003A0C5C">
          <w:rPr>
            <w:rStyle w:val="Hyperlink"/>
          </w:rPr>
          <w:t>Predicted Existing Traffic Noise Levels</w:t>
        </w:r>
        <w:r w:rsidR="008016C0" w:rsidRPr="003A0C5C">
          <w:rPr>
            <w:webHidden/>
          </w:rPr>
          <w:tab/>
        </w:r>
        <w:r w:rsidR="008016C0" w:rsidRPr="003A0C5C">
          <w:rPr>
            <w:webHidden/>
          </w:rPr>
          <w:fldChar w:fldCharType="begin"/>
        </w:r>
        <w:r w:rsidR="008016C0" w:rsidRPr="003A0C5C">
          <w:rPr>
            <w:webHidden/>
          </w:rPr>
          <w:instrText xml:space="preserve"> PAGEREF _Toc101792207 \h </w:instrText>
        </w:r>
        <w:r w:rsidR="008016C0" w:rsidRPr="003A0C5C">
          <w:rPr>
            <w:webHidden/>
          </w:rPr>
        </w:r>
        <w:r w:rsidR="008016C0" w:rsidRPr="003A0C5C">
          <w:rPr>
            <w:webHidden/>
          </w:rPr>
          <w:fldChar w:fldCharType="separate"/>
        </w:r>
        <w:r>
          <w:rPr>
            <w:webHidden/>
          </w:rPr>
          <w:t>86</w:t>
        </w:r>
        <w:r w:rsidR="008016C0" w:rsidRPr="003A0C5C">
          <w:rPr>
            <w:webHidden/>
          </w:rPr>
          <w:fldChar w:fldCharType="end"/>
        </w:r>
      </w:hyperlink>
    </w:p>
    <w:p w14:paraId="3271246F" w14:textId="3ED9B850" w:rsidR="008016C0" w:rsidRPr="003A0C5C" w:rsidRDefault="002348BC">
      <w:pPr>
        <w:pStyle w:val="TableofFigures"/>
        <w:rPr>
          <w:rFonts w:asciiTheme="minorHAnsi" w:eastAsiaTheme="minorEastAsia" w:hAnsiTheme="minorHAnsi"/>
          <w:sz w:val="22"/>
          <w:szCs w:val="22"/>
        </w:rPr>
      </w:pPr>
      <w:hyperlink w:anchor="_Toc101792208" w:history="1">
        <w:r w:rsidR="008016C0" w:rsidRPr="003A0C5C">
          <w:rPr>
            <w:rStyle w:val="Hyperlink"/>
          </w:rPr>
          <w:t xml:space="preserve">Table 16 </w:t>
        </w:r>
        <w:r w:rsidR="008016C0" w:rsidRPr="003A0C5C">
          <w:rPr>
            <w:rFonts w:asciiTheme="minorHAnsi" w:eastAsiaTheme="minorEastAsia" w:hAnsiTheme="minorHAnsi"/>
            <w:sz w:val="22"/>
            <w:szCs w:val="22"/>
          </w:rPr>
          <w:tab/>
        </w:r>
        <w:r w:rsidR="008016C0" w:rsidRPr="003A0C5C">
          <w:rPr>
            <w:rStyle w:val="Hyperlink"/>
          </w:rPr>
          <w:t>Predicted Future Traffic Noise Levels</w:t>
        </w:r>
        <w:r w:rsidR="008016C0" w:rsidRPr="003A0C5C">
          <w:rPr>
            <w:webHidden/>
          </w:rPr>
          <w:tab/>
        </w:r>
        <w:r w:rsidR="008016C0" w:rsidRPr="003A0C5C">
          <w:rPr>
            <w:webHidden/>
          </w:rPr>
          <w:fldChar w:fldCharType="begin"/>
        </w:r>
        <w:r w:rsidR="008016C0" w:rsidRPr="003A0C5C">
          <w:rPr>
            <w:webHidden/>
          </w:rPr>
          <w:instrText xml:space="preserve"> PAGEREF _Toc101792208 \h </w:instrText>
        </w:r>
        <w:r w:rsidR="008016C0" w:rsidRPr="003A0C5C">
          <w:rPr>
            <w:webHidden/>
          </w:rPr>
        </w:r>
        <w:r w:rsidR="008016C0" w:rsidRPr="003A0C5C">
          <w:rPr>
            <w:webHidden/>
          </w:rPr>
          <w:fldChar w:fldCharType="separate"/>
        </w:r>
        <w:r>
          <w:rPr>
            <w:webHidden/>
          </w:rPr>
          <w:t>87</w:t>
        </w:r>
        <w:r w:rsidR="008016C0" w:rsidRPr="003A0C5C">
          <w:rPr>
            <w:webHidden/>
          </w:rPr>
          <w:fldChar w:fldCharType="end"/>
        </w:r>
      </w:hyperlink>
    </w:p>
    <w:p w14:paraId="398F8693" w14:textId="18C6392D" w:rsidR="008016C0" w:rsidRPr="003A0C5C" w:rsidRDefault="002348BC">
      <w:pPr>
        <w:pStyle w:val="TableofFigures"/>
        <w:rPr>
          <w:rFonts w:asciiTheme="minorHAnsi" w:eastAsiaTheme="minorEastAsia" w:hAnsiTheme="minorHAnsi"/>
          <w:sz w:val="22"/>
          <w:szCs w:val="22"/>
        </w:rPr>
      </w:pPr>
      <w:hyperlink w:anchor="_Toc101792209" w:history="1">
        <w:r w:rsidR="008016C0" w:rsidRPr="003A0C5C">
          <w:rPr>
            <w:rStyle w:val="Hyperlink"/>
          </w:rPr>
          <w:t xml:space="preserve">Table 17 </w:t>
        </w:r>
        <w:r w:rsidR="008016C0" w:rsidRPr="003A0C5C">
          <w:rPr>
            <w:rFonts w:asciiTheme="minorHAnsi" w:eastAsiaTheme="minorEastAsia" w:hAnsiTheme="minorHAnsi"/>
            <w:sz w:val="22"/>
            <w:szCs w:val="22"/>
          </w:rPr>
          <w:tab/>
        </w:r>
        <w:r w:rsidR="008016C0" w:rsidRPr="003A0C5C">
          <w:rPr>
            <w:rStyle w:val="Hyperlink"/>
          </w:rPr>
          <w:t>Estimated Loading Area Noise Levels (L</w:t>
        </w:r>
        <w:r w:rsidR="008016C0" w:rsidRPr="003A0C5C">
          <w:rPr>
            <w:rStyle w:val="Hyperlink"/>
            <w:vertAlign w:val="subscript"/>
          </w:rPr>
          <w:t>eq</w:t>
        </w:r>
        <w:r w:rsidR="008016C0" w:rsidRPr="003A0C5C">
          <w:rPr>
            <w:rStyle w:val="Hyperlink"/>
          </w:rPr>
          <w:t>)</w:t>
        </w:r>
        <w:r w:rsidR="008016C0" w:rsidRPr="003A0C5C">
          <w:rPr>
            <w:webHidden/>
          </w:rPr>
          <w:tab/>
        </w:r>
        <w:r w:rsidR="008016C0" w:rsidRPr="003A0C5C">
          <w:rPr>
            <w:webHidden/>
          </w:rPr>
          <w:fldChar w:fldCharType="begin"/>
        </w:r>
        <w:r w:rsidR="008016C0" w:rsidRPr="003A0C5C">
          <w:rPr>
            <w:webHidden/>
          </w:rPr>
          <w:instrText xml:space="preserve"> PAGEREF _Toc101792209 \h </w:instrText>
        </w:r>
        <w:r w:rsidR="008016C0" w:rsidRPr="003A0C5C">
          <w:rPr>
            <w:webHidden/>
          </w:rPr>
        </w:r>
        <w:r w:rsidR="008016C0" w:rsidRPr="003A0C5C">
          <w:rPr>
            <w:webHidden/>
          </w:rPr>
          <w:fldChar w:fldCharType="separate"/>
        </w:r>
        <w:r>
          <w:rPr>
            <w:webHidden/>
          </w:rPr>
          <w:t>89</w:t>
        </w:r>
        <w:r w:rsidR="008016C0" w:rsidRPr="003A0C5C">
          <w:rPr>
            <w:webHidden/>
          </w:rPr>
          <w:fldChar w:fldCharType="end"/>
        </w:r>
      </w:hyperlink>
    </w:p>
    <w:p w14:paraId="522A7D7C" w14:textId="201C6868" w:rsidR="008016C0" w:rsidRPr="003A0C5C" w:rsidRDefault="002348BC">
      <w:pPr>
        <w:pStyle w:val="TableofFigures"/>
        <w:rPr>
          <w:rFonts w:asciiTheme="minorHAnsi" w:eastAsiaTheme="minorEastAsia" w:hAnsiTheme="minorHAnsi"/>
          <w:sz w:val="22"/>
          <w:szCs w:val="22"/>
        </w:rPr>
      </w:pPr>
      <w:hyperlink w:anchor="_Toc101792210" w:history="1">
        <w:r w:rsidR="008016C0" w:rsidRPr="003A0C5C">
          <w:rPr>
            <w:rStyle w:val="Hyperlink"/>
          </w:rPr>
          <w:t xml:space="preserve">Table 18 </w:t>
        </w:r>
        <w:r w:rsidR="008016C0" w:rsidRPr="003A0C5C">
          <w:rPr>
            <w:rFonts w:asciiTheme="minorHAnsi" w:eastAsiaTheme="minorEastAsia" w:hAnsiTheme="minorHAnsi"/>
            <w:sz w:val="22"/>
            <w:szCs w:val="22"/>
          </w:rPr>
          <w:tab/>
        </w:r>
        <w:r w:rsidR="008016C0" w:rsidRPr="003A0C5C">
          <w:rPr>
            <w:rStyle w:val="Hyperlink"/>
          </w:rPr>
          <w:t>Estimated Composite Noise Levels from Project Operations</w:t>
        </w:r>
        <w:r w:rsidR="008016C0" w:rsidRPr="003A0C5C">
          <w:rPr>
            <w:webHidden/>
          </w:rPr>
          <w:tab/>
        </w:r>
        <w:r w:rsidR="008016C0" w:rsidRPr="003A0C5C">
          <w:rPr>
            <w:webHidden/>
          </w:rPr>
          <w:fldChar w:fldCharType="begin"/>
        </w:r>
        <w:r w:rsidR="008016C0" w:rsidRPr="003A0C5C">
          <w:rPr>
            <w:webHidden/>
          </w:rPr>
          <w:instrText xml:space="preserve"> PAGEREF _Toc101792210 \h </w:instrText>
        </w:r>
        <w:r w:rsidR="008016C0" w:rsidRPr="003A0C5C">
          <w:rPr>
            <w:webHidden/>
          </w:rPr>
        </w:r>
        <w:r w:rsidR="008016C0" w:rsidRPr="003A0C5C">
          <w:rPr>
            <w:webHidden/>
          </w:rPr>
          <w:fldChar w:fldCharType="separate"/>
        </w:r>
        <w:r>
          <w:rPr>
            <w:webHidden/>
          </w:rPr>
          <w:t>90</w:t>
        </w:r>
        <w:r w:rsidR="008016C0" w:rsidRPr="003A0C5C">
          <w:rPr>
            <w:webHidden/>
          </w:rPr>
          <w:fldChar w:fldCharType="end"/>
        </w:r>
      </w:hyperlink>
    </w:p>
    <w:p w14:paraId="27A14B32" w14:textId="431CCDD8" w:rsidR="00073188" w:rsidRPr="003A0C5C" w:rsidRDefault="004E2B77" w:rsidP="0031316C">
      <w:pPr>
        <w:rPr>
          <w:highlight w:val="yellow"/>
        </w:rPr>
      </w:pPr>
      <w:r w:rsidRPr="003A0C5C">
        <w:rPr>
          <w:highlight w:val="yellow"/>
        </w:rPr>
        <w:fldChar w:fldCharType="end"/>
      </w:r>
    </w:p>
    <w:p w14:paraId="7DEFD377" w14:textId="7F1A1B96" w:rsidR="002F1BFE" w:rsidRPr="003A0C5C" w:rsidRDefault="002F1BFE" w:rsidP="0031316C">
      <w:pPr>
        <w:rPr>
          <w:highlight w:val="yellow"/>
        </w:rPr>
        <w:sectPr w:rsidR="002F1BFE" w:rsidRPr="003A0C5C" w:rsidSect="006536F6">
          <w:headerReference w:type="even" r:id="rId22"/>
          <w:footerReference w:type="even" r:id="rId23"/>
          <w:headerReference w:type="first" r:id="rId24"/>
          <w:footerReference w:type="first" r:id="rId25"/>
          <w:pgSz w:w="12240" w:h="15840" w:code="1"/>
          <w:pgMar w:top="1440" w:right="1800" w:bottom="1440" w:left="1800" w:header="720" w:footer="576" w:gutter="0"/>
          <w:pgNumType w:fmt="lowerRoman" w:start="1"/>
          <w:cols w:space="720"/>
          <w:titlePg/>
          <w:docGrid w:linePitch="360"/>
        </w:sectPr>
      </w:pPr>
    </w:p>
    <w:p w14:paraId="3CD2536D" w14:textId="0E7A25BE" w:rsidR="00073188" w:rsidRPr="003A0C5C" w:rsidRDefault="00073188" w:rsidP="00073188">
      <w:pPr>
        <w:pStyle w:val="TOCTableofContents"/>
      </w:pPr>
      <w:r w:rsidRPr="003A0C5C">
        <w:lastRenderedPageBreak/>
        <w:t>Acronyms and Abbreviations</w:t>
      </w:r>
    </w:p>
    <w:p w14:paraId="74982094" w14:textId="77777777" w:rsidR="0026180B" w:rsidRPr="003A0C5C" w:rsidRDefault="0026180B" w:rsidP="0026180B"/>
    <w:tbl>
      <w:tblPr>
        <w:tblStyle w:val="TableGrid"/>
        <w:tblW w:w="0" w:type="auto"/>
        <w:tblLook w:val="04A0" w:firstRow="1" w:lastRow="0" w:firstColumn="1" w:lastColumn="0" w:noHBand="0" w:noVBand="1"/>
      </w:tblPr>
      <w:tblGrid>
        <w:gridCol w:w="3685"/>
        <w:gridCol w:w="4945"/>
      </w:tblGrid>
      <w:tr w:rsidR="003A0C5C" w:rsidRPr="003A0C5C" w14:paraId="1DB42E76" w14:textId="77777777" w:rsidTr="00073188">
        <w:trPr>
          <w:tblHeader/>
        </w:trPr>
        <w:tc>
          <w:tcPr>
            <w:tcW w:w="3685" w:type="dxa"/>
          </w:tcPr>
          <w:p w14:paraId="23110236" w14:textId="7F415FA8" w:rsidR="00073188" w:rsidRPr="003A0C5C" w:rsidRDefault="00073188" w:rsidP="00DD5380">
            <w:pPr>
              <w:pStyle w:val="1space"/>
              <w:spacing w:before="20" w:after="20"/>
              <w:rPr>
                <w:b/>
                <w:bCs/>
              </w:rPr>
            </w:pPr>
            <w:r w:rsidRPr="003A0C5C">
              <w:rPr>
                <w:b/>
                <w:bCs/>
              </w:rPr>
              <w:t>Acronym/Abbreviation</w:t>
            </w:r>
          </w:p>
        </w:tc>
        <w:tc>
          <w:tcPr>
            <w:tcW w:w="4945" w:type="dxa"/>
          </w:tcPr>
          <w:p w14:paraId="5E8E8C96" w14:textId="5C096468" w:rsidR="00073188" w:rsidRPr="003A0C5C" w:rsidRDefault="00073188" w:rsidP="00DD5380">
            <w:pPr>
              <w:pStyle w:val="1space"/>
              <w:spacing w:before="20" w:after="20"/>
              <w:rPr>
                <w:b/>
                <w:bCs/>
              </w:rPr>
            </w:pPr>
            <w:r w:rsidRPr="003A0C5C">
              <w:rPr>
                <w:b/>
                <w:bCs/>
              </w:rPr>
              <w:t>Definition</w:t>
            </w:r>
          </w:p>
        </w:tc>
      </w:tr>
      <w:tr w:rsidR="003A0C5C" w:rsidRPr="003A0C5C" w14:paraId="191D68CC" w14:textId="77777777" w:rsidTr="00073188">
        <w:tc>
          <w:tcPr>
            <w:tcW w:w="3685" w:type="dxa"/>
          </w:tcPr>
          <w:p w14:paraId="2ED09195" w14:textId="77777777" w:rsidR="00073188" w:rsidRPr="003A0C5C" w:rsidRDefault="00073188" w:rsidP="00DD5380">
            <w:pPr>
              <w:pStyle w:val="1space"/>
              <w:spacing w:before="20" w:after="20"/>
            </w:pPr>
            <w:r w:rsidRPr="003A0C5C">
              <w:t>ADA</w:t>
            </w:r>
          </w:p>
        </w:tc>
        <w:tc>
          <w:tcPr>
            <w:tcW w:w="4945" w:type="dxa"/>
          </w:tcPr>
          <w:p w14:paraId="126DCB50" w14:textId="77777777" w:rsidR="00073188" w:rsidRPr="003A0C5C" w:rsidRDefault="00073188" w:rsidP="00DD5380">
            <w:pPr>
              <w:pStyle w:val="1space"/>
              <w:spacing w:before="20" w:after="20"/>
            </w:pPr>
            <w:r w:rsidRPr="003A0C5C">
              <w:t>Americans with Disabilities Act</w:t>
            </w:r>
          </w:p>
        </w:tc>
      </w:tr>
      <w:tr w:rsidR="003A0C5C" w:rsidRPr="003A0C5C" w14:paraId="10CE070D" w14:textId="77777777" w:rsidTr="00073188">
        <w:tc>
          <w:tcPr>
            <w:tcW w:w="3685" w:type="dxa"/>
          </w:tcPr>
          <w:p w14:paraId="184A1E72" w14:textId="77777777" w:rsidR="00073188" w:rsidRPr="003A0C5C" w:rsidRDefault="00073188" w:rsidP="00DD5380">
            <w:pPr>
              <w:pStyle w:val="1space"/>
              <w:spacing w:before="20" w:after="20"/>
            </w:pPr>
            <w:r w:rsidRPr="003A0C5C">
              <w:t>ADT</w:t>
            </w:r>
          </w:p>
        </w:tc>
        <w:tc>
          <w:tcPr>
            <w:tcW w:w="4945" w:type="dxa"/>
          </w:tcPr>
          <w:p w14:paraId="6E7EC810" w14:textId="77777777" w:rsidR="00073188" w:rsidRPr="003A0C5C" w:rsidRDefault="00073188" w:rsidP="00DD5380">
            <w:pPr>
              <w:pStyle w:val="1space"/>
              <w:spacing w:before="20" w:after="20"/>
            </w:pPr>
            <w:r w:rsidRPr="003A0C5C">
              <w:t>average daily traffic</w:t>
            </w:r>
          </w:p>
        </w:tc>
      </w:tr>
      <w:tr w:rsidR="003A0C5C" w:rsidRPr="003A0C5C" w14:paraId="0C46529B" w14:textId="77777777" w:rsidTr="00073188">
        <w:tc>
          <w:tcPr>
            <w:tcW w:w="3685" w:type="dxa"/>
          </w:tcPr>
          <w:p w14:paraId="4AF12D4D" w14:textId="77777777" w:rsidR="00073188" w:rsidRPr="003A0C5C" w:rsidRDefault="00073188" w:rsidP="00DD5380">
            <w:pPr>
              <w:pStyle w:val="1space"/>
              <w:spacing w:before="20" w:after="20"/>
            </w:pPr>
            <w:r w:rsidRPr="003A0C5C">
              <w:t>AFY</w:t>
            </w:r>
          </w:p>
        </w:tc>
        <w:tc>
          <w:tcPr>
            <w:tcW w:w="4945" w:type="dxa"/>
          </w:tcPr>
          <w:p w14:paraId="2163C9ED" w14:textId="77777777" w:rsidR="00073188" w:rsidRPr="003A0C5C" w:rsidRDefault="00073188" w:rsidP="00DD5380">
            <w:pPr>
              <w:pStyle w:val="1space"/>
              <w:spacing w:before="20" w:after="20"/>
            </w:pPr>
            <w:r w:rsidRPr="003A0C5C">
              <w:t>acre feet per year</w:t>
            </w:r>
          </w:p>
        </w:tc>
      </w:tr>
      <w:tr w:rsidR="003A0C5C" w:rsidRPr="003A0C5C" w14:paraId="0DAC5E17" w14:textId="77777777" w:rsidTr="00073188">
        <w:tc>
          <w:tcPr>
            <w:tcW w:w="3685" w:type="dxa"/>
          </w:tcPr>
          <w:p w14:paraId="00DBBF0E" w14:textId="77777777" w:rsidR="00073188" w:rsidRPr="003A0C5C" w:rsidRDefault="00073188" w:rsidP="00DD5380">
            <w:pPr>
              <w:pStyle w:val="1space"/>
              <w:spacing w:before="20" w:after="20"/>
            </w:pPr>
            <w:r w:rsidRPr="003A0C5C">
              <w:t>ANSI</w:t>
            </w:r>
          </w:p>
        </w:tc>
        <w:tc>
          <w:tcPr>
            <w:tcW w:w="4945" w:type="dxa"/>
          </w:tcPr>
          <w:p w14:paraId="093D3F27" w14:textId="77777777" w:rsidR="00073188" w:rsidRPr="003A0C5C" w:rsidRDefault="00073188" w:rsidP="00DD5380">
            <w:pPr>
              <w:pStyle w:val="1space"/>
              <w:spacing w:before="20" w:after="20"/>
            </w:pPr>
            <w:r w:rsidRPr="003A0C5C">
              <w:t>American National Standard Institute</w:t>
            </w:r>
          </w:p>
        </w:tc>
      </w:tr>
      <w:tr w:rsidR="003A0C5C" w:rsidRPr="003A0C5C" w14:paraId="1CC6F19C" w14:textId="77777777" w:rsidTr="00073188">
        <w:tc>
          <w:tcPr>
            <w:tcW w:w="3685" w:type="dxa"/>
          </w:tcPr>
          <w:p w14:paraId="5D3157A7" w14:textId="24D98B7F" w:rsidR="004739F5" w:rsidRPr="003A0C5C" w:rsidRDefault="004739F5" w:rsidP="00DD5380">
            <w:pPr>
              <w:pStyle w:val="1space"/>
              <w:spacing w:before="20" w:after="20"/>
            </w:pPr>
            <w:r w:rsidRPr="003A0C5C">
              <w:t>APN</w:t>
            </w:r>
          </w:p>
        </w:tc>
        <w:tc>
          <w:tcPr>
            <w:tcW w:w="4945" w:type="dxa"/>
          </w:tcPr>
          <w:p w14:paraId="48FC9402" w14:textId="6AE02A72" w:rsidR="004739F5" w:rsidRPr="003A0C5C" w:rsidRDefault="004739F5" w:rsidP="00DD5380">
            <w:pPr>
              <w:pStyle w:val="1space"/>
              <w:spacing w:before="20" w:after="20"/>
            </w:pPr>
            <w:r w:rsidRPr="003A0C5C">
              <w:t>Assessor’s Parcel Number</w:t>
            </w:r>
          </w:p>
        </w:tc>
      </w:tr>
      <w:tr w:rsidR="003A0C5C" w:rsidRPr="003A0C5C" w14:paraId="05528E3B" w14:textId="77777777" w:rsidTr="00073188">
        <w:tc>
          <w:tcPr>
            <w:tcW w:w="3685" w:type="dxa"/>
          </w:tcPr>
          <w:p w14:paraId="28A249B3" w14:textId="77777777" w:rsidR="00073188" w:rsidRPr="003A0C5C" w:rsidRDefault="00073188" w:rsidP="00DD5380">
            <w:pPr>
              <w:pStyle w:val="1space"/>
              <w:spacing w:before="20" w:after="20"/>
            </w:pPr>
            <w:r w:rsidRPr="003A0C5C">
              <w:t>AQMP</w:t>
            </w:r>
          </w:p>
        </w:tc>
        <w:tc>
          <w:tcPr>
            <w:tcW w:w="4945" w:type="dxa"/>
          </w:tcPr>
          <w:p w14:paraId="74F20FBC" w14:textId="77777777" w:rsidR="00073188" w:rsidRPr="003A0C5C" w:rsidRDefault="00073188" w:rsidP="00DD5380">
            <w:pPr>
              <w:pStyle w:val="1space"/>
              <w:spacing w:before="20" w:after="20"/>
            </w:pPr>
            <w:r w:rsidRPr="003A0C5C">
              <w:t>Air Quality Management Plan</w:t>
            </w:r>
          </w:p>
        </w:tc>
      </w:tr>
      <w:tr w:rsidR="003A0C5C" w:rsidRPr="003A0C5C" w14:paraId="6119C132" w14:textId="77777777" w:rsidTr="00073188">
        <w:tc>
          <w:tcPr>
            <w:tcW w:w="3685" w:type="dxa"/>
          </w:tcPr>
          <w:p w14:paraId="4B273118" w14:textId="77777777" w:rsidR="00073188" w:rsidRPr="003A0C5C" w:rsidRDefault="00073188" w:rsidP="00DD5380">
            <w:pPr>
              <w:pStyle w:val="1space"/>
              <w:spacing w:before="20" w:after="20"/>
            </w:pPr>
            <w:r w:rsidRPr="003A0C5C">
              <w:t>AR4</w:t>
            </w:r>
          </w:p>
        </w:tc>
        <w:tc>
          <w:tcPr>
            <w:tcW w:w="4945" w:type="dxa"/>
          </w:tcPr>
          <w:p w14:paraId="39934062" w14:textId="77777777" w:rsidR="00073188" w:rsidRPr="003A0C5C" w:rsidRDefault="00073188" w:rsidP="00DD5380">
            <w:pPr>
              <w:pStyle w:val="1space"/>
              <w:spacing w:before="20" w:after="20"/>
            </w:pPr>
            <w:r w:rsidRPr="003A0C5C">
              <w:t>Fourth Assessment Report</w:t>
            </w:r>
          </w:p>
        </w:tc>
      </w:tr>
      <w:tr w:rsidR="003A0C5C" w:rsidRPr="003A0C5C" w14:paraId="4A66FC81" w14:textId="77777777" w:rsidTr="00073188">
        <w:tc>
          <w:tcPr>
            <w:tcW w:w="3685" w:type="dxa"/>
          </w:tcPr>
          <w:p w14:paraId="341593F3" w14:textId="77777777" w:rsidR="00073188" w:rsidRPr="003A0C5C" w:rsidRDefault="00073188" w:rsidP="00DD5380">
            <w:pPr>
              <w:pStyle w:val="1space"/>
              <w:spacing w:before="20" w:after="20"/>
            </w:pPr>
            <w:r w:rsidRPr="003A0C5C">
              <w:t>ASHRAE</w:t>
            </w:r>
          </w:p>
        </w:tc>
        <w:tc>
          <w:tcPr>
            <w:tcW w:w="4945" w:type="dxa"/>
          </w:tcPr>
          <w:p w14:paraId="3AD9A3A0" w14:textId="77777777" w:rsidR="00073188" w:rsidRPr="003A0C5C" w:rsidRDefault="00073188" w:rsidP="00DD5380">
            <w:pPr>
              <w:pStyle w:val="1space"/>
              <w:spacing w:before="20" w:after="20"/>
            </w:pPr>
            <w:r w:rsidRPr="003A0C5C">
              <w:t>American Society of Heating, Refrigerating and Air-Conditioning Engineers</w:t>
            </w:r>
          </w:p>
        </w:tc>
      </w:tr>
      <w:tr w:rsidR="003A0C5C" w:rsidRPr="003A0C5C" w14:paraId="6BCDF34A" w14:textId="77777777" w:rsidTr="00073188">
        <w:tc>
          <w:tcPr>
            <w:tcW w:w="3685" w:type="dxa"/>
          </w:tcPr>
          <w:p w14:paraId="6BF1B05C" w14:textId="77777777" w:rsidR="00073188" w:rsidRPr="003A0C5C" w:rsidRDefault="00073188" w:rsidP="00DD5380">
            <w:pPr>
              <w:pStyle w:val="1space"/>
              <w:spacing w:before="20" w:after="20"/>
            </w:pPr>
            <w:r w:rsidRPr="003A0C5C">
              <w:t>ATCM</w:t>
            </w:r>
          </w:p>
        </w:tc>
        <w:tc>
          <w:tcPr>
            <w:tcW w:w="4945" w:type="dxa"/>
          </w:tcPr>
          <w:p w14:paraId="3207AEE9" w14:textId="77777777" w:rsidR="00073188" w:rsidRPr="003A0C5C" w:rsidRDefault="00073188" w:rsidP="00DD5380">
            <w:pPr>
              <w:pStyle w:val="1space"/>
              <w:spacing w:before="20" w:after="20"/>
            </w:pPr>
            <w:r w:rsidRPr="003A0C5C">
              <w:t>Air Toxics Control Measure</w:t>
            </w:r>
          </w:p>
        </w:tc>
      </w:tr>
      <w:tr w:rsidR="003A0C5C" w:rsidRPr="003A0C5C" w14:paraId="647FAC4C" w14:textId="77777777" w:rsidTr="00073188">
        <w:tc>
          <w:tcPr>
            <w:tcW w:w="3685" w:type="dxa"/>
          </w:tcPr>
          <w:p w14:paraId="56FB4522" w14:textId="77777777" w:rsidR="00073188" w:rsidRPr="003A0C5C" w:rsidRDefault="00073188" w:rsidP="00DD5380">
            <w:pPr>
              <w:pStyle w:val="1space"/>
              <w:spacing w:before="20" w:after="20"/>
            </w:pPr>
            <w:r w:rsidRPr="003A0C5C">
              <w:t>BACT</w:t>
            </w:r>
          </w:p>
        </w:tc>
        <w:tc>
          <w:tcPr>
            <w:tcW w:w="4945" w:type="dxa"/>
          </w:tcPr>
          <w:p w14:paraId="00980EE2" w14:textId="77777777" w:rsidR="00073188" w:rsidRPr="003A0C5C" w:rsidRDefault="00073188" w:rsidP="00DD5380">
            <w:pPr>
              <w:pStyle w:val="1space"/>
              <w:spacing w:before="20" w:after="20"/>
            </w:pPr>
            <w:r w:rsidRPr="003A0C5C">
              <w:t>Best Available Control Technology</w:t>
            </w:r>
          </w:p>
        </w:tc>
      </w:tr>
      <w:tr w:rsidR="003A0C5C" w:rsidRPr="003A0C5C" w14:paraId="6812AA7A" w14:textId="77777777" w:rsidTr="00073188">
        <w:tc>
          <w:tcPr>
            <w:tcW w:w="3685" w:type="dxa"/>
          </w:tcPr>
          <w:p w14:paraId="1101C24B" w14:textId="77777777" w:rsidR="00073188" w:rsidRPr="003A0C5C" w:rsidRDefault="00073188" w:rsidP="00DD5380">
            <w:pPr>
              <w:pStyle w:val="1space"/>
              <w:spacing w:before="20" w:after="20"/>
            </w:pPr>
            <w:r w:rsidRPr="003A0C5C">
              <w:t>BC3</w:t>
            </w:r>
          </w:p>
        </w:tc>
        <w:tc>
          <w:tcPr>
            <w:tcW w:w="4945" w:type="dxa"/>
          </w:tcPr>
          <w:p w14:paraId="0B877EA8" w14:textId="77777777" w:rsidR="00073188" w:rsidRPr="003A0C5C" w:rsidRDefault="00073188" w:rsidP="00DD5380">
            <w:pPr>
              <w:pStyle w:val="1space"/>
              <w:spacing w:before="20" w:after="20"/>
            </w:pPr>
            <w:r w:rsidRPr="003A0C5C">
              <w:t>Business Council on Climate Change</w:t>
            </w:r>
          </w:p>
        </w:tc>
      </w:tr>
      <w:tr w:rsidR="003A0C5C" w:rsidRPr="003A0C5C" w14:paraId="7492A6E2" w14:textId="77777777" w:rsidTr="00073188">
        <w:tc>
          <w:tcPr>
            <w:tcW w:w="3685" w:type="dxa"/>
          </w:tcPr>
          <w:p w14:paraId="2F22F40C" w14:textId="77777777" w:rsidR="00073188" w:rsidRPr="003A0C5C" w:rsidRDefault="00073188" w:rsidP="00DD5380">
            <w:pPr>
              <w:pStyle w:val="1space"/>
              <w:spacing w:before="20" w:after="20"/>
            </w:pPr>
            <w:r w:rsidRPr="003A0C5C">
              <w:t>BERD</w:t>
            </w:r>
          </w:p>
        </w:tc>
        <w:tc>
          <w:tcPr>
            <w:tcW w:w="4945" w:type="dxa"/>
          </w:tcPr>
          <w:p w14:paraId="6AF92F26" w14:textId="77777777" w:rsidR="00073188" w:rsidRPr="003A0C5C" w:rsidRDefault="00073188" w:rsidP="00DD5380">
            <w:pPr>
              <w:pStyle w:val="1space"/>
              <w:spacing w:before="20" w:after="20"/>
            </w:pPr>
            <w:r w:rsidRPr="003A0C5C">
              <w:t>Built Environment Resources Directory</w:t>
            </w:r>
          </w:p>
        </w:tc>
      </w:tr>
      <w:tr w:rsidR="003A0C5C" w:rsidRPr="003A0C5C" w14:paraId="000DFCE5" w14:textId="77777777" w:rsidTr="00073188">
        <w:tc>
          <w:tcPr>
            <w:tcW w:w="3685" w:type="dxa"/>
          </w:tcPr>
          <w:p w14:paraId="39192377" w14:textId="77777777" w:rsidR="00073188" w:rsidRPr="003A0C5C" w:rsidRDefault="00073188" w:rsidP="00DD5380">
            <w:pPr>
              <w:pStyle w:val="1space"/>
              <w:spacing w:before="20" w:after="20"/>
            </w:pPr>
            <w:r w:rsidRPr="003A0C5C">
              <w:t>BMP</w:t>
            </w:r>
          </w:p>
        </w:tc>
        <w:tc>
          <w:tcPr>
            <w:tcW w:w="4945" w:type="dxa"/>
          </w:tcPr>
          <w:p w14:paraId="14724D59" w14:textId="77777777" w:rsidR="00073188" w:rsidRPr="003A0C5C" w:rsidRDefault="00073188" w:rsidP="00DD5380">
            <w:pPr>
              <w:pStyle w:val="1space"/>
              <w:spacing w:before="20" w:after="20"/>
            </w:pPr>
            <w:r w:rsidRPr="003A0C5C">
              <w:t>best management practices</w:t>
            </w:r>
          </w:p>
        </w:tc>
      </w:tr>
      <w:tr w:rsidR="003A0C5C" w:rsidRPr="003A0C5C" w14:paraId="48B54F43" w14:textId="77777777" w:rsidTr="00073188">
        <w:tc>
          <w:tcPr>
            <w:tcW w:w="3685" w:type="dxa"/>
          </w:tcPr>
          <w:p w14:paraId="33AB7B17" w14:textId="77777777" w:rsidR="00073188" w:rsidRPr="003A0C5C" w:rsidRDefault="00073188" w:rsidP="00DD5380">
            <w:pPr>
              <w:pStyle w:val="1space"/>
              <w:spacing w:before="20" w:after="20"/>
            </w:pPr>
            <w:r w:rsidRPr="003A0C5C">
              <w:t>CAAQS</w:t>
            </w:r>
          </w:p>
        </w:tc>
        <w:tc>
          <w:tcPr>
            <w:tcW w:w="4945" w:type="dxa"/>
          </w:tcPr>
          <w:p w14:paraId="549DE70A" w14:textId="77777777" w:rsidR="00073188" w:rsidRPr="003A0C5C" w:rsidRDefault="00073188" w:rsidP="00DD5380">
            <w:pPr>
              <w:pStyle w:val="1space"/>
              <w:spacing w:before="20" w:after="20"/>
            </w:pPr>
            <w:r w:rsidRPr="003A0C5C">
              <w:t>California Ambient Air Quality Standards</w:t>
            </w:r>
          </w:p>
        </w:tc>
      </w:tr>
      <w:tr w:rsidR="003A0C5C" w:rsidRPr="003A0C5C" w14:paraId="55DE373C" w14:textId="77777777" w:rsidTr="00073188">
        <w:tc>
          <w:tcPr>
            <w:tcW w:w="3685" w:type="dxa"/>
          </w:tcPr>
          <w:p w14:paraId="6EAE9501" w14:textId="77777777" w:rsidR="00073188" w:rsidRPr="003A0C5C" w:rsidRDefault="00073188" w:rsidP="00DD5380">
            <w:pPr>
              <w:pStyle w:val="1space"/>
              <w:spacing w:before="20" w:after="20"/>
            </w:pPr>
            <w:proofErr w:type="spellStart"/>
            <w:r w:rsidRPr="003A0C5C">
              <w:t>CalEEMod</w:t>
            </w:r>
            <w:proofErr w:type="spellEnd"/>
          </w:p>
        </w:tc>
        <w:tc>
          <w:tcPr>
            <w:tcW w:w="4945" w:type="dxa"/>
          </w:tcPr>
          <w:p w14:paraId="3A973522" w14:textId="77777777" w:rsidR="00073188" w:rsidRPr="003A0C5C" w:rsidRDefault="00073188" w:rsidP="00DD5380">
            <w:pPr>
              <w:pStyle w:val="1space"/>
              <w:spacing w:before="20" w:after="20"/>
            </w:pPr>
            <w:r w:rsidRPr="003A0C5C">
              <w:t>California Emissions Estimator Model</w:t>
            </w:r>
          </w:p>
        </w:tc>
      </w:tr>
      <w:tr w:rsidR="003A0C5C" w:rsidRPr="003A0C5C" w14:paraId="4AFE6E82" w14:textId="77777777" w:rsidTr="00073188">
        <w:tc>
          <w:tcPr>
            <w:tcW w:w="3685" w:type="dxa"/>
          </w:tcPr>
          <w:p w14:paraId="48F9E97D" w14:textId="77777777" w:rsidR="00073188" w:rsidRPr="003A0C5C" w:rsidRDefault="00073188" w:rsidP="00DD5380">
            <w:pPr>
              <w:pStyle w:val="1space"/>
              <w:spacing w:before="20" w:after="20"/>
            </w:pPr>
            <w:r w:rsidRPr="003A0C5C">
              <w:t>CAL FIRE</w:t>
            </w:r>
          </w:p>
        </w:tc>
        <w:tc>
          <w:tcPr>
            <w:tcW w:w="4945" w:type="dxa"/>
          </w:tcPr>
          <w:p w14:paraId="367F4171" w14:textId="77777777" w:rsidR="00073188" w:rsidRPr="003A0C5C" w:rsidRDefault="00073188" w:rsidP="00DD5380">
            <w:pPr>
              <w:pStyle w:val="1space"/>
              <w:spacing w:before="20" w:after="20"/>
            </w:pPr>
            <w:r w:rsidRPr="003A0C5C">
              <w:t>California Department of Forestry and Fire Protection</w:t>
            </w:r>
          </w:p>
        </w:tc>
      </w:tr>
      <w:tr w:rsidR="003A0C5C" w:rsidRPr="003A0C5C" w14:paraId="32F3605F" w14:textId="77777777" w:rsidTr="00073188">
        <w:tc>
          <w:tcPr>
            <w:tcW w:w="3685" w:type="dxa"/>
          </w:tcPr>
          <w:p w14:paraId="1DE23EA1" w14:textId="77777777" w:rsidR="00073188" w:rsidRPr="003A0C5C" w:rsidRDefault="00073188" w:rsidP="00DD5380">
            <w:pPr>
              <w:pStyle w:val="1space"/>
              <w:spacing w:before="20" w:after="20"/>
            </w:pPr>
            <w:r w:rsidRPr="003A0C5C">
              <w:t>Cal/OSHA</w:t>
            </w:r>
          </w:p>
        </w:tc>
        <w:tc>
          <w:tcPr>
            <w:tcW w:w="4945" w:type="dxa"/>
          </w:tcPr>
          <w:p w14:paraId="0B897252" w14:textId="77777777" w:rsidR="00073188" w:rsidRPr="003A0C5C" w:rsidRDefault="00073188" w:rsidP="00DD5380">
            <w:pPr>
              <w:pStyle w:val="1space"/>
              <w:spacing w:before="20" w:after="20"/>
            </w:pPr>
            <w:r w:rsidRPr="003A0C5C">
              <w:t>California Division of Occupational Safety and Health</w:t>
            </w:r>
          </w:p>
        </w:tc>
      </w:tr>
      <w:tr w:rsidR="003A0C5C" w:rsidRPr="003A0C5C" w14:paraId="1B3A8D47" w14:textId="77777777" w:rsidTr="00073188">
        <w:tc>
          <w:tcPr>
            <w:tcW w:w="3685" w:type="dxa"/>
          </w:tcPr>
          <w:p w14:paraId="3DC4F946" w14:textId="77777777" w:rsidR="00073188" w:rsidRPr="003A0C5C" w:rsidRDefault="00073188" w:rsidP="00DD5380">
            <w:pPr>
              <w:pStyle w:val="1space"/>
              <w:spacing w:before="20" w:after="20"/>
            </w:pPr>
            <w:r w:rsidRPr="003A0C5C">
              <w:t>Caltrans</w:t>
            </w:r>
          </w:p>
        </w:tc>
        <w:tc>
          <w:tcPr>
            <w:tcW w:w="4945" w:type="dxa"/>
          </w:tcPr>
          <w:p w14:paraId="489BC753" w14:textId="77777777" w:rsidR="00073188" w:rsidRPr="003A0C5C" w:rsidRDefault="00073188" w:rsidP="00DD5380">
            <w:pPr>
              <w:pStyle w:val="1space"/>
              <w:spacing w:before="20" w:after="20"/>
            </w:pPr>
            <w:r w:rsidRPr="003A0C5C">
              <w:t>California Department of Transportation</w:t>
            </w:r>
          </w:p>
        </w:tc>
      </w:tr>
      <w:tr w:rsidR="003A0C5C" w:rsidRPr="003A0C5C" w14:paraId="045E4FAE" w14:textId="77777777" w:rsidTr="00073188">
        <w:tc>
          <w:tcPr>
            <w:tcW w:w="3685" w:type="dxa"/>
          </w:tcPr>
          <w:p w14:paraId="304A9344" w14:textId="77777777" w:rsidR="00073188" w:rsidRPr="003A0C5C" w:rsidRDefault="00073188" w:rsidP="00DD5380">
            <w:pPr>
              <w:pStyle w:val="1space"/>
              <w:spacing w:before="20" w:after="20"/>
            </w:pPr>
            <w:r w:rsidRPr="003A0C5C">
              <w:t>CARB</w:t>
            </w:r>
          </w:p>
        </w:tc>
        <w:tc>
          <w:tcPr>
            <w:tcW w:w="4945" w:type="dxa"/>
          </w:tcPr>
          <w:p w14:paraId="38007391" w14:textId="77777777" w:rsidR="00073188" w:rsidRPr="003A0C5C" w:rsidRDefault="00073188" w:rsidP="00DD5380">
            <w:pPr>
              <w:pStyle w:val="1space"/>
              <w:spacing w:before="20" w:after="20"/>
            </w:pPr>
            <w:r w:rsidRPr="003A0C5C">
              <w:t>California Air Resources Board</w:t>
            </w:r>
          </w:p>
        </w:tc>
      </w:tr>
      <w:tr w:rsidR="003A0C5C" w:rsidRPr="003A0C5C" w14:paraId="3836A524" w14:textId="77777777" w:rsidTr="00073188">
        <w:tc>
          <w:tcPr>
            <w:tcW w:w="3685" w:type="dxa"/>
          </w:tcPr>
          <w:p w14:paraId="31237D0F" w14:textId="77777777" w:rsidR="00073188" w:rsidRPr="003A0C5C" w:rsidRDefault="00073188" w:rsidP="00DD5380">
            <w:pPr>
              <w:pStyle w:val="1space"/>
              <w:spacing w:before="20" w:after="20"/>
            </w:pPr>
            <w:r w:rsidRPr="003A0C5C">
              <w:t>CBC</w:t>
            </w:r>
          </w:p>
        </w:tc>
        <w:tc>
          <w:tcPr>
            <w:tcW w:w="4945" w:type="dxa"/>
          </w:tcPr>
          <w:p w14:paraId="398180CA" w14:textId="77777777" w:rsidR="00073188" w:rsidRPr="003A0C5C" w:rsidRDefault="00073188" w:rsidP="00DD5380">
            <w:pPr>
              <w:pStyle w:val="1space"/>
              <w:spacing w:before="20" w:after="20"/>
            </w:pPr>
            <w:r w:rsidRPr="003A0C5C">
              <w:t>California Building Code</w:t>
            </w:r>
          </w:p>
        </w:tc>
      </w:tr>
      <w:tr w:rsidR="003A0C5C" w:rsidRPr="003A0C5C" w14:paraId="082A9FBC" w14:textId="77777777" w:rsidTr="00073188">
        <w:tc>
          <w:tcPr>
            <w:tcW w:w="3685" w:type="dxa"/>
          </w:tcPr>
          <w:p w14:paraId="236A352A" w14:textId="77777777" w:rsidR="00073188" w:rsidRPr="003A0C5C" w:rsidRDefault="00073188" w:rsidP="00DD5380">
            <w:pPr>
              <w:pStyle w:val="1space"/>
              <w:spacing w:before="20" w:after="20"/>
            </w:pPr>
            <w:r w:rsidRPr="003A0C5C">
              <w:t>CDC</w:t>
            </w:r>
          </w:p>
        </w:tc>
        <w:tc>
          <w:tcPr>
            <w:tcW w:w="4945" w:type="dxa"/>
          </w:tcPr>
          <w:p w14:paraId="3C8652FE" w14:textId="77777777" w:rsidR="00073188" w:rsidRPr="003A0C5C" w:rsidRDefault="00073188" w:rsidP="00DD5380">
            <w:pPr>
              <w:pStyle w:val="1space"/>
              <w:spacing w:before="20" w:after="20"/>
            </w:pPr>
            <w:r w:rsidRPr="003A0C5C">
              <w:t>California Department of Conservation</w:t>
            </w:r>
          </w:p>
        </w:tc>
      </w:tr>
      <w:tr w:rsidR="003A0C5C" w:rsidRPr="003A0C5C" w14:paraId="2A8B3104" w14:textId="77777777" w:rsidTr="00073188">
        <w:tc>
          <w:tcPr>
            <w:tcW w:w="3685" w:type="dxa"/>
          </w:tcPr>
          <w:p w14:paraId="663EB162" w14:textId="77777777" w:rsidR="00073188" w:rsidRPr="003A0C5C" w:rsidRDefault="00073188" w:rsidP="00DD5380">
            <w:pPr>
              <w:pStyle w:val="1space"/>
              <w:spacing w:before="20" w:after="20"/>
            </w:pPr>
            <w:r w:rsidRPr="003A0C5C">
              <w:t>CDFW</w:t>
            </w:r>
          </w:p>
        </w:tc>
        <w:tc>
          <w:tcPr>
            <w:tcW w:w="4945" w:type="dxa"/>
          </w:tcPr>
          <w:p w14:paraId="0E27DE63" w14:textId="77777777" w:rsidR="00073188" w:rsidRPr="003A0C5C" w:rsidRDefault="00073188" w:rsidP="00DD5380">
            <w:pPr>
              <w:pStyle w:val="1space"/>
              <w:spacing w:before="20" w:after="20"/>
            </w:pPr>
            <w:r w:rsidRPr="003A0C5C">
              <w:t>California Department of Fish and Wildlife</w:t>
            </w:r>
          </w:p>
        </w:tc>
      </w:tr>
      <w:tr w:rsidR="003A0C5C" w:rsidRPr="003A0C5C" w14:paraId="135B0511" w14:textId="77777777" w:rsidTr="00073188">
        <w:tc>
          <w:tcPr>
            <w:tcW w:w="3685" w:type="dxa"/>
          </w:tcPr>
          <w:p w14:paraId="38E43102" w14:textId="77777777" w:rsidR="00073188" w:rsidRPr="003A0C5C" w:rsidRDefault="00073188" w:rsidP="00DD5380">
            <w:pPr>
              <w:pStyle w:val="1space"/>
              <w:spacing w:before="20" w:after="20"/>
            </w:pPr>
            <w:r w:rsidRPr="003A0C5C">
              <w:t>CEQA</w:t>
            </w:r>
          </w:p>
        </w:tc>
        <w:tc>
          <w:tcPr>
            <w:tcW w:w="4945" w:type="dxa"/>
          </w:tcPr>
          <w:p w14:paraId="2538E94D" w14:textId="77777777" w:rsidR="00073188" w:rsidRPr="003A0C5C" w:rsidRDefault="00073188" w:rsidP="00DD5380">
            <w:pPr>
              <w:pStyle w:val="1space"/>
              <w:spacing w:before="20" w:after="20"/>
            </w:pPr>
            <w:r w:rsidRPr="003A0C5C">
              <w:t>California Environmental Quality Act</w:t>
            </w:r>
          </w:p>
        </w:tc>
      </w:tr>
      <w:tr w:rsidR="003A0C5C" w:rsidRPr="003A0C5C" w14:paraId="345F3D86" w14:textId="77777777" w:rsidTr="00073188">
        <w:tc>
          <w:tcPr>
            <w:tcW w:w="3685" w:type="dxa"/>
          </w:tcPr>
          <w:p w14:paraId="25DE2BB4" w14:textId="77777777" w:rsidR="00073188" w:rsidRPr="003A0C5C" w:rsidRDefault="00073188" w:rsidP="00DD5380">
            <w:pPr>
              <w:pStyle w:val="1space"/>
              <w:spacing w:before="20" w:after="20"/>
            </w:pPr>
            <w:r w:rsidRPr="003A0C5C">
              <w:t>CFC</w:t>
            </w:r>
          </w:p>
        </w:tc>
        <w:tc>
          <w:tcPr>
            <w:tcW w:w="4945" w:type="dxa"/>
          </w:tcPr>
          <w:p w14:paraId="573F59A7" w14:textId="77777777" w:rsidR="00073188" w:rsidRPr="003A0C5C" w:rsidRDefault="00073188" w:rsidP="00DD5380">
            <w:pPr>
              <w:pStyle w:val="1space"/>
              <w:spacing w:before="20" w:after="20"/>
            </w:pPr>
            <w:r w:rsidRPr="003A0C5C">
              <w:t>California Fire Code</w:t>
            </w:r>
          </w:p>
        </w:tc>
      </w:tr>
      <w:tr w:rsidR="003A0C5C" w:rsidRPr="003A0C5C" w14:paraId="1F84AEEE" w14:textId="77777777" w:rsidTr="00073188">
        <w:tc>
          <w:tcPr>
            <w:tcW w:w="3685" w:type="dxa"/>
          </w:tcPr>
          <w:p w14:paraId="7AE6CB3F" w14:textId="5767C036" w:rsidR="00674A55" w:rsidRPr="003A0C5C" w:rsidRDefault="00674A55" w:rsidP="00DD5380">
            <w:pPr>
              <w:pStyle w:val="1space"/>
              <w:spacing w:before="20" w:after="20"/>
            </w:pPr>
            <w:proofErr w:type="spellStart"/>
            <w:r w:rsidRPr="003A0C5C">
              <w:t>cfs</w:t>
            </w:r>
            <w:proofErr w:type="spellEnd"/>
          </w:p>
        </w:tc>
        <w:tc>
          <w:tcPr>
            <w:tcW w:w="4945" w:type="dxa"/>
          </w:tcPr>
          <w:p w14:paraId="03103317" w14:textId="7C0543A6" w:rsidR="00674A55" w:rsidRPr="003A0C5C" w:rsidRDefault="00674A55" w:rsidP="00DD5380">
            <w:pPr>
              <w:pStyle w:val="1space"/>
              <w:spacing w:before="20" w:after="20"/>
            </w:pPr>
            <w:r w:rsidRPr="003A0C5C">
              <w:t>cubic feet per second</w:t>
            </w:r>
          </w:p>
        </w:tc>
      </w:tr>
      <w:tr w:rsidR="003A0C5C" w:rsidRPr="003A0C5C" w14:paraId="50E25CD6" w14:textId="77777777" w:rsidTr="00073188">
        <w:tc>
          <w:tcPr>
            <w:tcW w:w="3685" w:type="dxa"/>
          </w:tcPr>
          <w:p w14:paraId="44C82010" w14:textId="77777777" w:rsidR="00073188" w:rsidRPr="003A0C5C" w:rsidRDefault="00073188" w:rsidP="00DD5380">
            <w:pPr>
              <w:pStyle w:val="1space"/>
              <w:spacing w:before="20" w:after="20"/>
            </w:pPr>
            <w:r w:rsidRPr="003A0C5C">
              <w:t>CH</w:t>
            </w:r>
            <w:r w:rsidRPr="003A0C5C">
              <w:rPr>
                <w:vertAlign w:val="subscript"/>
              </w:rPr>
              <w:t>4</w:t>
            </w:r>
          </w:p>
        </w:tc>
        <w:tc>
          <w:tcPr>
            <w:tcW w:w="4945" w:type="dxa"/>
          </w:tcPr>
          <w:p w14:paraId="4C82CC3F" w14:textId="77777777" w:rsidR="00073188" w:rsidRPr="003A0C5C" w:rsidRDefault="00073188" w:rsidP="00DD5380">
            <w:pPr>
              <w:pStyle w:val="1space"/>
              <w:spacing w:before="20" w:after="20"/>
            </w:pPr>
            <w:r w:rsidRPr="003A0C5C">
              <w:t>methane</w:t>
            </w:r>
          </w:p>
        </w:tc>
      </w:tr>
      <w:tr w:rsidR="003A0C5C" w:rsidRPr="003A0C5C" w14:paraId="7ACF3277" w14:textId="77777777" w:rsidTr="00073188">
        <w:tc>
          <w:tcPr>
            <w:tcW w:w="3685" w:type="dxa"/>
          </w:tcPr>
          <w:p w14:paraId="17105051" w14:textId="77777777" w:rsidR="00073188" w:rsidRPr="003A0C5C" w:rsidRDefault="00073188" w:rsidP="00DD5380">
            <w:pPr>
              <w:pStyle w:val="1space"/>
              <w:spacing w:before="20" w:after="20"/>
            </w:pPr>
            <w:r w:rsidRPr="003A0C5C">
              <w:t>CIWMP</w:t>
            </w:r>
          </w:p>
        </w:tc>
        <w:tc>
          <w:tcPr>
            <w:tcW w:w="4945" w:type="dxa"/>
          </w:tcPr>
          <w:p w14:paraId="67E5ED58" w14:textId="77777777" w:rsidR="00073188" w:rsidRPr="003A0C5C" w:rsidRDefault="00073188" w:rsidP="00DD5380">
            <w:pPr>
              <w:pStyle w:val="1space"/>
              <w:spacing w:before="20" w:after="20"/>
            </w:pPr>
            <w:r w:rsidRPr="003A0C5C">
              <w:t>Countywide Integrated Waste Management Plan</w:t>
            </w:r>
          </w:p>
        </w:tc>
      </w:tr>
      <w:tr w:rsidR="003A0C5C" w:rsidRPr="003A0C5C" w14:paraId="2557FBF8" w14:textId="77777777" w:rsidTr="00073188">
        <w:tc>
          <w:tcPr>
            <w:tcW w:w="3685" w:type="dxa"/>
          </w:tcPr>
          <w:p w14:paraId="79CFF5D7" w14:textId="77777777" w:rsidR="00073188" w:rsidRPr="003A0C5C" w:rsidRDefault="00073188" w:rsidP="00DD5380">
            <w:pPr>
              <w:pStyle w:val="1space"/>
              <w:spacing w:before="20" w:after="20"/>
            </w:pPr>
            <w:r w:rsidRPr="003A0C5C">
              <w:t>CNDDB</w:t>
            </w:r>
          </w:p>
        </w:tc>
        <w:tc>
          <w:tcPr>
            <w:tcW w:w="4945" w:type="dxa"/>
          </w:tcPr>
          <w:p w14:paraId="3A1727A0" w14:textId="77777777" w:rsidR="00073188" w:rsidRPr="003A0C5C" w:rsidRDefault="00073188" w:rsidP="00DD5380">
            <w:pPr>
              <w:pStyle w:val="1space"/>
              <w:spacing w:before="20" w:after="20"/>
            </w:pPr>
            <w:r w:rsidRPr="003A0C5C">
              <w:t>California Natural Diversity Database</w:t>
            </w:r>
          </w:p>
        </w:tc>
      </w:tr>
      <w:tr w:rsidR="003A0C5C" w:rsidRPr="003A0C5C" w14:paraId="05BEA651" w14:textId="77777777" w:rsidTr="00073188">
        <w:tc>
          <w:tcPr>
            <w:tcW w:w="3685" w:type="dxa"/>
          </w:tcPr>
          <w:p w14:paraId="3B6A2093" w14:textId="77777777" w:rsidR="00073188" w:rsidRPr="003A0C5C" w:rsidRDefault="00073188" w:rsidP="00DD5380">
            <w:pPr>
              <w:pStyle w:val="1space"/>
              <w:spacing w:before="20" w:after="20"/>
            </w:pPr>
            <w:r w:rsidRPr="003A0C5C">
              <w:t>CNEL</w:t>
            </w:r>
          </w:p>
        </w:tc>
        <w:tc>
          <w:tcPr>
            <w:tcW w:w="4945" w:type="dxa"/>
          </w:tcPr>
          <w:p w14:paraId="71708C2E" w14:textId="77777777" w:rsidR="00073188" w:rsidRPr="003A0C5C" w:rsidRDefault="00073188" w:rsidP="00DD5380">
            <w:pPr>
              <w:pStyle w:val="1space"/>
              <w:spacing w:before="20" w:after="20"/>
            </w:pPr>
            <w:r w:rsidRPr="003A0C5C">
              <w:t>Community Noise Equivalent Level</w:t>
            </w:r>
          </w:p>
        </w:tc>
      </w:tr>
      <w:tr w:rsidR="003A0C5C" w:rsidRPr="003A0C5C" w14:paraId="5FA89856" w14:textId="77777777" w:rsidTr="00073188">
        <w:tc>
          <w:tcPr>
            <w:tcW w:w="3685" w:type="dxa"/>
          </w:tcPr>
          <w:p w14:paraId="7DFF3096" w14:textId="77777777" w:rsidR="00073188" w:rsidRPr="003A0C5C" w:rsidRDefault="00073188" w:rsidP="00DD5380">
            <w:pPr>
              <w:pStyle w:val="1space"/>
              <w:spacing w:before="20" w:after="20"/>
            </w:pPr>
            <w:r w:rsidRPr="003A0C5C">
              <w:t>CNPS</w:t>
            </w:r>
          </w:p>
        </w:tc>
        <w:tc>
          <w:tcPr>
            <w:tcW w:w="4945" w:type="dxa"/>
          </w:tcPr>
          <w:p w14:paraId="41F7EF6A" w14:textId="77777777" w:rsidR="00073188" w:rsidRPr="003A0C5C" w:rsidRDefault="00073188" w:rsidP="00DD5380">
            <w:pPr>
              <w:pStyle w:val="1space"/>
              <w:spacing w:before="20" w:after="20"/>
            </w:pPr>
            <w:r w:rsidRPr="003A0C5C">
              <w:t>California Native Plant Society</w:t>
            </w:r>
          </w:p>
        </w:tc>
      </w:tr>
      <w:tr w:rsidR="003A0C5C" w:rsidRPr="003A0C5C" w14:paraId="429628AC" w14:textId="77777777" w:rsidTr="00073188">
        <w:tc>
          <w:tcPr>
            <w:tcW w:w="3685" w:type="dxa"/>
          </w:tcPr>
          <w:p w14:paraId="61E90B7C" w14:textId="77777777" w:rsidR="00073188" w:rsidRPr="003A0C5C" w:rsidRDefault="00073188" w:rsidP="00DD5380">
            <w:pPr>
              <w:pStyle w:val="1space"/>
              <w:spacing w:before="20" w:after="20"/>
            </w:pPr>
            <w:r w:rsidRPr="003A0C5C">
              <w:t>CO</w:t>
            </w:r>
          </w:p>
        </w:tc>
        <w:tc>
          <w:tcPr>
            <w:tcW w:w="4945" w:type="dxa"/>
          </w:tcPr>
          <w:p w14:paraId="446A71A2" w14:textId="77777777" w:rsidR="00073188" w:rsidRPr="003A0C5C" w:rsidRDefault="00073188" w:rsidP="00DD5380">
            <w:pPr>
              <w:pStyle w:val="1space"/>
              <w:spacing w:before="20" w:after="20"/>
            </w:pPr>
            <w:r w:rsidRPr="003A0C5C">
              <w:t>carbon monoxide</w:t>
            </w:r>
          </w:p>
        </w:tc>
      </w:tr>
      <w:tr w:rsidR="003A0C5C" w:rsidRPr="003A0C5C" w14:paraId="0EB86A7A" w14:textId="77777777" w:rsidTr="00073188">
        <w:tc>
          <w:tcPr>
            <w:tcW w:w="3685" w:type="dxa"/>
          </w:tcPr>
          <w:p w14:paraId="15A319A4" w14:textId="77777777" w:rsidR="00073188" w:rsidRPr="003A0C5C" w:rsidRDefault="00073188" w:rsidP="00DD5380">
            <w:pPr>
              <w:pStyle w:val="1space"/>
              <w:spacing w:before="20" w:after="20"/>
            </w:pPr>
            <w:r w:rsidRPr="003A0C5C">
              <w:t>CO</w:t>
            </w:r>
            <w:r w:rsidRPr="003A0C5C">
              <w:rPr>
                <w:vertAlign w:val="subscript"/>
              </w:rPr>
              <w:t>2</w:t>
            </w:r>
          </w:p>
        </w:tc>
        <w:tc>
          <w:tcPr>
            <w:tcW w:w="4945" w:type="dxa"/>
          </w:tcPr>
          <w:p w14:paraId="2D1B632C" w14:textId="77777777" w:rsidR="00073188" w:rsidRPr="003A0C5C" w:rsidRDefault="00073188" w:rsidP="00DD5380">
            <w:pPr>
              <w:pStyle w:val="1space"/>
              <w:spacing w:before="20" w:after="20"/>
            </w:pPr>
            <w:r w:rsidRPr="003A0C5C">
              <w:t>carbon dioxide</w:t>
            </w:r>
          </w:p>
        </w:tc>
      </w:tr>
      <w:tr w:rsidR="003A0C5C" w:rsidRPr="003A0C5C" w14:paraId="4424042F" w14:textId="77777777" w:rsidTr="00073188">
        <w:tc>
          <w:tcPr>
            <w:tcW w:w="3685" w:type="dxa"/>
          </w:tcPr>
          <w:p w14:paraId="53D9757A" w14:textId="77777777" w:rsidR="00073188" w:rsidRPr="003A0C5C" w:rsidRDefault="00073188" w:rsidP="00DD5380">
            <w:pPr>
              <w:pStyle w:val="1space"/>
              <w:spacing w:before="20" w:after="20"/>
            </w:pPr>
            <w:r w:rsidRPr="003A0C5C">
              <w:t>CO</w:t>
            </w:r>
            <w:r w:rsidRPr="003A0C5C">
              <w:rPr>
                <w:vertAlign w:val="subscript"/>
              </w:rPr>
              <w:t>2</w:t>
            </w:r>
            <w:r w:rsidRPr="003A0C5C">
              <w:t>e</w:t>
            </w:r>
          </w:p>
        </w:tc>
        <w:tc>
          <w:tcPr>
            <w:tcW w:w="4945" w:type="dxa"/>
          </w:tcPr>
          <w:p w14:paraId="587CBB23" w14:textId="77777777" w:rsidR="00073188" w:rsidRPr="003A0C5C" w:rsidRDefault="00073188" w:rsidP="00DD5380">
            <w:pPr>
              <w:pStyle w:val="1space"/>
              <w:spacing w:before="20" w:after="20"/>
            </w:pPr>
            <w:r w:rsidRPr="003A0C5C">
              <w:t>CO</w:t>
            </w:r>
            <w:r w:rsidRPr="003A0C5C">
              <w:rPr>
                <w:vertAlign w:val="subscript"/>
              </w:rPr>
              <w:t>2</w:t>
            </w:r>
            <w:r w:rsidRPr="003A0C5C">
              <w:t xml:space="preserve"> equivalents</w:t>
            </w:r>
          </w:p>
        </w:tc>
      </w:tr>
      <w:tr w:rsidR="003A0C5C" w:rsidRPr="003A0C5C" w14:paraId="1E683840" w14:textId="77777777" w:rsidTr="00073188">
        <w:tc>
          <w:tcPr>
            <w:tcW w:w="3685" w:type="dxa"/>
          </w:tcPr>
          <w:p w14:paraId="34C14A14" w14:textId="77777777" w:rsidR="00073188" w:rsidRPr="003A0C5C" w:rsidRDefault="00073188" w:rsidP="00DD5380">
            <w:pPr>
              <w:pStyle w:val="1space"/>
              <w:spacing w:before="20" w:after="20"/>
            </w:pPr>
            <w:r w:rsidRPr="003A0C5C">
              <w:t>CPA</w:t>
            </w:r>
          </w:p>
        </w:tc>
        <w:tc>
          <w:tcPr>
            <w:tcW w:w="4945" w:type="dxa"/>
          </w:tcPr>
          <w:p w14:paraId="7643B448" w14:textId="77777777" w:rsidR="00073188" w:rsidRPr="003A0C5C" w:rsidRDefault="00073188" w:rsidP="00DD5380">
            <w:pPr>
              <w:pStyle w:val="1space"/>
              <w:spacing w:before="20" w:after="20"/>
            </w:pPr>
            <w:r w:rsidRPr="003A0C5C">
              <w:t>Clean Power Alliance</w:t>
            </w:r>
          </w:p>
        </w:tc>
      </w:tr>
      <w:tr w:rsidR="003A0C5C" w:rsidRPr="003A0C5C" w14:paraId="79E1C80D" w14:textId="77777777" w:rsidTr="00073188">
        <w:tc>
          <w:tcPr>
            <w:tcW w:w="3685" w:type="dxa"/>
          </w:tcPr>
          <w:p w14:paraId="1F42C01A" w14:textId="77777777" w:rsidR="00073188" w:rsidRPr="003A0C5C" w:rsidRDefault="00073188" w:rsidP="00DD5380">
            <w:pPr>
              <w:pStyle w:val="1space"/>
              <w:spacing w:before="20" w:after="20"/>
            </w:pPr>
            <w:r w:rsidRPr="003A0C5C">
              <w:t>dB</w:t>
            </w:r>
          </w:p>
        </w:tc>
        <w:tc>
          <w:tcPr>
            <w:tcW w:w="4945" w:type="dxa"/>
          </w:tcPr>
          <w:p w14:paraId="5ED0588B" w14:textId="77777777" w:rsidR="00073188" w:rsidRPr="003A0C5C" w:rsidRDefault="00073188" w:rsidP="00DD5380">
            <w:pPr>
              <w:pStyle w:val="1space"/>
              <w:spacing w:before="20" w:after="20"/>
            </w:pPr>
            <w:r w:rsidRPr="003A0C5C">
              <w:t>decibels</w:t>
            </w:r>
          </w:p>
        </w:tc>
      </w:tr>
      <w:tr w:rsidR="003A0C5C" w:rsidRPr="003A0C5C" w14:paraId="6E8FA686" w14:textId="77777777" w:rsidTr="00073188">
        <w:tc>
          <w:tcPr>
            <w:tcW w:w="3685" w:type="dxa"/>
          </w:tcPr>
          <w:p w14:paraId="65C488B7" w14:textId="77777777" w:rsidR="00073188" w:rsidRPr="003A0C5C" w:rsidRDefault="00073188" w:rsidP="00DD5380">
            <w:pPr>
              <w:pStyle w:val="1space"/>
              <w:spacing w:before="20" w:after="20"/>
            </w:pPr>
            <w:r w:rsidRPr="003A0C5C">
              <w:t>dBA</w:t>
            </w:r>
          </w:p>
        </w:tc>
        <w:tc>
          <w:tcPr>
            <w:tcW w:w="4945" w:type="dxa"/>
          </w:tcPr>
          <w:p w14:paraId="3FBDC732" w14:textId="77777777" w:rsidR="00073188" w:rsidRPr="003A0C5C" w:rsidRDefault="00073188" w:rsidP="00DD5380">
            <w:pPr>
              <w:pStyle w:val="1space"/>
              <w:spacing w:before="20" w:after="20"/>
            </w:pPr>
            <w:r w:rsidRPr="003A0C5C">
              <w:t>A-weighted decibels</w:t>
            </w:r>
          </w:p>
        </w:tc>
      </w:tr>
      <w:tr w:rsidR="003A0C5C" w:rsidRPr="003A0C5C" w14:paraId="372CCC05" w14:textId="77777777" w:rsidTr="00073188">
        <w:tc>
          <w:tcPr>
            <w:tcW w:w="3685" w:type="dxa"/>
          </w:tcPr>
          <w:p w14:paraId="17F448F6" w14:textId="77777777" w:rsidR="00073188" w:rsidRPr="003A0C5C" w:rsidRDefault="00073188" w:rsidP="00DD5380">
            <w:pPr>
              <w:pStyle w:val="1space"/>
              <w:spacing w:before="20" w:after="20"/>
            </w:pPr>
            <w:r w:rsidRPr="003A0C5C">
              <w:t>DPM</w:t>
            </w:r>
          </w:p>
        </w:tc>
        <w:tc>
          <w:tcPr>
            <w:tcW w:w="4945" w:type="dxa"/>
          </w:tcPr>
          <w:p w14:paraId="119FB699" w14:textId="77777777" w:rsidR="00073188" w:rsidRPr="003A0C5C" w:rsidRDefault="00073188" w:rsidP="00DD5380">
            <w:pPr>
              <w:pStyle w:val="1space"/>
              <w:spacing w:before="20" w:after="20"/>
            </w:pPr>
            <w:r w:rsidRPr="003A0C5C">
              <w:t>diesel particulate matter</w:t>
            </w:r>
          </w:p>
        </w:tc>
      </w:tr>
      <w:tr w:rsidR="003A0C5C" w:rsidRPr="003A0C5C" w14:paraId="473FE1F9" w14:textId="77777777" w:rsidTr="00073188">
        <w:tc>
          <w:tcPr>
            <w:tcW w:w="3685" w:type="dxa"/>
          </w:tcPr>
          <w:p w14:paraId="4C9BBDBF" w14:textId="77777777" w:rsidR="00073188" w:rsidRPr="003A0C5C" w:rsidRDefault="00073188" w:rsidP="00DD5380">
            <w:pPr>
              <w:pStyle w:val="1space"/>
              <w:spacing w:before="20" w:after="20"/>
            </w:pPr>
            <w:r w:rsidRPr="003A0C5C">
              <w:t>DTSC</w:t>
            </w:r>
          </w:p>
        </w:tc>
        <w:tc>
          <w:tcPr>
            <w:tcW w:w="4945" w:type="dxa"/>
          </w:tcPr>
          <w:p w14:paraId="0DCB31BD" w14:textId="77777777" w:rsidR="00073188" w:rsidRPr="003A0C5C" w:rsidRDefault="00073188" w:rsidP="00DD5380">
            <w:pPr>
              <w:pStyle w:val="1space"/>
              <w:spacing w:before="20" w:after="20"/>
            </w:pPr>
            <w:r w:rsidRPr="003A0C5C">
              <w:t>California Department of Toxic Substances Control</w:t>
            </w:r>
          </w:p>
        </w:tc>
      </w:tr>
      <w:tr w:rsidR="003A0C5C" w:rsidRPr="003A0C5C" w14:paraId="4E3EBB82" w14:textId="77777777" w:rsidTr="00073188">
        <w:tc>
          <w:tcPr>
            <w:tcW w:w="3685" w:type="dxa"/>
          </w:tcPr>
          <w:p w14:paraId="78CCDDC7" w14:textId="77777777" w:rsidR="00073188" w:rsidRPr="003A0C5C" w:rsidRDefault="00073188" w:rsidP="00DD5380">
            <w:pPr>
              <w:pStyle w:val="1space"/>
              <w:spacing w:before="20" w:after="20"/>
            </w:pPr>
            <w:r w:rsidRPr="003A0C5C">
              <w:lastRenderedPageBreak/>
              <w:t>EECAP</w:t>
            </w:r>
          </w:p>
        </w:tc>
        <w:tc>
          <w:tcPr>
            <w:tcW w:w="4945" w:type="dxa"/>
          </w:tcPr>
          <w:p w14:paraId="666510B4" w14:textId="77777777" w:rsidR="00073188" w:rsidRPr="003A0C5C" w:rsidRDefault="00073188" w:rsidP="00DD5380">
            <w:pPr>
              <w:pStyle w:val="1space"/>
              <w:spacing w:before="20" w:after="20"/>
            </w:pPr>
            <w:r w:rsidRPr="003A0C5C">
              <w:t>Energy Efficiency Climate Action Plan</w:t>
            </w:r>
          </w:p>
        </w:tc>
      </w:tr>
      <w:tr w:rsidR="003A0C5C" w:rsidRPr="003A0C5C" w14:paraId="47230573" w14:textId="77777777" w:rsidTr="00073188">
        <w:tc>
          <w:tcPr>
            <w:tcW w:w="3685" w:type="dxa"/>
          </w:tcPr>
          <w:p w14:paraId="57AC3634" w14:textId="77777777" w:rsidR="00073188" w:rsidRPr="003A0C5C" w:rsidRDefault="00073188" w:rsidP="00DD5380">
            <w:pPr>
              <w:pStyle w:val="1space"/>
              <w:spacing w:before="20" w:after="20"/>
            </w:pPr>
            <w:r w:rsidRPr="003A0C5C">
              <w:t>EMFAC</w:t>
            </w:r>
          </w:p>
        </w:tc>
        <w:tc>
          <w:tcPr>
            <w:tcW w:w="4945" w:type="dxa"/>
          </w:tcPr>
          <w:p w14:paraId="04A849C7" w14:textId="77777777" w:rsidR="00073188" w:rsidRPr="003A0C5C" w:rsidRDefault="00073188" w:rsidP="00DD5380">
            <w:pPr>
              <w:pStyle w:val="1space"/>
              <w:spacing w:before="20" w:after="20"/>
            </w:pPr>
            <w:r w:rsidRPr="003A0C5C">
              <w:t>CARB on-road vehicle emissions factor</w:t>
            </w:r>
          </w:p>
        </w:tc>
      </w:tr>
      <w:tr w:rsidR="003A0C5C" w:rsidRPr="003A0C5C" w14:paraId="4C7B1B0D" w14:textId="77777777" w:rsidTr="00073188">
        <w:tc>
          <w:tcPr>
            <w:tcW w:w="3685" w:type="dxa"/>
          </w:tcPr>
          <w:p w14:paraId="2594E26C" w14:textId="77777777" w:rsidR="00073188" w:rsidRPr="003A0C5C" w:rsidRDefault="00073188" w:rsidP="00DD5380">
            <w:pPr>
              <w:pStyle w:val="1space"/>
              <w:spacing w:before="20" w:after="20"/>
            </w:pPr>
            <w:r w:rsidRPr="003A0C5C">
              <w:t>EPA</w:t>
            </w:r>
          </w:p>
        </w:tc>
        <w:tc>
          <w:tcPr>
            <w:tcW w:w="4945" w:type="dxa"/>
          </w:tcPr>
          <w:p w14:paraId="5BBF1450" w14:textId="77777777" w:rsidR="00073188" w:rsidRPr="003A0C5C" w:rsidRDefault="00073188" w:rsidP="00DD5380">
            <w:pPr>
              <w:pStyle w:val="1space"/>
              <w:spacing w:before="20" w:after="20"/>
            </w:pPr>
            <w:r w:rsidRPr="003A0C5C">
              <w:t>Environmental Protection Agency</w:t>
            </w:r>
          </w:p>
        </w:tc>
      </w:tr>
      <w:tr w:rsidR="003A0C5C" w:rsidRPr="003A0C5C" w14:paraId="0896DA85" w14:textId="77777777" w:rsidTr="00073188">
        <w:tc>
          <w:tcPr>
            <w:tcW w:w="3685" w:type="dxa"/>
          </w:tcPr>
          <w:p w14:paraId="29C9A155" w14:textId="77777777" w:rsidR="00073188" w:rsidRPr="003A0C5C" w:rsidRDefault="00073188" w:rsidP="00DD5380">
            <w:pPr>
              <w:pStyle w:val="1space"/>
              <w:spacing w:before="20" w:after="20"/>
            </w:pPr>
            <w:r w:rsidRPr="003A0C5C">
              <w:t>ESA</w:t>
            </w:r>
          </w:p>
        </w:tc>
        <w:tc>
          <w:tcPr>
            <w:tcW w:w="4945" w:type="dxa"/>
          </w:tcPr>
          <w:p w14:paraId="373F0B07" w14:textId="77777777" w:rsidR="00073188" w:rsidRPr="003A0C5C" w:rsidRDefault="00073188" w:rsidP="00DD5380">
            <w:pPr>
              <w:pStyle w:val="1space"/>
              <w:spacing w:before="20" w:after="20"/>
            </w:pPr>
            <w:r w:rsidRPr="003A0C5C">
              <w:t>Environmental Science Associates</w:t>
            </w:r>
          </w:p>
        </w:tc>
      </w:tr>
      <w:tr w:rsidR="003A0C5C" w:rsidRPr="003A0C5C" w14:paraId="2DE0D91D" w14:textId="77777777" w:rsidTr="00073188">
        <w:tc>
          <w:tcPr>
            <w:tcW w:w="3685" w:type="dxa"/>
          </w:tcPr>
          <w:p w14:paraId="1E49E507" w14:textId="77777777" w:rsidR="00073188" w:rsidRPr="003A0C5C" w:rsidRDefault="00073188" w:rsidP="00DD5380">
            <w:pPr>
              <w:pStyle w:val="1space"/>
              <w:spacing w:before="20" w:after="20"/>
            </w:pPr>
            <w:r w:rsidRPr="003A0C5C">
              <w:t>ET</w:t>
            </w:r>
          </w:p>
        </w:tc>
        <w:tc>
          <w:tcPr>
            <w:tcW w:w="4945" w:type="dxa"/>
          </w:tcPr>
          <w:p w14:paraId="13E406AD" w14:textId="77777777" w:rsidR="00073188" w:rsidRPr="003A0C5C" w:rsidRDefault="00073188" w:rsidP="00DD5380">
            <w:pPr>
              <w:pStyle w:val="1space"/>
              <w:spacing w:before="20" w:after="20"/>
            </w:pPr>
            <w:r w:rsidRPr="003A0C5C">
              <w:t>evapotranspiration</w:t>
            </w:r>
          </w:p>
        </w:tc>
      </w:tr>
      <w:tr w:rsidR="003A0C5C" w:rsidRPr="003A0C5C" w14:paraId="2A18386C" w14:textId="77777777" w:rsidTr="00073188">
        <w:tc>
          <w:tcPr>
            <w:tcW w:w="3685" w:type="dxa"/>
          </w:tcPr>
          <w:p w14:paraId="25F60534" w14:textId="77777777" w:rsidR="00073188" w:rsidRPr="003A0C5C" w:rsidRDefault="00073188" w:rsidP="00DD5380">
            <w:pPr>
              <w:pStyle w:val="1space"/>
              <w:spacing w:before="20" w:after="20"/>
            </w:pPr>
            <w:r w:rsidRPr="003A0C5C">
              <w:t>FAR</w:t>
            </w:r>
          </w:p>
        </w:tc>
        <w:tc>
          <w:tcPr>
            <w:tcW w:w="4945" w:type="dxa"/>
          </w:tcPr>
          <w:p w14:paraId="6A32634C" w14:textId="77777777" w:rsidR="00073188" w:rsidRPr="003A0C5C" w:rsidRDefault="00073188" w:rsidP="00DD5380">
            <w:pPr>
              <w:pStyle w:val="1space"/>
              <w:spacing w:before="20" w:after="20"/>
            </w:pPr>
            <w:r w:rsidRPr="003A0C5C">
              <w:t>Floor Area Ratio</w:t>
            </w:r>
          </w:p>
        </w:tc>
      </w:tr>
      <w:tr w:rsidR="003A0C5C" w:rsidRPr="003A0C5C" w14:paraId="5F35B4BE" w14:textId="77777777" w:rsidTr="00073188">
        <w:tc>
          <w:tcPr>
            <w:tcW w:w="3685" w:type="dxa"/>
          </w:tcPr>
          <w:p w14:paraId="7E394A97" w14:textId="77777777" w:rsidR="00073188" w:rsidRPr="003A0C5C" w:rsidRDefault="00073188" w:rsidP="00DD5380">
            <w:pPr>
              <w:pStyle w:val="1space"/>
              <w:spacing w:before="20" w:after="20"/>
            </w:pPr>
            <w:r w:rsidRPr="003A0C5C">
              <w:t>FTA</w:t>
            </w:r>
          </w:p>
        </w:tc>
        <w:tc>
          <w:tcPr>
            <w:tcW w:w="4945" w:type="dxa"/>
          </w:tcPr>
          <w:p w14:paraId="76EF8E5E" w14:textId="77777777" w:rsidR="00073188" w:rsidRPr="003A0C5C" w:rsidRDefault="00073188" w:rsidP="00DD5380">
            <w:pPr>
              <w:pStyle w:val="1space"/>
              <w:spacing w:before="20" w:after="20"/>
            </w:pPr>
            <w:r w:rsidRPr="003A0C5C">
              <w:t>Federal Transit Administration</w:t>
            </w:r>
          </w:p>
        </w:tc>
      </w:tr>
      <w:tr w:rsidR="003A0C5C" w:rsidRPr="003A0C5C" w14:paraId="46B769F5" w14:textId="77777777" w:rsidTr="00073188">
        <w:tc>
          <w:tcPr>
            <w:tcW w:w="3685" w:type="dxa"/>
          </w:tcPr>
          <w:p w14:paraId="2A63BBF6" w14:textId="77777777" w:rsidR="00073188" w:rsidRPr="003A0C5C" w:rsidRDefault="00073188" w:rsidP="00DD5380">
            <w:pPr>
              <w:pStyle w:val="1space"/>
              <w:spacing w:before="20" w:after="20"/>
            </w:pPr>
            <w:r w:rsidRPr="003A0C5C">
              <w:t>GHG</w:t>
            </w:r>
          </w:p>
        </w:tc>
        <w:tc>
          <w:tcPr>
            <w:tcW w:w="4945" w:type="dxa"/>
          </w:tcPr>
          <w:p w14:paraId="4F2E852A" w14:textId="77777777" w:rsidR="00073188" w:rsidRPr="003A0C5C" w:rsidRDefault="00073188" w:rsidP="00DD5380">
            <w:pPr>
              <w:pStyle w:val="1space"/>
              <w:spacing w:before="20" w:after="20"/>
            </w:pPr>
            <w:r w:rsidRPr="003A0C5C">
              <w:t>greenhouse gas</w:t>
            </w:r>
          </w:p>
        </w:tc>
      </w:tr>
      <w:tr w:rsidR="003A0C5C" w:rsidRPr="003A0C5C" w14:paraId="7856513D" w14:textId="77777777" w:rsidTr="00073188">
        <w:tc>
          <w:tcPr>
            <w:tcW w:w="3685" w:type="dxa"/>
          </w:tcPr>
          <w:p w14:paraId="0568C3B5" w14:textId="77777777" w:rsidR="00073188" w:rsidRPr="003A0C5C" w:rsidRDefault="00073188" w:rsidP="00DD5380">
            <w:pPr>
              <w:pStyle w:val="1space"/>
              <w:spacing w:before="20" w:after="20"/>
            </w:pPr>
            <w:r w:rsidRPr="003A0C5C">
              <w:t>GPD</w:t>
            </w:r>
          </w:p>
        </w:tc>
        <w:tc>
          <w:tcPr>
            <w:tcW w:w="4945" w:type="dxa"/>
          </w:tcPr>
          <w:p w14:paraId="1F28B938" w14:textId="77777777" w:rsidR="00073188" w:rsidRPr="003A0C5C" w:rsidRDefault="00073188" w:rsidP="00DD5380">
            <w:pPr>
              <w:pStyle w:val="1space"/>
              <w:spacing w:before="20" w:after="20"/>
            </w:pPr>
            <w:r w:rsidRPr="003A0C5C">
              <w:t>gallons per day</w:t>
            </w:r>
          </w:p>
        </w:tc>
      </w:tr>
      <w:tr w:rsidR="003A0C5C" w:rsidRPr="003A0C5C" w14:paraId="0790278A" w14:textId="77777777" w:rsidTr="00073188">
        <w:tc>
          <w:tcPr>
            <w:tcW w:w="3685" w:type="dxa"/>
          </w:tcPr>
          <w:p w14:paraId="22777E55" w14:textId="77777777" w:rsidR="00073188" w:rsidRPr="003A0C5C" w:rsidRDefault="00073188" w:rsidP="00DD5380">
            <w:pPr>
              <w:pStyle w:val="1space"/>
              <w:spacing w:before="20" w:after="20"/>
            </w:pPr>
            <w:r w:rsidRPr="003A0C5C">
              <w:t>GWh</w:t>
            </w:r>
          </w:p>
        </w:tc>
        <w:tc>
          <w:tcPr>
            <w:tcW w:w="4945" w:type="dxa"/>
          </w:tcPr>
          <w:p w14:paraId="5D364F61" w14:textId="77777777" w:rsidR="00073188" w:rsidRPr="003A0C5C" w:rsidRDefault="00073188" w:rsidP="00DD5380">
            <w:pPr>
              <w:pStyle w:val="1space"/>
              <w:spacing w:before="20" w:after="20"/>
            </w:pPr>
            <w:r w:rsidRPr="003A0C5C">
              <w:t>gigawatt-hours</w:t>
            </w:r>
          </w:p>
        </w:tc>
      </w:tr>
      <w:tr w:rsidR="003A0C5C" w:rsidRPr="003A0C5C" w14:paraId="302E493D" w14:textId="77777777" w:rsidTr="00073188">
        <w:tc>
          <w:tcPr>
            <w:tcW w:w="3685" w:type="dxa"/>
          </w:tcPr>
          <w:p w14:paraId="404990CE" w14:textId="77777777" w:rsidR="00073188" w:rsidRPr="003A0C5C" w:rsidRDefault="00073188" w:rsidP="00DD5380">
            <w:pPr>
              <w:pStyle w:val="1space"/>
              <w:spacing w:before="20" w:after="20"/>
            </w:pPr>
            <w:r w:rsidRPr="003A0C5C">
              <w:t>GWP</w:t>
            </w:r>
          </w:p>
        </w:tc>
        <w:tc>
          <w:tcPr>
            <w:tcW w:w="4945" w:type="dxa"/>
          </w:tcPr>
          <w:p w14:paraId="6145071A" w14:textId="77777777" w:rsidR="00073188" w:rsidRPr="003A0C5C" w:rsidRDefault="00073188" w:rsidP="00DD5380">
            <w:pPr>
              <w:pStyle w:val="1space"/>
              <w:spacing w:before="20" w:after="20"/>
            </w:pPr>
            <w:r w:rsidRPr="003A0C5C">
              <w:t>global warming potential</w:t>
            </w:r>
          </w:p>
        </w:tc>
      </w:tr>
      <w:tr w:rsidR="003A0C5C" w:rsidRPr="003A0C5C" w14:paraId="691C5443" w14:textId="77777777" w:rsidTr="00073188">
        <w:tc>
          <w:tcPr>
            <w:tcW w:w="3685" w:type="dxa"/>
          </w:tcPr>
          <w:p w14:paraId="7ABC6600" w14:textId="77777777" w:rsidR="00073188" w:rsidRPr="003A0C5C" w:rsidRDefault="00073188" w:rsidP="00DD5380">
            <w:pPr>
              <w:pStyle w:val="1space"/>
              <w:spacing w:before="20" w:after="20"/>
            </w:pPr>
            <w:r w:rsidRPr="003A0C5C">
              <w:t>HAP</w:t>
            </w:r>
          </w:p>
        </w:tc>
        <w:tc>
          <w:tcPr>
            <w:tcW w:w="4945" w:type="dxa"/>
          </w:tcPr>
          <w:p w14:paraId="28A1FAB9" w14:textId="77777777" w:rsidR="00073188" w:rsidRPr="003A0C5C" w:rsidRDefault="00073188" w:rsidP="00DD5380">
            <w:pPr>
              <w:pStyle w:val="1space"/>
              <w:spacing w:before="20" w:after="20"/>
            </w:pPr>
            <w:r w:rsidRPr="003A0C5C">
              <w:t>hazardous air pollutant</w:t>
            </w:r>
          </w:p>
        </w:tc>
      </w:tr>
      <w:tr w:rsidR="003A0C5C" w:rsidRPr="003A0C5C" w14:paraId="08CA677E" w14:textId="77777777" w:rsidTr="00073188">
        <w:tc>
          <w:tcPr>
            <w:tcW w:w="3685" w:type="dxa"/>
          </w:tcPr>
          <w:p w14:paraId="7ED96BFF" w14:textId="77777777" w:rsidR="00073188" w:rsidRPr="003A0C5C" w:rsidRDefault="00073188" w:rsidP="00DD5380">
            <w:pPr>
              <w:pStyle w:val="1space"/>
              <w:spacing w:before="20" w:after="20"/>
            </w:pPr>
            <w:r w:rsidRPr="003A0C5C">
              <w:t>HFC</w:t>
            </w:r>
          </w:p>
        </w:tc>
        <w:tc>
          <w:tcPr>
            <w:tcW w:w="4945" w:type="dxa"/>
          </w:tcPr>
          <w:p w14:paraId="761117C9" w14:textId="77777777" w:rsidR="00073188" w:rsidRPr="003A0C5C" w:rsidRDefault="00073188" w:rsidP="00DD5380">
            <w:pPr>
              <w:pStyle w:val="1space"/>
              <w:spacing w:before="20" w:after="20"/>
            </w:pPr>
            <w:r w:rsidRPr="003A0C5C">
              <w:t>hydrofluorocarbon</w:t>
            </w:r>
          </w:p>
        </w:tc>
      </w:tr>
      <w:tr w:rsidR="003A0C5C" w:rsidRPr="003A0C5C" w14:paraId="50593DE9" w14:textId="77777777" w:rsidTr="00073188">
        <w:tc>
          <w:tcPr>
            <w:tcW w:w="3685" w:type="dxa"/>
          </w:tcPr>
          <w:p w14:paraId="57F10EC9" w14:textId="77777777" w:rsidR="00073188" w:rsidRPr="003A0C5C" w:rsidRDefault="00073188" w:rsidP="00DD5380">
            <w:pPr>
              <w:pStyle w:val="1space"/>
              <w:spacing w:before="20" w:after="20"/>
            </w:pPr>
            <w:r w:rsidRPr="003A0C5C">
              <w:t>HHD</w:t>
            </w:r>
          </w:p>
        </w:tc>
        <w:tc>
          <w:tcPr>
            <w:tcW w:w="4945" w:type="dxa"/>
          </w:tcPr>
          <w:p w14:paraId="55D10FD5" w14:textId="77777777" w:rsidR="00073188" w:rsidRPr="003A0C5C" w:rsidRDefault="00073188" w:rsidP="00DD5380">
            <w:pPr>
              <w:pStyle w:val="1space"/>
              <w:spacing w:before="20" w:after="20"/>
            </w:pPr>
            <w:r w:rsidRPr="003A0C5C">
              <w:t>heavy-heavy-duty</w:t>
            </w:r>
          </w:p>
        </w:tc>
      </w:tr>
      <w:tr w:rsidR="003A0C5C" w:rsidRPr="003A0C5C" w14:paraId="0CA6E41C" w14:textId="77777777" w:rsidTr="00073188">
        <w:tc>
          <w:tcPr>
            <w:tcW w:w="3685" w:type="dxa"/>
          </w:tcPr>
          <w:p w14:paraId="0AA90431" w14:textId="77777777" w:rsidR="00073188" w:rsidRPr="003A0C5C" w:rsidRDefault="00073188" w:rsidP="00DD5380">
            <w:pPr>
              <w:pStyle w:val="1space"/>
              <w:spacing w:before="20" w:after="20"/>
            </w:pPr>
            <w:r w:rsidRPr="003A0C5C">
              <w:t>HVAC</w:t>
            </w:r>
          </w:p>
        </w:tc>
        <w:tc>
          <w:tcPr>
            <w:tcW w:w="4945" w:type="dxa"/>
          </w:tcPr>
          <w:p w14:paraId="11127889" w14:textId="77777777" w:rsidR="00073188" w:rsidRPr="003A0C5C" w:rsidRDefault="00073188" w:rsidP="00DD5380">
            <w:pPr>
              <w:pStyle w:val="1space"/>
              <w:spacing w:before="20" w:after="20"/>
            </w:pPr>
            <w:r w:rsidRPr="003A0C5C">
              <w:t>heating, ventilation, and air conditioning</w:t>
            </w:r>
          </w:p>
        </w:tc>
      </w:tr>
      <w:tr w:rsidR="003A0C5C" w:rsidRPr="003A0C5C" w14:paraId="6178119A" w14:textId="77777777" w:rsidTr="00073188">
        <w:tc>
          <w:tcPr>
            <w:tcW w:w="3685" w:type="dxa"/>
          </w:tcPr>
          <w:p w14:paraId="7989AC75" w14:textId="77777777" w:rsidR="00073188" w:rsidRPr="003A0C5C" w:rsidRDefault="00073188" w:rsidP="00DD5380">
            <w:pPr>
              <w:pStyle w:val="1space"/>
              <w:spacing w:before="20" w:after="20"/>
            </w:pPr>
            <w:r w:rsidRPr="003A0C5C">
              <w:t>IPCC</w:t>
            </w:r>
          </w:p>
        </w:tc>
        <w:tc>
          <w:tcPr>
            <w:tcW w:w="4945" w:type="dxa"/>
          </w:tcPr>
          <w:p w14:paraId="31A9FDBD" w14:textId="77777777" w:rsidR="00073188" w:rsidRPr="003A0C5C" w:rsidRDefault="00073188" w:rsidP="00DD5380">
            <w:pPr>
              <w:pStyle w:val="1space"/>
              <w:spacing w:before="20" w:after="20"/>
            </w:pPr>
            <w:r w:rsidRPr="003A0C5C">
              <w:t>Intergovernmental Panel on Climate Change</w:t>
            </w:r>
          </w:p>
        </w:tc>
      </w:tr>
      <w:tr w:rsidR="003A0C5C" w:rsidRPr="003A0C5C" w14:paraId="1B515C8F" w14:textId="77777777" w:rsidTr="00073188">
        <w:tc>
          <w:tcPr>
            <w:tcW w:w="3685" w:type="dxa"/>
          </w:tcPr>
          <w:p w14:paraId="564827E5" w14:textId="77777777" w:rsidR="00073188" w:rsidRPr="003A0C5C" w:rsidRDefault="00073188" w:rsidP="00DD5380">
            <w:pPr>
              <w:pStyle w:val="1space"/>
              <w:spacing w:before="20" w:after="20"/>
            </w:pPr>
            <w:r w:rsidRPr="003A0C5C">
              <w:t>IS</w:t>
            </w:r>
          </w:p>
        </w:tc>
        <w:tc>
          <w:tcPr>
            <w:tcW w:w="4945" w:type="dxa"/>
          </w:tcPr>
          <w:p w14:paraId="292F6C10" w14:textId="77777777" w:rsidR="00073188" w:rsidRPr="003A0C5C" w:rsidRDefault="00073188" w:rsidP="00DD5380">
            <w:pPr>
              <w:pStyle w:val="1space"/>
              <w:spacing w:before="20" w:after="20"/>
            </w:pPr>
            <w:r w:rsidRPr="003A0C5C">
              <w:t>Initial Study</w:t>
            </w:r>
          </w:p>
        </w:tc>
      </w:tr>
      <w:tr w:rsidR="003A0C5C" w:rsidRPr="003A0C5C" w14:paraId="6D4E19B6" w14:textId="77777777" w:rsidTr="00073188">
        <w:tc>
          <w:tcPr>
            <w:tcW w:w="3685" w:type="dxa"/>
          </w:tcPr>
          <w:p w14:paraId="1B589D03" w14:textId="77777777" w:rsidR="00073188" w:rsidRPr="003A0C5C" w:rsidRDefault="00073188" w:rsidP="00DD5380">
            <w:pPr>
              <w:pStyle w:val="1space"/>
              <w:spacing w:before="20" w:after="20"/>
            </w:pPr>
            <w:r w:rsidRPr="003A0C5C">
              <w:t>JWPCP</w:t>
            </w:r>
          </w:p>
        </w:tc>
        <w:tc>
          <w:tcPr>
            <w:tcW w:w="4945" w:type="dxa"/>
          </w:tcPr>
          <w:p w14:paraId="318C455F" w14:textId="77777777" w:rsidR="00073188" w:rsidRPr="003A0C5C" w:rsidRDefault="00073188" w:rsidP="00DD5380">
            <w:pPr>
              <w:pStyle w:val="1space"/>
              <w:spacing w:before="20" w:after="20"/>
            </w:pPr>
            <w:r w:rsidRPr="003A0C5C">
              <w:t>Joint Water Pollution Control Plant</w:t>
            </w:r>
          </w:p>
        </w:tc>
      </w:tr>
      <w:tr w:rsidR="003A0C5C" w:rsidRPr="003A0C5C" w14:paraId="565F4B74" w14:textId="77777777" w:rsidTr="00073188">
        <w:tc>
          <w:tcPr>
            <w:tcW w:w="3685" w:type="dxa"/>
          </w:tcPr>
          <w:p w14:paraId="683D50E7" w14:textId="77777777" w:rsidR="00073188" w:rsidRPr="003A0C5C" w:rsidRDefault="00073188" w:rsidP="00DD5380">
            <w:pPr>
              <w:pStyle w:val="1space"/>
              <w:spacing w:before="20" w:after="20"/>
            </w:pPr>
            <w:r w:rsidRPr="003A0C5C">
              <w:t>LACFD</w:t>
            </w:r>
          </w:p>
        </w:tc>
        <w:tc>
          <w:tcPr>
            <w:tcW w:w="4945" w:type="dxa"/>
          </w:tcPr>
          <w:p w14:paraId="13559C71" w14:textId="77777777" w:rsidR="00073188" w:rsidRPr="003A0C5C" w:rsidRDefault="00073188" w:rsidP="00DD5380">
            <w:pPr>
              <w:pStyle w:val="1space"/>
              <w:spacing w:before="20" w:after="20"/>
            </w:pPr>
            <w:r w:rsidRPr="003A0C5C">
              <w:t>Los Angeles County Fire Department</w:t>
            </w:r>
          </w:p>
        </w:tc>
      </w:tr>
      <w:tr w:rsidR="003A0C5C" w:rsidRPr="003A0C5C" w14:paraId="016F63ED" w14:textId="77777777" w:rsidTr="00073188">
        <w:tc>
          <w:tcPr>
            <w:tcW w:w="3685" w:type="dxa"/>
          </w:tcPr>
          <w:p w14:paraId="20DE8805" w14:textId="77777777" w:rsidR="00073188" w:rsidRPr="003A0C5C" w:rsidRDefault="00073188" w:rsidP="00DD5380">
            <w:pPr>
              <w:pStyle w:val="1space"/>
              <w:spacing w:before="20" w:after="20"/>
            </w:pPr>
            <w:r w:rsidRPr="003A0C5C">
              <w:t>LACM</w:t>
            </w:r>
          </w:p>
        </w:tc>
        <w:tc>
          <w:tcPr>
            <w:tcW w:w="4945" w:type="dxa"/>
          </w:tcPr>
          <w:p w14:paraId="1414EA5B" w14:textId="77777777" w:rsidR="00073188" w:rsidRPr="003A0C5C" w:rsidRDefault="00073188" w:rsidP="00DD5380">
            <w:pPr>
              <w:pStyle w:val="1space"/>
              <w:spacing w:before="20" w:after="20"/>
            </w:pPr>
            <w:r w:rsidRPr="003A0C5C">
              <w:t>History Museum of Los Angeles County</w:t>
            </w:r>
          </w:p>
        </w:tc>
      </w:tr>
      <w:tr w:rsidR="003A0C5C" w:rsidRPr="003A0C5C" w14:paraId="34BFA899" w14:textId="77777777" w:rsidTr="00073188">
        <w:tc>
          <w:tcPr>
            <w:tcW w:w="3685" w:type="dxa"/>
          </w:tcPr>
          <w:p w14:paraId="29593DC9" w14:textId="77777777" w:rsidR="00073188" w:rsidRPr="003A0C5C" w:rsidRDefault="00073188" w:rsidP="00DD5380">
            <w:pPr>
              <w:pStyle w:val="1space"/>
              <w:spacing w:before="20" w:after="20"/>
            </w:pPr>
            <w:r w:rsidRPr="003A0C5C">
              <w:t>LACMC</w:t>
            </w:r>
          </w:p>
        </w:tc>
        <w:tc>
          <w:tcPr>
            <w:tcW w:w="4945" w:type="dxa"/>
          </w:tcPr>
          <w:p w14:paraId="5FA414D2" w14:textId="77777777" w:rsidR="00073188" w:rsidRPr="003A0C5C" w:rsidRDefault="00073188" w:rsidP="00DD5380">
            <w:pPr>
              <w:pStyle w:val="1space"/>
              <w:spacing w:before="20" w:after="20"/>
            </w:pPr>
            <w:r w:rsidRPr="003A0C5C">
              <w:t>Los Angeles County Municipal Code</w:t>
            </w:r>
          </w:p>
        </w:tc>
      </w:tr>
      <w:tr w:rsidR="003A0C5C" w:rsidRPr="003A0C5C" w14:paraId="0A3FF749" w14:textId="77777777" w:rsidTr="00073188">
        <w:tc>
          <w:tcPr>
            <w:tcW w:w="3685" w:type="dxa"/>
          </w:tcPr>
          <w:p w14:paraId="37B3D1BF" w14:textId="77777777" w:rsidR="00073188" w:rsidRPr="003A0C5C" w:rsidRDefault="00073188" w:rsidP="00DD5380">
            <w:pPr>
              <w:pStyle w:val="1space"/>
              <w:spacing w:before="20" w:after="20"/>
            </w:pPr>
            <w:r w:rsidRPr="003A0C5C">
              <w:t>LACSD</w:t>
            </w:r>
          </w:p>
        </w:tc>
        <w:tc>
          <w:tcPr>
            <w:tcW w:w="4945" w:type="dxa"/>
          </w:tcPr>
          <w:p w14:paraId="08824FE7" w14:textId="77777777" w:rsidR="00073188" w:rsidRPr="003A0C5C" w:rsidRDefault="00073188" w:rsidP="00DD5380">
            <w:pPr>
              <w:pStyle w:val="1space"/>
              <w:spacing w:before="20" w:after="20"/>
            </w:pPr>
            <w:r w:rsidRPr="003A0C5C">
              <w:t>Los Angeles County Sanitation Districts</w:t>
            </w:r>
          </w:p>
        </w:tc>
      </w:tr>
      <w:tr w:rsidR="003A0C5C" w:rsidRPr="003A0C5C" w14:paraId="26F06617" w14:textId="77777777" w:rsidTr="00073188">
        <w:tc>
          <w:tcPr>
            <w:tcW w:w="3685" w:type="dxa"/>
          </w:tcPr>
          <w:p w14:paraId="52FE5EFF" w14:textId="205A068A" w:rsidR="00073188" w:rsidRPr="003A0C5C" w:rsidRDefault="00073188" w:rsidP="00DD5380">
            <w:pPr>
              <w:pStyle w:val="1space"/>
              <w:spacing w:before="20" w:after="20"/>
            </w:pPr>
            <w:r w:rsidRPr="003A0C5C">
              <w:t xml:space="preserve">LARWQCB </w:t>
            </w:r>
          </w:p>
        </w:tc>
        <w:tc>
          <w:tcPr>
            <w:tcW w:w="4945" w:type="dxa"/>
          </w:tcPr>
          <w:p w14:paraId="038F2E50" w14:textId="38B9A1BE" w:rsidR="00073188" w:rsidRPr="003A0C5C" w:rsidRDefault="00541519" w:rsidP="00DD5380">
            <w:pPr>
              <w:pStyle w:val="1space"/>
              <w:spacing w:before="20" w:after="20"/>
            </w:pPr>
            <w:r w:rsidRPr="003A0C5C">
              <w:t>Los Angeles Regional Water Quality Control Board</w:t>
            </w:r>
          </w:p>
        </w:tc>
      </w:tr>
      <w:tr w:rsidR="003A0C5C" w:rsidRPr="003A0C5C" w14:paraId="50EF2B27" w14:textId="77777777" w:rsidTr="00073188">
        <w:tc>
          <w:tcPr>
            <w:tcW w:w="3685" w:type="dxa"/>
          </w:tcPr>
          <w:p w14:paraId="6F894E94" w14:textId="77777777" w:rsidR="00073188" w:rsidRPr="003A0C5C" w:rsidRDefault="00073188" w:rsidP="00DD5380">
            <w:pPr>
              <w:pStyle w:val="1space"/>
              <w:spacing w:before="20" w:after="20"/>
            </w:pPr>
            <w:r w:rsidRPr="003A0C5C">
              <w:t>LASD</w:t>
            </w:r>
          </w:p>
        </w:tc>
        <w:tc>
          <w:tcPr>
            <w:tcW w:w="4945" w:type="dxa"/>
          </w:tcPr>
          <w:p w14:paraId="019875E3" w14:textId="77777777" w:rsidR="00073188" w:rsidRPr="003A0C5C" w:rsidRDefault="00073188" w:rsidP="00DD5380">
            <w:pPr>
              <w:pStyle w:val="1space"/>
              <w:spacing w:before="20" w:after="20"/>
            </w:pPr>
            <w:r w:rsidRPr="003A0C5C">
              <w:t>Los Angeles County Sheriff</w:t>
            </w:r>
          </w:p>
        </w:tc>
      </w:tr>
      <w:tr w:rsidR="003A0C5C" w:rsidRPr="003A0C5C" w14:paraId="2CD6C737" w14:textId="77777777" w:rsidTr="00073188">
        <w:tc>
          <w:tcPr>
            <w:tcW w:w="3685" w:type="dxa"/>
          </w:tcPr>
          <w:p w14:paraId="02575F06" w14:textId="77777777" w:rsidR="00073188" w:rsidRPr="003A0C5C" w:rsidRDefault="00073188" w:rsidP="00DD5380">
            <w:pPr>
              <w:pStyle w:val="1space"/>
              <w:spacing w:before="20" w:after="20"/>
            </w:pPr>
            <w:r w:rsidRPr="003A0C5C">
              <w:t>LCFS</w:t>
            </w:r>
          </w:p>
        </w:tc>
        <w:tc>
          <w:tcPr>
            <w:tcW w:w="4945" w:type="dxa"/>
          </w:tcPr>
          <w:p w14:paraId="6CE51EAD" w14:textId="77777777" w:rsidR="00073188" w:rsidRPr="003A0C5C" w:rsidRDefault="00073188" w:rsidP="00DD5380">
            <w:pPr>
              <w:pStyle w:val="1space"/>
              <w:spacing w:before="20" w:after="20"/>
            </w:pPr>
            <w:r w:rsidRPr="003A0C5C">
              <w:t>Low Carbon Fuel Standard</w:t>
            </w:r>
          </w:p>
        </w:tc>
      </w:tr>
      <w:tr w:rsidR="003A0C5C" w:rsidRPr="003A0C5C" w14:paraId="504FFF40" w14:textId="77777777" w:rsidTr="00073188">
        <w:tc>
          <w:tcPr>
            <w:tcW w:w="3685" w:type="dxa"/>
          </w:tcPr>
          <w:p w14:paraId="46A556D5" w14:textId="77777777" w:rsidR="00073188" w:rsidRPr="003A0C5C" w:rsidRDefault="00073188" w:rsidP="00DD5380">
            <w:pPr>
              <w:pStyle w:val="1space"/>
              <w:spacing w:before="20" w:after="20"/>
            </w:pPr>
            <w:r w:rsidRPr="003A0C5C">
              <w:t>LNAPL</w:t>
            </w:r>
          </w:p>
        </w:tc>
        <w:tc>
          <w:tcPr>
            <w:tcW w:w="4945" w:type="dxa"/>
          </w:tcPr>
          <w:p w14:paraId="5000F8A7" w14:textId="77777777" w:rsidR="00073188" w:rsidRPr="003A0C5C" w:rsidRDefault="00073188" w:rsidP="00DD5380">
            <w:pPr>
              <w:pStyle w:val="1space"/>
              <w:spacing w:before="20" w:after="20"/>
            </w:pPr>
            <w:r w:rsidRPr="003A0C5C">
              <w:t>light non-aqueous phase liquid</w:t>
            </w:r>
          </w:p>
        </w:tc>
      </w:tr>
      <w:tr w:rsidR="003A0C5C" w:rsidRPr="003A0C5C" w14:paraId="75DCD863" w14:textId="77777777" w:rsidTr="00073188">
        <w:tc>
          <w:tcPr>
            <w:tcW w:w="3685" w:type="dxa"/>
          </w:tcPr>
          <w:p w14:paraId="28001943" w14:textId="77777777" w:rsidR="00073188" w:rsidRPr="003A0C5C" w:rsidRDefault="00073188" w:rsidP="00DD5380">
            <w:pPr>
              <w:pStyle w:val="1space"/>
              <w:spacing w:before="20" w:after="20"/>
            </w:pPr>
            <w:r w:rsidRPr="003A0C5C">
              <w:t>LOS</w:t>
            </w:r>
          </w:p>
        </w:tc>
        <w:tc>
          <w:tcPr>
            <w:tcW w:w="4945" w:type="dxa"/>
          </w:tcPr>
          <w:p w14:paraId="26D5DF1B" w14:textId="77777777" w:rsidR="00073188" w:rsidRPr="003A0C5C" w:rsidRDefault="00073188" w:rsidP="00DD5380">
            <w:pPr>
              <w:pStyle w:val="1space"/>
              <w:spacing w:before="20" w:after="20"/>
            </w:pPr>
            <w:r w:rsidRPr="003A0C5C">
              <w:t>level of service</w:t>
            </w:r>
          </w:p>
        </w:tc>
      </w:tr>
      <w:tr w:rsidR="003A0C5C" w:rsidRPr="003A0C5C" w14:paraId="76645AB6" w14:textId="77777777" w:rsidTr="00073188">
        <w:tc>
          <w:tcPr>
            <w:tcW w:w="3685" w:type="dxa"/>
          </w:tcPr>
          <w:p w14:paraId="3466360B" w14:textId="77777777" w:rsidR="00073188" w:rsidRPr="003A0C5C" w:rsidRDefault="00073188" w:rsidP="00DD5380">
            <w:pPr>
              <w:pStyle w:val="1space"/>
              <w:spacing w:before="20" w:after="20"/>
            </w:pPr>
            <w:r w:rsidRPr="003A0C5C">
              <w:t>LST</w:t>
            </w:r>
          </w:p>
        </w:tc>
        <w:tc>
          <w:tcPr>
            <w:tcW w:w="4945" w:type="dxa"/>
          </w:tcPr>
          <w:p w14:paraId="50340303" w14:textId="77777777" w:rsidR="00073188" w:rsidRPr="003A0C5C" w:rsidRDefault="00073188" w:rsidP="00DD5380">
            <w:pPr>
              <w:pStyle w:val="1space"/>
              <w:spacing w:before="20" w:after="20"/>
            </w:pPr>
            <w:r w:rsidRPr="003A0C5C">
              <w:t>localized significant threshold</w:t>
            </w:r>
          </w:p>
        </w:tc>
      </w:tr>
      <w:tr w:rsidR="003A0C5C" w:rsidRPr="003A0C5C" w14:paraId="03B7762F" w14:textId="77777777" w:rsidTr="00073188">
        <w:tc>
          <w:tcPr>
            <w:tcW w:w="3685" w:type="dxa"/>
          </w:tcPr>
          <w:p w14:paraId="02F8E30B" w14:textId="77777777" w:rsidR="00073188" w:rsidRPr="003A0C5C" w:rsidRDefault="00073188" w:rsidP="00DD5380">
            <w:pPr>
              <w:pStyle w:val="1space"/>
              <w:spacing w:before="20" w:after="20"/>
            </w:pPr>
            <w:r w:rsidRPr="003A0C5C">
              <w:t>LTA</w:t>
            </w:r>
          </w:p>
        </w:tc>
        <w:tc>
          <w:tcPr>
            <w:tcW w:w="4945" w:type="dxa"/>
          </w:tcPr>
          <w:p w14:paraId="212AD844" w14:textId="77777777" w:rsidR="00073188" w:rsidRPr="003A0C5C" w:rsidRDefault="00073188" w:rsidP="00DD5380">
            <w:pPr>
              <w:pStyle w:val="1space"/>
              <w:spacing w:before="20" w:after="20"/>
            </w:pPr>
            <w:r w:rsidRPr="003A0C5C">
              <w:t>Perry Street Local Transportation Assessment</w:t>
            </w:r>
          </w:p>
        </w:tc>
      </w:tr>
      <w:tr w:rsidR="003A0C5C" w:rsidRPr="003A0C5C" w14:paraId="0191AB4C" w14:textId="77777777" w:rsidTr="00073188">
        <w:tc>
          <w:tcPr>
            <w:tcW w:w="3685" w:type="dxa"/>
          </w:tcPr>
          <w:p w14:paraId="303DAC83" w14:textId="77777777" w:rsidR="00073188" w:rsidRPr="003A0C5C" w:rsidRDefault="00073188" w:rsidP="00DD5380">
            <w:pPr>
              <w:pStyle w:val="1space"/>
              <w:spacing w:before="20" w:after="20"/>
            </w:pPr>
            <w:r w:rsidRPr="003A0C5C">
              <w:t>LTA</w:t>
            </w:r>
          </w:p>
        </w:tc>
        <w:tc>
          <w:tcPr>
            <w:tcW w:w="4945" w:type="dxa"/>
          </w:tcPr>
          <w:p w14:paraId="490FE359" w14:textId="77777777" w:rsidR="00073188" w:rsidRPr="003A0C5C" w:rsidRDefault="00073188" w:rsidP="00DD5380">
            <w:pPr>
              <w:pStyle w:val="1space"/>
              <w:spacing w:before="20" w:after="20"/>
            </w:pPr>
            <w:r w:rsidRPr="003A0C5C">
              <w:t>proposed project’s Local Transportation Assessment</w:t>
            </w:r>
          </w:p>
        </w:tc>
      </w:tr>
      <w:tr w:rsidR="003A0C5C" w:rsidRPr="003A0C5C" w14:paraId="37492614" w14:textId="77777777" w:rsidTr="00073188">
        <w:tc>
          <w:tcPr>
            <w:tcW w:w="3685" w:type="dxa"/>
          </w:tcPr>
          <w:p w14:paraId="4C652D8B" w14:textId="77777777" w:rsidR="00073188" w:rsidRPr="003A0C5C" w:rsidRDefault="00073188" w:rsidP="00DD5380">
            <w:pPr>
              <w:pStyle w:val="1space"/>
              <w:spacing w:before="20" w:after="20"/>
            </w:pPr>
            <w:r w:rsidRPr="003A0C5C">
              <w:t>MBTA</w:t>
            </w:r>
          </w:p>
        </w:tc>
        <w:tc>
          <w:tcPr>
            <w:tcW w:w="4945" w:type="dxa"/>
          </w:tcPr>
          <w:p w14:paraId="60910A68" w14:textId="77777777" w:rsidR="00073188" w:rsidRPr="003A0C5C" w:rsidRDefault="00073188" w:rsidP="00DD5380">
            <w:pPr>
              <w:pStyle w:val="1space"/>
              <w:spacing w:before="20" w:after="20"/>
            </w:pPr>
            <w:r w:rsidRPr="003A0C5C">
              <w:t>Federal Migratory Bird Treaty Act</w:t>
            </w:r>
          </w:p>
        </w:tc>
      </w:tr>
      <w:tr w:rsidR="003A0C5C" w:rsidRPr="003A0C5C" w14:paraId="7ECD530F" w14:textId="77777777" w:rsidTr="00073188">
        <w:tc>
          <w:tcPr>
            <w:tcW w:w="3685" w:type="dxa"/>
          </w:tcPr>
          <w:p w14:paraId="0C468F22" w14:textId="77777777" w:rsidR="00073188" w:rsidRPr="003A0C5C" w:rsidRDefault="00073188" w:rsidP="00DD5380">
            <w:pPr>
              <w:pStyle w:val="1space"/>
              <w:spacing w:before="20" w:after="20"/>
            </w:pPr>
            <w:r w:rsidRPr="003A0C5C">
              <w:t>MLD</w:t>
            </w:r>
          </w:p>
        </w:tc>
        <w:tc>
          <w:tcPr>
            <w:tcW w:w="4945" w:type="dxa"/>
          </w:tcPr>
          <w:p w14:paraId="09EDB1DE" w14:textId="77777777" w:rsidR="00073188" w:rsidRPr="003A0C5C" w:rsidRDefault="00073188" w:rsidP="00DD5380">
            <w:pPr>
              <w:pStyle w:val="1space"/>
              <w:spacing w:before="20" w:after="20"/>
            </w:pPr>
            <w:r w:rsidRPr="003A0C5C">
              <w:t>Most Likely Descendent</w:t>
            </w:r>
          </w:p>
        </w:tc>
      </w:tr>
      <w:tr w:rsidR="003A0C5C" w:rsidRPr="003A0C5C" w14:paraId="0D02DAF1" w14:textId="77777777" w:rsidTr="00073188">
        <w:tc>
          <w:tcPr>
            <w:tcW w:w="3685" w:type="dxa"/>
          </w:tcPr>
          <w:p w14:paraId="25F8563F" w14:textId="77777777" w:rsidR="00073188" w:rsidRPr="003A0C5C" w:rsidRDefault="00073188" w:rsidP="00DD5380">
            <w:pPr>
              <w:pStyle w:val="1space"/>
              <w:spacing w:before="20" w:after="20"/>
            </w:pPr>
            <w:r w:rsidRPr="003A0C5C">
              <w:t>ML-D</w:t>
            </w:r>
          </w:p>
        </w:tc>
        <w:tc>
          <w:tcPr>
            <w:tcW w:w="4945" w:type="dxa"/>
          </w:tcPr>
          <w:p w14:paraId="431162AA" w14:textId="77777777" w:rsidR="00073188" w:rsidRPr="003A0C5C" w:rsidRDefault="00073188" w:rsidP="00DD5380">
            <w:pPr>
              <w:pStyle w:val="1space"/>
              <w:spacing w:before="20" w:after="20"/>
            </w:pPr>
            <w:r w:rsidRPr="003A0C5C">
              <w:t>Manufacturing Light with a Design Overlay</w:t>
            </w:r>
          </w:p>
        </w:tc>
      </w:tr>
      <w:tr w:rsidR="003A0C5C" w:rsidRPr="003A0C5C" w14:paraId="2CBC651A" w14:textId="77777777" w:rsidTr="00073188">
        <w:tc>
          <w:tcPr>
            <w:tcW w:w="3685" w:type="dxa"/>
          </w:tcPr>
          <w:p w14:paraId="41961875" w14:textId="77777777" w:rsidR="00073188" w:rsidRPr="003A0C5C" w:rsidRDefault="00073188" w:rsidP="00DD5380">
            <w:pPr>
              <w:pStyle w:val="1space"/>
              <w:spacing w:before="20" w:after="20"/>
            </w:pPr>
            <w:r w:rsidRPr="003A0C5C">
              <w:t>MMT</w:t>
            </w:r>
          </w:p>
        </w:tc>
        <w:tc>
          <w:tcPr>
            <w:tcW w:w="4945" w:type="dxa"/>
          </w:tcPr>
          <w:p w14:paraId="3635103B" w14:textId="77777777" w:rsidR="00073188" w:rsidRPr="003A0C5C" w:rsidRDefault="00073188" w:rsidP="00DD5380">
            <w:pPr>
              <w:pStyle w:val="1space"/>
              <w:spacing w:before="20" w:after="20"/>
            </w:pPr>
            <w:r w:rsidRPr="003A0C5C">
              <w:t>million metric tons</w:t>
            </w:r>
          </w:p>
        </w:tc>
      </w:tr>
      <w:tr w:rsidR="003A0C5C" w:rsidRPr="003A0C5C" w14:paraId="7776A5B9" w14:textId="77777777" w:rsidTr="00073188">
        <w:tc>
          <w:tcPr>
            <w:tcW w:w="3685" w:type="dxa"/>
          </w:tcPr>
          <w:p w14:paraId="527F5CBA" w14:textId="77777777" w:rsidR="00073188" w:rsidRPr="003A0C5C" w:rsidRDefault="00073188" w:rsidP="00DD5380">
            <w:pPr>
              <w:pStyle w:val="1space"/>
              <w:spacing w:before="20" w:after="20"/>
            </w:pPr>
            <w:r w:rsidRPr="003A0C5C">
              <w:t>MND</w:t>
            </w:r>
          </w:p>
        </w:tc>
        <w:tc>
          <w:tcPr>
            <w:tcW w:w="4945" w:type="dxa"/>
          </w:tcPr>
          <w:p w14:paraId="7B1533F1" w14:textId="77777777" w:rsidR="00073188" w:rsidRPr="003A0C5C" w:rsidRDefault="00073188" w:rsidP="00DD5380">
            <w:pPr>
              <w:pStyle w:val="1space"/>
              <w:spacing w:before="20" w:after="20"/>
            </w:pPr>
            <w:r w:rsidRPr="003A0C5C">
              <w:t>Mitigated Negative Declaration</w:t>
            </w:r>
          </w:p>
        </w:tc>
      </w:tr>
      <w:tr w:rsidR="003A0C5C" w:rsidRPr="003A0C5C" w14:paraId="5E2B2DE0" w14:textId="77777777" w:rsidTr="00073188">
        <w:tc>
          <w:tcPr>
            <w:tcW w:w="3685" w:type="dxa"/>
          </w:tcPr>
          <w:p w14:paraId="1DC0B01B" w14:textId="77777777" w:rsidR="00073188" w:rsidRPr="003A0C5C" w:rsidRDefault="00073188" w:rsidP="00DD5380">
            <w:pPr>
              <w:pStyle w:val="1space"/>
              <w:spacing w:before="20" w:after="20"/>
            </w:pPr>
            <w:r w:rsidRPr="003A0C5C">
              <w:t>MRZ-2</w:t>
            </w:r>
          </w:p>
        </w:tc>
        <w:tc>
          <w:tcPr>
            <w:tcW w:w="4945" w:type="dxa"/>
          </w:tcPr>
          <w:p w14:paraId="0430C611" w14:textId="77777777" w:rsidR="00073188" w:rsidRPr="003A0C5C" w:rsidRDefault="00073188" w:rsidP="00DD5380">
            <w:pPr>
              <w:pStyle w:val="1space"/>
              <w:spacing w:before="20" w:after="20"/>
            </w:pPr>
            <w:r w:rsidRPr="003A0C5C">
              <w:t>Mineral Resource Zone 2</w:t>
            </w:r>
          </w:p>
        </w:tc>
      </w:tr>
      <w:tr w:rsidR="003A0C5C" w:rsidRPr="003A0C5C" w14:paraId="67398878" w14:textId="77777777" w:rsidTr="00073188">
        <w:tc>
          <w:tcPr>
            <w:tcW w:w="3685" w:type="dxa"/>
          </w:tcPr>
          <w:p w14:paraId="398BD0F4" w14:textId="77777777" w:rsidR="00073188" w:rsidRPr="003A0C5C" w:rsidRDefault="00073188" w:rsidP="00DD5380">
            <w:pPr>
              <w:pStyle w:val="1space"/>
              <w:spacing w:before="20" w:after="20"/>
            </w:pPr>
            <w:r w:rsidRPr="003A0C5C">
              <w:t>MT</w:t>
            </w:r>
          </w:p>
        </w:tc>
        <w:tc>
          <w:tcPr>
            <w:tcW w:w="4945" w:type="dxa"/>
          </w:tcPr>
          <w:p w14:paraId="43DBEDAB" w14:textId="77777777" w:rsidR="00073188" w:rsidRPr="003A0C5C" w:rsidRDefault="00073188" w:rsidP="00DD5380">
            <w:pPr>
              <w:pStyle w:val="1space"/>
              <w:spacing w:before="20" w:after="20"/>
            </w:pPr>
            <w:r w:rsidRPr="003A0C5C">
              <w:t>one metric ton</w:t>
            </w:r>
          </w:p>
        </w:tc>
      </w:tr>
      <w:tr w:rsidR="003A0C5C" w:rsidRPr="003A0C5C" w14:paraId="30236E05" w14:textId="77777777" w:rsidTr="00073188">
        <w:tc>
          <w:tcPr>
            <w:tcW w:w="3685" w:type="dxa"/>
          </w:tcPr>
          <w:p w14:paraId="25354B26" w14:textId="77777777" w:rsidR="00073188" w:rsidRPr="003A0C5C" w:rsidRDefault="00073188" w:rsidP="00DD5380">
            <w:pPr>
              <w:pStyle w:val="1space"/>
              <w:spacing w:before="20" w:after="20"/>
            </w:pPr>
            <w:r w:rsidRPr="003A0C5C">
              <w:t>MTCO2e</w:t>
            </w:r>
          </w:p>
        </w:tc>
        <w:tc>
          <w:tcPr>
            <w:tcW w:w="4945" w:type="dxa"/>
          </w:tcPr>
          <w:p w14:paraId="0890A555" w14:textId="77777777" w:rsidR="00073188" w:rsidRPr="003A0C5C" w:rsidRDefault="00073188" w:rsidP="00DD5380">
            <w:pPr>
              <w:pStyle w:val="1space"/>
              <w:spacing w:before="20" w:after="20"/>
            </w:pPr>
            <w:r w:rsidRPr="003A0C5C">
              <w:t>25 MT of CO</w:t>
            </w:r>
            <w:r w:rsidRPr="003A0C5C">
              <w:rPr>
                <w:vertAlign w:val="subscript"/>
              </w:rPr>
              <w:t>2</w:t>
            </w:r>
            <w:r w:rsidRPr="003A0C5C">
              <w:t xml:space="preserve"> equivalents</w:t>
            </w:r>
          </w:p>
        </w:tc>
      </w:tr>
      <w:tr w:rsidR="003A0C5C" w:rsidRPr="003A0C5C" w14:paraId="1A4F2CA6" w14:textId="77777777" w:rsidTr="00073188">
        <w:tc>
          <w:tcPr>
            <w:tcW w:w="3685" w:type="dxa"/>
          </w:tcPr>
          <w:p w14:paraId="5A407BE0" w14:textId="77777777" w:rsidR="00073188" w:rsidRPr="003A0C5C" w:rsidRDefault="00073188" w:rsidP="00DD5380">
            <w:pPr>
              <w:pStyle w:val="1space"/>
              <w:spacing w:before="20" w:after="20"/>
            </w:pPr>
            <w:r w:rsidRPr="003A0C5C">
              <w:t>MWELO</w:t>
            </w:r>
          </w:p>
        </w:tc>
        <w:tc>
          <w:tcPr>
            <w:tcW w:w="4945" w:type="dxa"/>
          </w:tcPr>
          <w:p w14:paraId="76DD13D8" w14:textId="77777777" w:rsidR="00073188" w:rsidRPr="003A0C5C" w:rsidRDefault="00073188" w:rsidP="00DD5380">
            <w:pPr>
              <w:pStyle w:val="1space"/>
              <w:spacing w:before="20" w:after="20"/>
            </w:pPr>
            <w:r w:rsidRPr="003A0C5C">
              <w:t>Model Water Efficient Landscape Ordinances</w:t>
            </w:r>
          </w:p>
        </w:tc>
      </w:tr>
      <w:tr w:rsidR="003A0C5C" w:rsidRPr="003A0C5C" w14:paraId="65A1BE20" w14:textId="77777777" w:rsidTr="00073188">
        <w:tc>
          <w:tcPr>
            <w:tcW w:w="3685" w:type="dxa"/>
          </w:tcPr>
          <w:p w14:paraId="6A70946C" w14:textId="77777777" w:rsidR="00073188" w:rsidRPr="003A0C5C" w:rsidRDefault="00073188" w:rsidP="00DD5380">
            <w:pPr>
              <w:pStyle w:val="1space"/>
              <w:spacing w:before="20" w:after="20"/>
            </w:pPr>
            <w:r w:rsidRPr="003A0C5C">
              <w:t>MWh</w:t>
            </w:r>
          </w:p>
        </w:tc>
        <w:tc>
          <w:tcPr>
            <w:tcW w:w="4945" w:type="dxa"/>
          </w:tcPr>
          <w:p w14:paraId="7BFAF54E" w14:textId="77777777" w:rsidR="00073188" w:rsidRPr="003A0C5C" w:rsidRDefault="00073188" w:rsidP="00DD5380">
            <w:pPr>
              <w:pStyle w:val="1space"/>
              <w:spacing w:before="20" w:after="20"/>
            </w:pPr>
            <w:r w:rsidRPr="003A0C5C">
              <w:t>megawatt-hours</w:t>
            </w:r>
          </w:p>
        </w:tc>
      </w:tr>
      <w:tr w:rsidR="003A0C5C" w:rsidRPr="003A0C5C" w14:paraId="0A228F41" w14:textId="77777777" w:rsidTr="00073188">
        <w:tc>
          <w:tcPr>
            <w:tcW w:w="3685" w:type="dxa"/>
          </w:tcPr>
          <w:p w14:paraId="0907B728" w14:textId="77777777" w:rsidR="00073188" w:rsidRPr="003A0C5C" w:rsidRDefault="00073188" w:rsidP="00DD5380">
            <w:pPr>
              <w:pStyle w:val="1space"/>
              <w:spacing w:before="20" w:after="20"/>
            </w:pPr>
            <w:r w:rsidRPr="003A0C5C">
              <w:t>N</w:t>
            </w:r>
            <w:r w:rsidRPr="003A0C5C">
              <w:rPr>
                <w:vertAlign w:val="subscript"/>
              </w:rPr>
              <w:t>2</w:t>
            </w:r>
            <w:r w:rsidRPr="003A0C5C">
              <w:t>O</w:t>
            </w:r>
          </w:p>
        </w:tc>
        <w:tc>
          <w:tcPr>
            <w:tcW w:w="4945" w:type="dxa"/>
          </w:tcPr>
          <w:p w14:paraId="080A31BB" w14:textId="77777777" w:rsidR="00073188" w:rsidRPr="003A0C5C" w:rsidRDefault="00073188" w:rsidP="00DD5380">
            <w:pPr>
              <w:pStyle w:val="1space"/>
              <w:spacing w:before="20" w:after="20"/>
            </w:pPr>
            <w:r w:rsidRPr="003A0C5C">
              <w:t>nitrous oxide</w:t>
            </w:r>
          </w:p>
        </w:tc>
      </w:tr>
      <w:tr w:rsidR="003A0C5C" w:rsidRPr="003A0C5C" w14:paraId="3B93DBA7" w14:textId="77777777" w:rsidTr="00073188">
        <w:tc>
          <w:tcPr>
            <w:tcW w:w="3685" w:type="dxa"/>
          </w:tcPr>
          <w:p w14:paraId="6ADE6C8E" w14:textId="77777777" w:rsidR="00073188" w:rsidRPr="003A0C5C" w:rsidRDefault="00073188" w:rsidP="00DD5380">
            <w:pPr>
              <w:pStyle w:val="1space"/>
              <w:spacing w:before="20" w:after="20"/>
            </w:pPr>
            <w:r w:rsidRPr="003A0C5C">
              <w:t>NAAQS</w:t>
            </w:r>
          </w:p>
        </w:tc>
        <w:tc>
          <w:tcPr>
            <w:tcW w:w="4945" w:type="dxa"/>
          </w:tcPr>
          <w:p w14:paraId="71F76969" w14:textId="77777777" w:rsidR="00073188" w:rsidRPr="003A0C5C" w:rsidRDefault="00073188" w:rsidP="00DD5380">
            <w:pPr>
              <w:pStyle w:val="1space"/>
              <w:spacing w:before="20" w:after="20"/>
            </w:pPr>
            <w:r w:rsidRPr="003A0C5C">
              <w:t>National Ambient Air Quality Standards</w:t>
            </w:r>
          </w:p>
        </w:tc>
      </w:tr>
      <w:tr w:rsidR="003A0C5C" w:rsidRPr="003A0C5C" w14:paraId="6417C4D1" w14:textId="77777777" w:rsidTr="00073188">
        <w:tc>
          <w:tcPr>
            <w:tcW w:w="3685" w:type="dxa"/>
          </w:tcPr>
          <w:p w14:paraId="325E6EE9" w14:textId="77777777" w:rsidR="00073188" w:rsidRPr="003A0C5C" w:rsidRDefault="00073188" w:rsidP="00DD5380">
            <w:pPr>
              <w:pStyle w:val="1space"/>
              <w:spacing w:before="20" w:after="20"/>
            </w:pPr>
            <w:r w:rsidRPr="003A0C5C">
              <w:t>NAHC</w:t>
            </w:r>
          </w:p>
        </w:tc>
        <w:tc>
          <w:tcPr>
            <w:tcW w:w="4945" w:type="dxa"/>
          </w:tcPr>
          <w:p w14:paraId="6BD1A0EE" w14:textId="77777777" w:rsidR="00073188" w:rsidRPr="003A0C5C" w:rsidRDefault="00073188" w:rsidP="00DD5380">
            <w:pPr>
              <w:pStyle w:val="1space"/>
              <w:spacing w:before="20" w:after="20"/>
            </w:pPr>
            <w:r w:rsidRPr="003A0C5C">
              <w:t>California Native American Heritage Commission</w:t>
            </w:r>
          </w:p>
        </w:tc>
      </w:tr>
      <w:tr w:rsidR="003A0C5C" w:rsidRPr="003A0C5C" w14:paraId="501CFAFF" w14:textId="77777777" w:rsidTr="00073188">
        <w:tc>
          <w:tcPr>
            <w:tcW w:w="3685" w:type="dxa"/>
          </w:tcPr>
          <w:p w14:paraId="7EE67797" w14:textId="77777777" w:rsidR="00073188" w:rsidRPr="003A0C5C" w:rsidRDefault="00073188" w:rsidP="00DD5380">
            <w:pPr>
              <w:pStyle w:val="1space"/>
              <w:spacing w:before="20" w:after="20"/>
            </w:pPr>
            <w:r w:rsidRPr="003A0C5C">
              <w:t>NCCP</w:t>
            </w:r>
          </w:p>
        </w:tc>
        <w:tc>
          <w:tcPr>
            <w:tcW w:w="4945" w:type="dxa"/>
          </w:tcPr>
          <w:p w14:paraId="6A86CABF" w14:textId="77777777" w:rsidR="00073188" w:rsidRPr="003A0C5C" w:rsidRDefault="00073188" w:rsidP="00DD5380">
            <w:pPr>
              <w:pStyle w:val="1space"/>
              <w:spacing w:before="20" w:after="20"/>
            </w:pPr>
            <w:r w:rsidRPr="003A0C5C">
              <w:t>Natural Community Conservation Plan</w:t>
            </w:r>
          </w:p>
        </w:tc>
      </w:tr>
      <w:tr w:rsidR="003A0C5C" w:rsidRPr="003A0C5C" w14:paraId="5135A9B5" w14:textId="77777777" w:rsidTr="00073188">
        <w:tc>
          <w:tcPr>
            <w:tcW w:w="3685" w:type="dxa"/>
          </w:tcPr>
          <w:p w14:paraId="02D5DAE9" w14:textId="77777777" w:rsidR="00073188" w:rsidRPr="003A0C5C" w:rsidRDefault="00073188" w:rsidP="00DD5380">
            <w:pPr>
              <w:pStyle w:val="1space"/>
              <w:spacing w:before="20" w:after="20"/>
            </w:pPr>
            <w:r w:rsidRPr="003A0C5C">
              <w:t>NFPA</w:t>
            </w:r>
          </w:p>
        </w:tc>
        <w:tc>
          <w:tcPr>
            <w:tcW w:w="4945" w:type="dxa"/>
          </w:tcPr>
          <w:p w14:paraId="613BE10D" w14:textId="77777777" w:rsidR="00073188" w:rsidRPr="003A0C5C" w:rsidRDefault="00073188" w:rsidP="00DD5380">
            <w:pPr>
              <w:pStyle w:val="1space"/>
              <w:spacing w:before="20" w:after="20"/>
            </w:pPr>
            <w:r w:rsidRPr="003A0C5C">
              <w:t>National Fire Protection Association</w:t>
            </w:r>
          </w:p>
        </w:tc>
      </w:tr>
      <w:tr w:rsidR="003A0C5C" w:rsidRPr="003A0C5C" w14:paraId="26B4CED6" w14:textId="77777777" w:rsidTr="00073188">
        <w:tc>
          <w:tcPr>
            <w:tcW w:w="3685" w:type="dxa"/>
          </w:tcPr>
          <w:p w14:paraId="12BC6A82" w14:textId="77777777" w:rsidR="00073188" w:rsidRPr="003A0C5C" w:rsidRDefault="00073188" w:rsidP="00DD5380">
            <w:pPr>
              <w:pStyle w:val="1space"/>
              <w:spacing w:before="20" w:after="20"/>
            </w:pPr>
            <w:r w:rsidRPr="003A0C5C">
              <w:lastRenderedPageBreak/>
              <w:t>NOX</w:t>
            </w:r>
          </w:p>
        </w:tc>
        <w:tc>
          <w:tcPr>
            <w:tcW w:w="4945" w:type="dxa"/>
          </w:tcPr>
          <w:p w14:paraId="614ECA53" w14:textId="77777777" w:rsidR="00073188" w:rsidRPr="003A0C5C" w:rsidRDefault="00073188" w:rsidP="00DD5380">
            <w:pPr>
              <w:pStyle w:val="1space"/>
              <w:spacing w:before="20" w:after="20"/>
            </w:pPr>
            <w:r w:rsidRPr="003A0C5C">
              <w:t>nitrogen oxides</w:t>
            </w:r>
          </w:p>
        </w:tc>
      </w:tr>
      <w:tr w:rsidR="003A0C5C" w:rsidRPr="003A0C5C" w14:paraId="660AB5D9" w14:textId="77777777" w:rsidTr="00073188">
        <w:tc>
          <w:tcPr>
            <w:tcW w:w="3685" w:type="dxa"/>
          </w:tcPr>
          <w:p w14:paraId="016FA4D0" w14:textId="77777777" w:rsidR="00073188" w:rsidRPr="003A0C5C" w:rsidRDefault="00073188" w:rsidP="00DD5380">
            <w:pPr>
              <w:pStyle w:val="1space"/>
              <w:spacing w:before="20" w:after="20"/>
            </w:pPr>
            <w:r w:rsidRPr="003A0C5C">
              <w:t>NPDES</w:t>
            </w:r>
          </w:p>
        </w:tc>
        <w:tc>
          <w:tcPr>
            <w:tcW w:w="4945" w:type="dxa"/>
          </w:tcPr>
          <w:p w14:paraId="33127477" w14:textId="77777777" w:rsidR="00073188" w:rsidRPr="003A0C5C" w:rsidRDefault="00073188" w:rsidP="00DD5380">
            <w:pPr>
              <w:pStyle w:val="1space"/>
              <w:spacing w:before="20" w:after="20"/>
            </w:pPr>
            <w:r w:rsidRPr="003A0C5C">
              <w:t>National Pollution Elimination Discharge System</w:t>
            </w:r>
          </w:p>
        </w:tc>
      </w:tr>
      <w:tr w:rsidR="003A0C5C" w:rsidRPr="003A0C5C" w14:paraId="32144A28" w14:textId="77777777" w:rsidTr="00073188">
        <w:tc>
          <w:tcPr>
            <w:tcW w:w="3685" w:type="dxa"/>
          </w:tcPr>
          <w:p w14:paraId="43EF2926" w14:textId="77777777" w:rsidR="00073188" w:rsidRPr="003A0C5C" w:rsidRDefault="00073188" w:rsidP="00DD5380">
            <w:pPr>
              <w:pStyle w:val="1space"/>
              <w:spacing w:before="20" w:after="20"/>
            </w:pPr>
            <w:r w:rsidRPr="003A0C5C">
              <w:t>NRC</w:t>
            </w:r>
          </w:p>
        </w:tc>
        <w:tc>
          <w:tcPr>
            <w:tcW w:w="4945" w:type="dxa"/>
          </w:tcPr>
          <w:p w14:paraId="490A7AC2" w14:textId="77777777" w:rsidR="00073188" w:rsidRPr="003A0C5C" w:rsidRDefault="00073188" w:rsidP="00DD5380">
            <w:pPr>
              <w:pStyle w:val="1space"/>
              <w:spacing w:before="20" w:after="20"/>
            </w:pPr>
            <w:r w:rsidRPr="003A0C5C">
              <w:t>Noise Reduction Coefficient</w:t>
            </w:r>
          </w:p>
        </w:tc>
      </w:tr>
      <w:tr w:rsidR="003A0C5C" w:rsidRPr="003A0C5C" w14:paraId="531E3B38" w14:textId="77777777" w:rsidTr="00073188">
        <w:tc>
          <w:tcPr>
            <w:tcW w:w="3685" w:type="dxa"/>
          </w:tcPr>
          <w:p w14:paraId="4F6DA6AA" w14:textId="77777777" w:rsidR="00073188" w:rsidRPr="003A0C5C" w:rsidRDefault="00073188" w:rsidP="00DD5380">
            <w:pPr>
              <w:pStyle w:val="1space"/>
              <w:spacing w:before="20" w:after="20"/>
            </w:pPr>
            <w:r w:rsidRPr="003A0C5C">
              <w:t>OEHHA</w:t>
            </w:r>
          </w:p>
        </w:tc>
        <w:tc>
          <w:tcPr>
            <w:tcW w:w="4945" w:type="dxa"/>
          </w:tcPr>
          <w:p w14:paraId="3C9FA232" w14:textId="77777777" w:rsidR="00073188" w:rsidRPr="003A0C5C" w:rsidRDefault="00073188" w:rsidP="00DD5380">
            <w:pPr>
              <w:pStyle w:val="1space"/>
              <w:spacing w:before="20" w:after="20"/>
            </w:pPr>
            <w:r w:rsidRPr="003A0C5C">
              <w:t>Office of Environmental Health Hazard Assessment</w:t>
            </w:r>
          </w:p>
        </w:tc>
      </w:tr>
      <w:tr w:rsidR="003A0C5C" w:rsidRPr="003A0C5C" w14:paraId="6552868F" w14:textId="77777777" w:rsidTr="00073188">
        <w:tc>
          <w:tcPr>
            <w:tcW w:w="3685" w:type="dxa"/>
          </w:tcPr>
          <w:p w14:paraId="49D2B221" w14:textId="77777777" w:rsidR="00073188" w:rsidRPr="003A0C5C" w:rsidRDefault="00073188" w:rsidP="00DD5380">
            <w:pPr>
              <w:pStyle w:val="1space"/>
              <w:spacing w:before="20" w:after="20"/>
            </w:pPr>
            <w:r w:rsidRPr="003A0C5C">
              <w:t>OHP</w:t>
            </w:r>
          </w:p>
        </w:tc>
        <w:tc>
          <w:tcPr>
            <w:tcW w:w="4945" w:type="dxa"/>
          </w:tcPr>
          <w:p w14:paraId="33086D36" w14:textId="77777777" w:rsidR="00073188" w:rsidRPr="003A0C5C" w:rsidRDefault="00073188" w:rsidP="00DD5380">
            <w:pPr>
              <w:pStyle w:val="1space"/>
              <w:spacing w:before="20" w:after="20"/>
            </w:pPr>
            <w:r w:rsidRPr="003A0C5C">
              <w:t>California Office of Historic Preservation</w:t>
            </w:r>
          </w:p>
        </w:tc>
      </w:tr>
      <w:tr w:rsidR="003A0C5C" w:rsidRPr="003A0C5C" w14:paraId="3BE40D58" w14:textId="77777777" w:rsidTr="00073188">
        <w:tc>
          <w:tcPr>
            <w:tcW w:w="3685" w:type="dxa"/>
          </w:tcPr>
          <w:p w14:paraId="2A0102E7" w14:textId="77777777" w:rsidR="00073188" w:rsidRPr="003A0C5C" w:rsidRDefault="00073188" w:rsidP="00DD5380">
            <w:pPr>
              <w:pStyle w:val="1space"/>
              <w:spacing w:before="20" w:after="20"/>
            </w:pPr>
            <w:r w:rsidRPr="003A0C5C">
              <w:t>PFC</w:t>
            </w:r>
          </w:p>
        </w:tc>
        <w:tc>
          <w:tcPr>
            <w:tcW w:w="4945" w:type="dxa"/>
          </w:tcPr>
          <w:p w14:paraId="03D9216D" w14:textId="77777777" w:rsidR="00073188" w:rsidRPr="003A0C5C" w:rsidRDefault="00073188" w:rsidP="00DD5380">
            <w:pPr>
              <w:pStyle w:val="1space"/>
              <w:spacing w:before="20" w:after="20"/>
            </w:pPr>
            <w:r w:rsidRPr="003A0C5C">
              <w:t>perfluorocarbons</w:t>
            </w:r>
          </w:p>
        </w:tc>
      </w:tr>
      <w:tr w:rsidR="003A0C5C" w:rsidRPr="003A0C5C" w14:paraId="4BF395A4" w14:textId="77777777" w:rsidTr="00073188">
        <w:tc>
          <w:tcPr>
            <w:tcW w:w="3685" w:type="dxa"/>
          </w:tcPr>
          <w:p w14:paraId="36E0AC08" w14:textId="77777777" w:rsidR="00073188" w:rsidRPr="003A0C5C" w:rsidRDefault="00073188" w:rsidP="00DD5380">
            <w:pPr>
              <w:pStyle w:val="1space"/>
              <w:spacing w:before="20" w:after="20"/>
            </w:pPr>
            <w:r w:rsidRPr="003A0C5C">
              <w:t>PPV</w:t>
            </w:r>
          </w:p>
        </w:tc>
        <w:tc>
          <w:tcPr>
            <w:tcW w:w="4945" w:type="dxa"/>
          </w:tcPr>
          <w:p w14:paraId="6434782F" w14:textId="77777777" w:rsidR="00073188" w:rsidRPr="003A0C5C" w:rsidRDefault="00073188" w:rsidP="00DD5380">
            <w:pPr>
              <w:pStyle w:val="1space"/>
              <w:spacing w:before="20" w:after="20"/>
            </w:pPr>
            <w:r w:rsidRPr="003A0C5C">
              <w:t>peak particle velocity</w:t>
            </w:r>
          </w:p>
        </w:tc>
      </w:tr>
      <w:tr w:rsidR="003A0C5C" w:rsidRPr="003A0C5C" w14:paraId="38C2DF16" w14:textId="77777777" w:rsidTr="00073188">
        <w:tc>
          <w:tcPr>
            <w:tcW w:w="3685" w:type="dxa"/>
          </w:tcPr>
          <w:p w14:paraId="5AC08400" w14:textId="77777777" w:rsidR="00073188" w:rsidRPr="003A0C5C" w:rsidRDefault="00073188" w:rsidP="00DD5380">
            <w:pPr>
              <w:pStyle w:val="1space"/>
              <w:spacing w:before="20" w:after="20"/>
            </w:pPr>
            <w:r w:rsidRPr="003A0C5C">
              <w:t>RCP</w:t>
            </w:r>
          </w:p>
        </w:tc>
        <w:tc>
          <w:tcPr>
            <w:tcW w:w="4945" w:type="dxa"/>
          </w:tcPr>
          <w:p w14:paraId="2694E285" w14:textId="77777777" w:rsidR="00073188" w:rsidRPr="003A0C5C" w:rsidRDefault="00073188" w:rsidP="00DD5380">
            <w:pPr>
              <w:pStyle w:val="1space"/>
              <w:spacing w:before="20" w:after="20"/>
            </w:pPr>
            <w:r w:rsidRPr="003A0C5C">
              <w:t>Regional Comprehensive Plan</w:t>
            </w:r>
          </w:p>
        </w:tc>
      </w:tr>
      <w:tr w:rsidR="003A0C5C" w:rsidRPr="003A0C5C" w14:paraId="726A0E11" w14:textId="77777777" w:rsidTr="00073188">
        <w:tc>
          <w:tcPr>
            <w:tcW w:w="3685" w:type="dxa"/>
          </w:tcPr>
          <w:p w14:paraId="26F50F82" w14:textId="77777777" w:rsidR="00073188" w:rsidRPr="003A0C5C" w:rsidRDefault="00073188" w:rsidP="00DD5380">
            <w:pPr>
              <w:pStyle w:val="1space"/>
              <w:spacing w:before="20" w:after="20"/>
            </w:pPr>
            <w:r w:rsidRPr="003A0C5C">
              <w:t>RPS</w:t>
            </w:r>
          </w:p>
        </w:tc>
        <w:tc>
          <w:tcPr>
            <w:tcW w:w="4945" w:type="dxa"/>
          </w:tcPr>
          <w:p w14:paraId="2260B0C4" w14:textId="77777777" w:rsidR="00073188" w:rsidRPr="003A0C5C" w:rsidRDefault="00073188" w:rsidP="00DD5380">
            <w:pPr>
              <w:pStyle w:val="1space"/>
              <w:spacing w:before="20" w:after="20"/>
            </w:pPr>
            <w:r w:rsidRPr="003A0C5C">
              <w:t>California Renewables Portfolio Standard</w:t>
            </w:r>
          </w:p>
        </w:tc>
      </w:tr>
      <w:tr w:rsidR="003A0C5C" w:rsidRPr="003A0C5C" w14:paraId="37169790" w14:textId="77777777" w:rsidTr="00073188">
        <w:tc>
          <w:tcPr>
            <w:tcW w:w="3685" w:type="dxa"/>
          </w:tcPr>
          <w:p w14:paraId="69AA8B39" w14:textId="77777777" w:rsidR="00073188" w:rsidRPr="003A0C5C" w:rsidRDefault="00073188" w:rsidP="00DD5380">
            <w:pPr>
              <w:pStyle w:val="1space"/>
              <w:spacing w:before="20" w:after="20"/>
            </w:pPr>
            <w:r w:rsidRPr="003A0C5C">
              <w:t>RWQCB</w:t>
            </w:r>
          </w:p>
        </w:tc>
        <w:tc>
          <w:tcPr>
            <w:tcW w:w="4945" w:type="dxa"/>
          </w:tcPr>
          <w:p w14:paraId="4EABFD05" w14:textId="77777777" w:rsidR="00073188" w:rsidRPr="003A0C5C" w:rsidRDefault="00073188" w:rsidP="00DD5380">
            <w:pPr>
              <w:pStyle w:val="1space"/>
              <w:spacing w:before="20" w:after="20"/>
            </w:pPr>
            <w:r w:rsidRPr="003A0C5C">
              <w:t>Regional Water Quality Control Board</w:t>
            </w:r>
          </w:p>
        </w:tc>
      </w:tr>
      <w:tr w:rsidR="003A0C5C" w:rsidRPr="003A0C5C" w14:paraId="28547174" w14:textId="77777777" w:rsidTr="00073188">
        <w:tc>
          <w:tcPr>
            <w:tcW w:w="3685" w:type="dxa"/>
          </w:tcPr>
          <w:p w14:paraId="78C1349E" w14:textId="77777777" w:rsidR="00073188" w:rsidRPr="003A0C5C" w:rsidRDefault="00073188" w:rsidP="00DD5380">
            <w:pPr>
              <w:pStyle w:val="1space"/>
              <w:spacing w:before="20" w:after="20"/>
            </w:pPr>
            <w:r w:rsidRPr="003A0C5C">
              <w:t>SB</w:t>
            </w:r>
          </w:p>
        </w:tc>
        <w:tc>
          <w:tcPr>
            <w:tcW w:w="4945" w:type="dxa"/>
          </w:tcPr>
          <w:p w14:paraId="270C9247" w14:textId="77777777" w:rsidR="00073188" w:rsidRPr="003A0C5C" w:rsidRDefault="00073188" w:rsidP="00DD5380">
            <w:pPr>
              <w:pStyle w:val="1space"/>
              <w:spacing w:before="20" w:after="20"/>
            </w:pPr>
            <w:r w:rsidRPr="003A0C5C">
              <w:t>Senate Bill</w:t>
            </w:r>
          </w:p>
        </w:tc>
      </w:tr>
      <w:tr w:rsidR="003A0C5C" w:rsidRPr="003A0C5C" w14:paraId="3C13B5BF" w14:textId="77777777" w:rsidTr="00073188">
        <w:tc>
          <w:tcPr>
            <w:tcW w:w="3685" w:type="dxa"/>
          </w:tcPr>
          <w:p w14:paraId="4A9149CE" w14:textId="77777777" w:rsidR="00073188" w:rsidRPr="003A0C5C" w:rsidRDefault="00073188" w:rsidP="00DD5380">
            <w:pPr>
              <w:pStyle w:val="1space"/>
              <w:spacing w:before="20" w:after="20"/>
            </w:pPr>
            <w:r w:rsidRPr="003A0C5C">
              <w:t>SCAG</w:t>
            </w:r>
          </w:p>
        </w:tc>
        <w:tc>
          <w:tcPr>
            <w:tcW w:w="4945" w:type="dxa"/>
          </w:tcPr>
          <w:p w14:paraId="42C9356F" w14:textId="77777777" w:rsidR="00073188" w:rsidRPr="003A0C5C" w:rsidRDefault="00073188" w:rsidP="00DD5380">
            <w:pPr>
              <w:pStyle w:val="1space"/>
              <w:spacing w:before="20" w:after="20"/>
            </w:pPr>
            <w:r w:rsidRPr="003A0C5C">
              <w:t>Southern California Association of Governments</w:t>
            </w:r>
          </w:p>
        </w:tc>
      </w:tr>
      <w:tr w:rsidR="003A0C5C" w:rsidRPr="003A0C5C" w14:paraId="0973B95A" w14:textId="77777777" w:rsidTr="00073188">
        <w:tc>
          <w:tcPr>
            <w:tcW w:w="3685" w:type="dxa"/>
          </w:tcPr>
          <w:p w14:paraId="5B3032BB" w14:textId="77777777" w:rsidR="00073188" w:rsidRPr="003A0C5C" w:rsidRDefault="00073188" w:rsidP="00DD5380">
            <w:pPr>
              <w:pStyle w:val="1space"/>
              <w:spacing w:before="20" w:after="20"/>
            </w:pPr>
            <w:r w:rsidRPr="003A0C5C">
              <w:t>SCAQMD</w:t>
            </w:r>
          </w:p>
        </w:tc>
        <w:tc>
          <w:tcPr>
            <w:tcW w:w="4945" w:type="dxa"/>
          </w:tcPr>
          <w:p w14:paraId="631721AC" w14:textId="77777777" w:rsidR="00073188" w:rsidRPr="003A0C5C" w:rsidRDefault="00073188" w:rsidP="00DD5380">
            <w:pPr>
              <w:pStyle w:val="1space"/>
              <w:spacing w:before="20" w:after="20"/>
            </w:pPr>
            <w:r w:rsidRPr="003A0C5C">
              <w:t>South Coast Air Quality Management District</w:t>
            </w:r>
          </w:p>
        </w:tc>
      </w:tr>
      <w:tr w:rsidR="003A0C5C" w:rsidRPr="003A0C5C" w14:paraId="393E520E" w14:textId="77777777" w:rsidTr="00073188">
        <w:tc>
          <w:tcPr>
            <w:tcW w:w="3685" w:type="dxa"/>
          </w:tcPr>
          <w:p w14:paraId="379A5A75" w14:textId="77777777" w:rsidR="00073188" w:rsidRPr="003A0C5C" w:rsidRDefault="00073188" w:rsidP="00DD5380">
            <w:pPr>
              <w:pStyle w:val="1space"/>
              <w:spacing w:before="20" w:after="20"/>
            </w:pPr>
            <w:r w:rsidRPr="003A0C5C">
              <w:t>SCCIC</w:t>
            </w:r>
          </w:p>
        </w:tc>
        <w:tc>
          <w:tcPr>
            <w:tcW w:w="4945" w:type="dxa"/>
          </w:tcPr>
          <w:p w14:paraId="378D0D27" w14:textId="77777777" w:rsidR="00073188" w:rsidRPr="003A0C5C" w:rsidRDefault="00073188" w:rsidP="00DD5380">
            <w:pPr>
              <w:pStyle w:val="1space"/>
              <w:spacing w:before="20" w:after="20"/>
            </w:pPr>
            <w:r w:rsidRPr="003A0C5C">
              <w:t>South Central Coastal Information Center</w:t>
            </w:r>
          </w:p>
        </w:tc>
      </w:tr>
      <w:tr w:rsidR="003A0C5C" w:rsidRPr="003A0C5C" w14:paraId="38608F1E" w14:textId="77777777" w:rsidTr="00073188">
        <w:tc>
          <w:tcPr>
            <w:tcW w:w="3685" w:type="dxa"/>
          </w:tcPr>
          <w:p w14:paraId="26DEC877" w14:textId="77777777" w:rsidR="00073188" w:rsidRPr="003A0C5C" w:rsidRDefault="00073188" w:rsidP="00DD5380">
            <w:pPr>
              <w:pStyle w:val="1space"/>
              <w:spacing w:before="20" w:after="20"/>
            </w:pPr>
            <w:r w:rsidRPr="003A0C5C">
              <w:t>SCE</w:t>
            </w:r>
          </w:p>
        </w:tc>
        <w:tc>
          <w:tcPr>
            <w:tcW w:w="4945" w:type="dxa"/>
          </w:tcPr>
          <w:p w14:paraId="4BBD4DDA" w14:textId="77777777" w:rsidR="00073188" w:rsidRPr="003A0C5C" w:rsidRDefault="00073188" w:rsidP="00DD5380">
            <w:pPr>
              <w:pStyle w:val="1space"/>
              <w:spacing w:before="20" w:after="20"/>
            </w:pPr>
            <w:r w:rsidRPr="003A0C5C">
              <w:t>Southern California Edison</w:t>
            </w:r>
          </w:p>
        </w:tc>
      </w:tr>
      <w:tr w:rsidR="003A0C5C" w:rsidRPr="003A0C5C" w14:paraId="0FE92816" w14:textId="77777777" w:rsidTr="00073188">
        <w:tc>
          <w:tcPr>
            <w:tcW w:w="3685" w:type="dxa"/>
          </w:tcPr>
          <w:p w14:paraId="6B5F5374" w14:textId="77777777" w:rsidR="00073188" w:rsidRPr="003A0C5C" w:rsidRDefault="00073188" w:rsidP="00DD5380">
            <w:pPr>
              <w:pStyle w:val="1space"/>
              <w:spacing w:before="20" w:after="20"/>
            </w:pPr>
            <w:r w:rsidRPr="003A0C5C">
              <w:t>SF</w:t>
            </w:r>
            <w:r w:rsidRPr="003A0C5C">
              <w:rPr>
                <w:vertAlign w:val="subscript"/>
              </w:rPr>
              <w:t>6</w:t>
            </w:r>
          </w:p>
        </w:tc>
        <w:tc>
          <w:tcPr>
            <w:tcW w:w="4945" w:type="dxa"/>
          </w:tcPr>
          <w:p w14:paraId="43117603" w14:textId="77777777" w:rsidR="00073188" w:rsidRPr="003A0C5C" w:rsidRDefault="00073188" w:rsidP="00DD5380">
            <w:pPr>
              <w:pStyle w:val="1space"/>
              <w:spacing w:before="20" w:after="20"/>
            </w:pPr>
            <w:r w:rsidRPr="003A0C5C">
              <w:t>sulfur hexafluoride</w:t>
            </w:r>
          </w:p>
        </w:tc>
      </w:tr>
      <w:tr w:rsidR="003A0C5C" w:rsidRPr="003A0C5C" w14:paraId="5C1B1A9E" w14:textId="77777777" w:rsidTr="00073188">
        <w:tc>
          <w:tcPr>
            <w:tcW w:w="3685" w:type="dxa"/>
          </w:tcPr>
          <w:p w14:paraId="7EB3830B" w14:textId="77777777" w:rsidR="00073188" w:rsidRPr="003A0C5C" w:rsidRDefault="00073188" w:rsidP="00DD5380">
            <w:pPr>
              <w:pStyle w:val="1space"/>
              <w:spacing w:before="20" w:after="20"/>
            </w:pPr>
            <w:r w:rsidRPr="003A0C5C">
              <w:t>SIP</w:t>
            </w:r>
          </w:p>
        </w:tc>
        <w:tc>
          <w:tcPr>
            <w:tcW w:w="4945" w:type="dxa"/>
          </w:tcPr>
          <w:p w14:paraId="47B73FE5" w14:textId="77777777" w:rsidR="00073188" w:rsidRPr="003A0C5C" w:rsidRDefault="00073188" w:rsidP="00DD5380">
            <w:pPr>
              <w:pStyle w:val="1space"/>
              <w:spacing w:before="20" w:after="20"/>
            </w:pPr>
            <w:r w:rsidRPr="003A0C5C">
              <w:t>state implementation plan</w:t>
            </w:r>
          </w:p>
        </w:tc>
      </w:tr>
      <w:tr w:rsidR="003A0C5C" w:rsidRPr="003A0C5C" w14:paraId="605763D2" w14:textId="77777777" w:rsidTr="00073188">
        <w:tc>
          <w:tcPr>
            <w:tcW w:w="3685" w:type="dxa"/>
          </w:tcPr>
          <w:p w14:paraId="16D904DB" w14:textId="77777777" w:rsidR="00073188" w:rsidRPr="003A0C5C" w:rsidRDefault="00073188" w:rsidP="00DD5380">
            <w:pPr>
              <w:pStyle w:val="1space"/>
              <w:spacing w:before="20" w:after="20"/>
            </w:pPr>
            <w:r w:rsidRPr="003A0C5C">
              <w:t>SLF</w:t>
            </w:r>
          </w:p>
        </w:tc>
        <w:tc>
          <w:tcPr>
            <w:tcW w:w="4945" w:type="dxa"/>
          </w:tcPr>
          <w:p w14:paraId="1E9BF6CA" w14:textId="77777777" w:rsidR="00073188" w:rsidRPr="003A0C5C" w:rsidRDefault="00073188" w:rsidP="00DD5380">
            <w:pPr>
              <w:pStyle w:val="1space"/>
              <w:spacing w:before="20" w:after="20"/>
            </w:pPr>
            <w:r w:rsidRPr="003A0C5C">
              <w:t>Sacred Lands File</w:t>
            </w:r>
          </w:p>
        </w:tc>
      </w:tr>
      <w:tr w:rsidR="003A0C5C" w:rsidRPr="003A0C5C" w14:paraId="15A400FA" w14:textId="77777777" w:rsidTr="00073188">
        <w:tc>
          <w:tcPr>
            <w:tcW w:w="3685" w:type="dxa"/>
          </w:tcPr>
          <w:p w14:paraId="139D5139" w14:textId="77777777" w:rsidR="00073188" w:rsidRPr="003A0C5C" w:rsidRDefault="00073188" w:rsidP="00DD5380">
            <w:pPr>
              <w:pStyle w:val="1space"/>
              <w:spacing w:before="20" w:after="20"/>
            </w:pPr>
            <w:r w:rsidRPr="003A0C5C">
              <w:t>SLM</w:t>
            </w:r>
          </w:p>
        </w:tc>
        <w:tc>
          <w:tcPr>
            <w:tcW w:w="4945" w:type="dxa"/>
          </w:tcPr>
          <w:p w14:paraId="1541BAB2" w14:textId="77777777" w:rsidR="00073188" w:rsidRPr="003A0C5C" w:rsidRDefault="00073188" w:rsidP="00DD5380">
            <w:pPr>
              <w:pStyle w:val="1space"/>
              <w:spacing w:before="20" w:after="20"/>
            </w:pPr>
            <w:r w:rsidRPr="003A0C5C">
              <w:t>Sound Level Meter</w:t>
            </w:r>
          </w:p>
        </w:tc>
      </w:tr>
      <w:tr w:rsidR="003A0C5C" w:rsidRPr="003A0C5C" w14:paraId="283F1E74" w14:textId="77777777" w:rsidTr="00073188">
        <w:tc>
          <w:tcPr>
            <w:tcW w:w="3685" w:type="dxa"/>
          </w:tcPr>
          <w:p w14:paraId="4FC64725" w14:textId="77777777" w:rsidR="00073188" w:rsidRPr="003A0C5C" w:rsidRDefault="00073188" w:rsidP="00DD5380">
            <w:pPr>
              <w:pStyle w:val="1space"/>
              <w:spacing w:before="20" w:after="20"/>
            </w:pPr>
            <w:r w:rsidRPr="003A0C5C">
              <w:t>SMP</w:t>
            </w:r>
          </w:p>
        </w:tc>
        <w:tc>
          <w:tcPr>
            <w:tcW w:w="4945" w:type="dxa"/>
          </w:tcPr>
          <w:p w14:paraId="04A4257F" w14:textId="77777777" w:rsidR="00073188" w:rsidRPr="003A0C5C" w:rsidRDefault="00073188" w:rsidP="00DD5380">
            <w:pPr>
              <w:pStyle w:val="1space"/>
              <w:spacing w:before="20" w:after="20"/>
            </w:pPr>
            <w:r w:rsidRPr="003A0C5C">
              <w:t>Soil Management Plan</w:t>
            </w:r>
          </w:p>
        </w:tc>
      </w:tr>
      <w:tr w:rsidR="003A0C5C" w:rsidRPr="003A0C5C" w14:paraId="2C538C58" w14:textId="77777777" w:rsidTr="00073188">
        <w:tc>
          <w:tcPr>
            <w:tcW w:w="3685" w:type="dxa"/>
          </w:tcPr>
          <w:p w14:paraId="18800D27" w14:textId="77777777" w:rsidR="00073188" w:rsidRPr="003A0C5C" w:rsidRDefault="00073188" w:rsidP="00DD5380">
            <w:pPr>
              <w:pStyle w:val="1space"/>
              <w:spacing w:before="20" w:after="20"/>
            </w:pPr>
            <w:r w:rsidRPr="003A0C5C">
              <w:t>SO</w:t>
            </w:r>
            <w:r w:rsidRPr="003A0C5C">
              <w:rPr>
                <w:vertAlign w:val="subscript"/>
              </w:rPr>
              <w:t>2</w:t>
            </w:r>
          </w:p>
        </w:tc>
        <w:tc>
          <w:tcPr>
            <w:tcW w:w="4945" w:type="dxa"/>
          </w:tcPr>
          <w:p w14:paraId="03854FD0" w14:textId="77777777" w:rsidR="00073188" w:rsidRPr="003A0C5C" w:rsidRDefault="00073188" w:rsidP="00DD5380">
            <w:pPr>
              <w:pStyle w:val="1space"/>
              <w:spacing w:before="20" w:after="20"/>
            </w:pPr>
            <w:r w:rsidRPr="003A0C5C">
              <w:t>sulfur dioxide</w:t>
            </w:r>
          </w:p>
        </w:tc>
      </w:tr>
      <w:tr w:rsidR="003A0C5C" w:rsidRPr="003A0C5C" w14:paraId="597D1662" w14:textId="77777777" w:rsidTr="00073188">
        <w:tc>
          <w:tcPr>
            <w:tcW w:w="3685" w:type="dxa"/>
          </w:tcPr>
          <w:p w14:paraId="1C3BE523" w14:textId="77777777" w:rsidR="00073188" w:rsidRPr="003A0C5C" w:rsidRDefault="00073188" w:rsidP="00DD5380">
            <w:pPr>
              <w:pStyle w:val="1space"/>
              <w:spacing w:before="20" w:after="20"/>
            </w:pPr>
            <w:r w:rsidRPr="003A0C5C">
              <w:t>SoCalGas</w:t>
            </w:r>
          </w:p>
        </w:tc>
        <w:tc>
          <w:tcPr>
            <w:tcW w:w="4945" w:type="dxa"/>
          </w:tcPr>
          <w:p w14:paraId="40D22909" w14:textId="77777777" w:rsidR="00073188" w:rsidRPr="003A0C5C" w:rsidRDefault="00073188" w:rsidP="00DD5380">
            <w:pPr>
              <w:pStyle w:val="1space"/>
              <w:spacing w:before="20" w:after="20"/>
            </w:pPr>
            <w:r w:rsidRPr="003A0C5C">
              <w:t>Southern California Gas Company</w:t>
            </w:r>
          </w:p>
        </w:tc>
      </w:tr>
      <w:tr w:rsidR="003A0C5C" w:rsidRPr="003A0C5C" w14:paraId="33AD5F7C" w14:textId="77777777" w:rsidTr="00073188">
        <w:tc>
          <w:tcPr>
            <w:tcW w:w="3685" w:type="dxa"/>
          </w:tcPr>
          <w:p w14:paraId="2ED09ED2" w14:textId="77777777" w:rsidR="00073188" w:rsidRPr="003A0C5C" w:rsidRDefault="00073188" w:rsidP="00DD5380">
            <w:pPr>
              <w:pStyle w:val="1space"/>
              <w:spacing w:before="20" w:after="20"/>
            </w:pPr>
            <w:r w:rsidRPr="003A0C5C">
              <w:t>SRA</w:t>
            </w:r>
          </w:p>
        </w:tc>
        <w:tc>
          <w:tcPr>
            <w:tcW w:w="4945" w:type="dxa"/>
          </w:tcPr>
          <w:p w14:paraId="1469A360" w14:textId="77777777" w:rsidR="00073188" w:rsidRPr="003A0C5C" w:rsidRDefault="00073188" w:rsidP="00DD5380">
            <w:pPr>
              <w:pStyle w:val="1space"/>
              <w:spacing w:before="20" w:after="20"/>
            </w:pPr>
            <w:r w:rsidRPr="003A0C5C">
              <w:t>Source Receptor Area</w:t>
            </w:r>
          </w:p>
        </w:tc>
      </w:tr>
      <w:tr w:rsidR="003A0C5C" w:rsidRPr="003A0C5C" w14:paraId="544FDF6D" w14:textId="77777777" w:rsidTr="00073188">
        <w:tc>
          <w:tcPr>
            <w:tcW w:w="3685" w:type="dxa"/>
          </w:tcPr>
          <w:p w14:paraId="1D34E813" w14:textId="77777777" w:rsidR="00073188" w:rsidRPr="003A0C5C" w:rsidRDefault="00073188" w:rsidP="00DD5380">
            <w:pPr>
              <w:pStyle w:val="1space"/>
              <w:spacing w:before="20" w:after="20"/>
            </w:pPr>
            <w:r w:rsidRPr="003A0C5C">
              <w:t>STC</w:t>
            </w:r>
          </w:p>
        </w:tc>
        <w:tc>
          <w:tcPr>
            <w:tcW w:w="4945" w:type="dxa"/>
          </w:tcPr>
          <w:p w14:paraId="11B7D415" w14:textId="77777777" w:rsidR="00073188" w:rsidRPr="003A0C5C" w:rsidRDefault="00073188" w:rsidP="00DD5380">
            <w:pPr>
              <w:pStyle w:val="1space"/>
              <w:spacing w:before="20" w:after="20"/>
            </w:pPr>
            <w:r w:rsidRPr="003A0C5C">
              <w:t>Sound Transmission Class</w:t>
            </w:r>
          </w:p>
        </w:tc>
      </w:tr>
      <w:tr w:rsidR="003A0C5C" w:rsidRPr="003A0C5C" w14:paraId="47F85B6A" w14:textId="77777777" w:rsidTr="00073188">
        <w:tc>
          <w:tcPr>
            <w:tcW w:w="3685" w:type="dxa"/>
          </w:tcPr>
          <w:p w14:paraId="173B4279" w14:textId="77777777" w:rsidR="00073188" w:rsidRPr="003A0C5C" w:rsidRDefault="00073188" w:rsidP="00DD5380">
            <w:pPr>
              <w:pStyle w:val="1space"/>
              <w:spacing w:before="20" w:after="20"/>
            </w:pPr>
            <w:r w:rsidRPr="003A0C5C">
              <w:t>SUSMP</w:t>
            </w:r>
          </w:p>
        </w:tc>
        <w:tc>
          <w:tcPr>
            <w:tcW w:w="4945" w:type="dxa"/>
          </w:tcPr>
          <w:p w14:paraId="5771E8AF" w14:textId="77777777" w:rsidR="00073188" w:rsidRPr="003A0C5C" w:rsidRDefault="00073188" w:rsidP="00DD5380">
            <w:pPr>
              <w:pStyle w:val="1space"/>
              <w:spacing w:before="20" w:after="20"/>
            </w:pPr>
            <w:r w:rsidRPr="003A0C5C">
              <w:t>Standard Urban Stormwater Mitigation Plan</w:t>
            </w:r>
          </w:p>
        </w:tc>
      </w:tr>
      <w:tr w:rsidR="003A0C5C" w:rsidRPr="003A0C5C" w14:paraId="15CFD4AC" w14:textId="77777777" w:rsidTr="00073188">
        <w:tc>
          <w:tcPr>
            <w:tcW w:w="3685" w:type="dxa"/>
          </w:tcPr>
          <w:p w14:paraId="1DD7C32F" w14:textId="77777777" w:rsidR="00073188" w:rsidRPr="003A0C5C" w:rsidRDefault="00073188" w:rsidP="00DD5380">
            <w:pPr>
              <w:pStyle w:val="1space"/>
              <w:spacing w:before="20" w:after="20"/>
            </w:pPr>
            <w:r w:rsidRPr="003A0C5C">
              <w:t>SWPPP</w:t>
            </w:r>
          </w:p>
        </w:tc>
        <w:tc>
          <w:tcPr>
            <w:tcW w:w="4945" w:type="dxa"/>
          </w:tcPr>
          <w:p w14:paraId="79679519" w14:textId="77777777" w:rsidR="00073188" w:rsidRPr="003A0C5C" w:rsidRDefault="00073188" w:rsidP="00DD5380">
            <w:pPr>
              <w:pStyle w:val="1space"/>
              <w:spacing w:before="20" w:after="20"/>
            </w:pPr>
            <w:r w:rsidRPr="003A0C5C">
              <w:t>Stormwater Pollution Prevention Plan</w:t>
            </w:r>
          </w:p>
        </w:tc>
      </w:tr>
      <w:tr w:rsidR="003A0C5C" w:rsidRPr="003A0C5C" w14:paraId="736C1598" w14:textId="77777777" w:rsidTr="00073188">
        <w:tc>
          <w:tcPr>
            <w:tcW w:w="3685" w:type="dxa"/>
          </w:tcPr>
          <w:p w14:paraId="611E963C" w14:textId="77777777" w:rsidR="00073188" w:rsidRPr="003A0C5C" w:rsidRDefault="00073188" w:rsidP="00DD5380">
            <w:pPr>
              <w:pStyle w:val="1space"/>
              <w:spacing w:before="20" w:after="20"/>
            </w:pPr>
            <w:r w:rsidRPr="003A0C5C">
              <w:t>SWRCB</w:t>
            </w:r>
          </w:p>
        </w:tc>
        <w:tc>
          <w:tcPr>
            <w:tcW w:w="4945" w:type="dxa"/>
          </w:tcPr>
          <w:p w14:paraId="6D766E23" w14:textId="77777777" w:rsidR="00073188" w:rsidRPr="003A0C5C" w:rsidRDefault="00073188" w:rsidP="00DD5380">
            <w:pPr>
              <w:pStyle w:val="1space"/>
              <w:spacing w:before="20" w:after="20"/>
            </w:pPr>
            <w:r w:rsidRPr="003A0C5C">
              <w:t>State Water Regional Control Board</w:t>
            </w:r>
          </w:p>
        </w:tc>
      </w:tr>
      <w:tr w:rsidR="003A0C5C" w:rsidRPr="003A0C5C" w14:paraId="4E013132" w14:textId="77777777" w:rsidTr="00073188">
        <w:tc>
          <w:tcPr>
            <w:tcW w:w="3685" w:type="dxa"/>
          </w:tcPr>
          <w:p w14:paraId="1485632E" w14:textId="77777777" w:rsidR="00073188" w:rsidRPr="003A0C5C" w:rsidRDefault="00073188" w:rsidP="00DD5380">
            <w:pPr>
              <w:pStyle w:val="1space"/>
              <w:spacing w:before="20" w:after="20"/>
            </w:pPr>
            <w:r w:rsidRPr="003A0C5C">
              <w:t>TAC</w:t>
            </w:r>
          </w:p>
        </w:tc>
        <w:tc>
          <w:tcPr>
            <w:tcW w:w="4945" w:type="dxa"/>
          </w:tcPr>
          <w:p w14:paraId="5C3A9208" w14:textId="77777777" w:rsidR="00073188" w:rsidRPr="003A0C5C" w:rsidRDefault="00073188" w:rsidP="00DD5380">
            <w:pPr>
              <w:pStyle w:val="1space"/>
              <w:spacing w:before="20" w:after="20"/>
            </w:pPr>
            <w:r w:rsidRPr="003A0C5C">
              <w:t>toxic air contaminants</w:t>
            </w:r>
          </w:p>
        </w:tc>
      </w:tr>
      <w:tr w:rsidR="003A0C5C" w:rsidRPr="003A0C5C" w14:paraId="759F7CE7" w14:textId="77777777" w:rsidTr="00073188">
        <w:tc>
          <w:tcPr>
            <w:tcW w:w="3685" w:type="dxa"/>
          </w:tcPr>
          <w:p w14:paraId="1EC92169" w14:textId="77777777" w:rsidR="00073188" w:rsidRPr="003A0C5C" w:rsidRDefault="00073188" w:rsidP="00DD5380">
            <w:pPr>
              <w:pStyle w:val="1space"/>
              <w:spacing w:before="20" w:after="20"/>
            </w:pPr>
            <w:r w:rsidRPr="003A0C5C">
              <w:t>TNM</w:t>
            </w:r>
          </w:p>
        </w:tc>
        <w:tc>
          <w:tcPr>
            <w:tcW w:w="4945" w:type="dxa"/>
          </w:tcPr>
          <w:p w14:paraId="25136F3F" w14:textId="77777777" w:rsidR="00073188" w:rsidRPr="003A0C5C" w:rsidRDefault="00073188" w:rsidP="00DD5380">
            <w:pPr>
              <w:pStyle w:val="1space"/>
              <w:spacing w:before="20" w:after="20"/>
            </w:pPr>
            <w:r w:rsidRPr="003A0C5C">
              <w:t>Traffic Noise Model</w:t>
            </w:r>
          </w:p>
        </w:tc>
      </w:tr>
      <w:tr w:rsidR="003A0C5C" w:rsidRPr="003A0C5C" w14:paraId="6941676C" w14:textId="77777777" w:rsidTr="00073188">
        <w:tc>
          <w:tcPr>
            <w:tcW w:w="3685" w:type="dxa"/>
          </w:tcPr>
          <w:p w14:paraId="0287B2E4" w14:textId="77777777" w:rsidR="00073188" w:rsidRPr="003A0C5C" w:rsidRDefault="00073188" w:rsidP="00DD5380">
            <w:pPr>
              <w:pStyle w:val="1space"/>
              <w:spacing w:before="20" w:after="20"/>
            </w:pPr>
            <w:r w:rsidRPr="003A0C5C">
              <w:t>USFWS</w:t>
            </w:r>
          </w:p>
        </w:tc>
        <w:tc>
          <w:tcPr>
            <w:tcW w:w="4945" w:type="dxa"/>
          </w:tcPr>
          <w:p w14:paraId="2AE689CE" w14:textId="77777777" w:rsidR="00073188" w:rsidRPr="003A0C5C" w:rsidRDefault="00073188" w:rsidP="00DD5380">
            <w:pPr>
              <w:pStyle w:val="1space"/>
              <w:spacing w:before="20" w:after="20"/>
            </w:pPr>
            <w:r w:rsidRPr="003A0C5C">
              <w:t>U.S. Fish and Wildlife Service</w:t>
            </w:r>
          </w:p>
        </w:tc>
      </w:tr>
      <w:tr w:rsidR="003A0C5C" w:rsidRPr="003A0C5C" w14:paraId="2B22C831" w14:textId="77777777" w:rsidTr="00073188">
        <w:tc>
          <w:tcPr>
            <w:tcW w:w="3685" w:type="dxa"/>
          </w:tcPr>
          <w:p w14:paraId="0D2984F0" w14:textId="77777777" w:rsidR="00073188" w:rsidRPr="003A0C5C" w:rsidRDefault="00073188" w:rsidP="00DD5380">
            <w:pPr>
              <w:pStyle w:val="1space"/>
              <w:spacing w:before="20" w:after="20"/>
            </w:pPr>
            <w:r w:rsidRPr="003A0C5C">
              <w:t>UWMP</w:t>
            </w:r>
          </w:p>
        </w:tc>
        <w:tc>
          <w:tcPr>
            <w:tcW w:w="4945" w:type="dxa"/>
          </w:tcPr>
          <w:p w14:paraId="0CDD917B" w14:textId="77777777" w:rsidR="00073188" w:rsidRPr="003A0C5C" w:rsidRDefault="00073188" w:rsidP="00DD5380">
            <w:pPr>
              <w:pStyle w:val="1space"/>
              <w:spacing w:before="20" w:after="20"/>
            </w:pPr>
            <w:r w:rsidRPr="003A0C5C">
              <w:t>Urban Water Management Plan</w:t>
            </w:r>
          </w:p>
        </w:tc>
      </w:tr>
      <w:tr w:rsidR="003A0C5C" w:rsidRPr="003A0C5C" w14:paraId="57C52C8B" w14:textId="77777777" w:rsidTr="00073188">
        <w:tc>
          <w:tcPr>
            <w:tcW w:w="3685" w:type="dxa"/>
          </w:tcPr>
          <w:p w14:paraId="7066D597" w14:textId="77777777" w:rsidR="00073188" w:rsidRPr="003A0C5C" w:rsidRDefault="00073188" w:rsidP="00DD5380">
            <w:pPr>
              <w:pStyle w:val="1space"/>
              <w:spacing w:before="20" w:after="20"/>
            </w:pPr>
            <w:proofErr w:type="spellStart"/>
            <w:r w:rsidRPr="003A0C5C">
              <w:t>VdB</w:t>
            </w:r>
            <w:proofErr w:type="spellEnd"/>
          </w:p>
        </w:tc>
        <w:tc>
          <w:tcPr>
            <w:tcW w:w="4945" w:type="dxa"/>
          </w:tcPr>
          <w:p w14:paraId="341D013C" w14:textId="77777777" w:rsidR="00073188" w:rsidRPr="003A0C5C" w:rsidRDefault="00073188" w:rsidP="00DD5380">
            <w:pPr>
              <w:pStyle w:val="1space"/>
              <w:spacing w:before="20" w:after="20"/>
            </w:pPr>
            <w:r w:rsidRPr="003A0C5C">
              <w:t>velocity in decibels</w:t>
            </w:r>
          </w:p>
        </w:tc>
      </w:tr>
      <w:tr w:rsidR="003A0C5C" w:rsidRPr="003A0C5C" w14:paraId="404DC4E3" w14:textId="77777777" w:rsidTr="00073188">
        <w:tc>
          <w:tcPr>
            <w:tcW w:w="3685" w:type="dxa"/>
          </w:tcPr>
          <w:p w14:paraId="424AB0DB" w14:textId="77777777" w:rsidR="00073188" w:rsidRPr="003A0C5C" w:rsidRDefault="00073188" w:rsidP="00DD5380">
            <w:pPr>
              <w:pStyle w:val="1space"/>
              <w:spacing w:before="20" w:after="20"/>
            </w:pPr>
            <w:r w:rsidRPr="003A0C5C">
              <w:t>VMT</w:t>
            </w:r>
          </w:p>
        </w:tc>
        <w:tc>
          <w:tcPr>
            <w:tcW w:w="4945" w:type="dxa"/>
          </w:tcPr>
          <w:p w14:paraId="466F8BAA" w14:textId="77777777" w:rsidR="00073188" w:rsidRPr="003A0C5C" w:rsidRDefault="00073188" w:rsidP="00DD5380">
            <w:pPr>
              <w:pStyle w:val="1space"/>
              <w:spacing w:before="20" w:after="20"/>
            </w:pPr>
            <w:r w:rsidRPr="003A0C5C">
              <w:t>vehicle miles traveled</w:t>
            </w:r>
          </w:p>
        </w:tc>
      </w:tr>
      <w:tr w:rsidR="003A0C5C" w:rsidRPr="003A0C5C" w14:paraId="48C78B7C" w14:textId="77777777" w:rsidTr="00073188">
        <w:tc>
          <w:tcPr>
            <w:tcW w:w="3685" w:type="dxa"/>
          </w:tcPr>
          <w:p w14:paraId="028700ED" w14:textId="77777777" w:rsidR="00073188" w:rsidRPr="003A0C5C" w:rsidRDefault="00073188" w:rsidP="00DD5380">
            <w:pPr>
              <w:pStyle w:val="1space"/>
              <w:spacing w:before="20" w:after="20"/>
            </w:pPr>
            <w:r w:rsidRPr="003A0C5C">
              <w:t>VOC</w:t>
            </w:r>
          </w:p>
        </w:tc>
        <w:tc>
          <w:tcPr>
            <w:tcW w:w="4945" w:type="dxa"/>
          </w:tcPr>
          <w:p w14:paraId="103B2A04" w14:textId="77777777" w:rsidR="00073188" w:rsidRPr="003A0C5C" w:rsidRDefault="00073188" w:rsidP="00DD5380">
            <w:pPr>
              <w:pStyle w:val="1space"/>
              <w:spacing w:before="20" w:after="20"/>
            </w:pPr>
            <w:r w:rsidRPr="003A0C5C">
              <w:t>volatile organic compound</w:t>
            </w:r>
          </w:p>
        </w:tc>
      </w:tr>
    </w:tbl>
    <w:p w14:paraId="3E968ACE" w14:textId="72623684" w:rsidR="00073188" w:rsidRPr="003A0C5C" w:rsidRDefault="00073188">
      <w:pPr>
        <w:spacing w:after="200" w:line="276" w:lineRule="auto"/>
        <w:rPr>
          <w:highlight w:val="yellow"/>
        </w:rPr>
      </w:pPr>
      <w:r w:rsidRPr="003A0C5C">
        <w:rPr>
          <w:highlight w:val="yellow"/>
        </w:rPr>
        <w:br w:type="page"/>
      </w:r>
    </w:p>
    <w:p w14:paraId="6AB90BAB" w14:textId="77777777" w:rsidR="00073188" w:rsidRPr="003A0C5C" w:rsidRDefault="00073188" w:rsidP="00073188">
      <w:pPr>
        <w:pStyle w:val="BlankPage"/>
        <w:framePr w:wrap="around"/>
      </w:pPr>
      <w:r w:rsidRPr="003A0C5C">
        <w:lastRenderedPageBreak/>
        <w:t>Page intentionally blank</w:t>
      </w:r>
    </w:p>
    <w:p w14:paraId="4F19FB64" w14:textId="77777777" w:rsidR="00EE1CFD" w:rsidRPr="003A0C5C" w:rsidRDefault="00EE1CFD" w:rsidP="0031316C">
      <w:pPr>
        <w:rPr>
          <w:highlight w:val="yellow"/>
        </w:rPr>
      </w:pPr>
    </w:p>
    <w:p w14:paraId="6E2E5311" w14:textId="33228A22" w:rsidR="00073188" w:rsidRPr="003A0C5C" w:rsidRDefault="00073188" w:rsidP="0031316C">
      <w:pPr>
        <w:rPr>
          <w:highlight w:val="yellow"/>
        </w:rPr>
        <w:sectPr w:rsidR="00073188" w:rsidRPr="003A0C5C" w:rsidSect="0026180B">
          <w:headerReference w:type="even" r:id="rId26"/>
          <w:headerReference w:type="default" r:id="rId27"/>
          <w:headerReference w:type="first" r:id="rId28"/>
          <w:pgSz w:w="12240" w:h="15840" w:code="1"/>
          <w:pgMar w:top="1440" w:right="1800" w:bottom="1440" w:left="1800" w:header="720" w:footer="576" w:gutter="0"/>
          <w:pgNumType w:fmt="lowerRoman"/>
          <w:cols w:space="720"/>
          <w:titlePg/>
          <w:docGrid w:linePitch="360"/>
        </w:sectPr>
      </w:pPr>
    </w:p>
    <w:p w14:paraId="7C21063C" w14:textId="696109E5" w:rsidR="004F426E" w:rsidRPr="003A0C5C" w:rsidRDefault="004F426E" w:rsidP="00133AD7">
      <w:pPr>
        <w:pStyle w:val="Heading1"/>
      </w:pPr>
      <w:bookmarkStart w:id="1" w:name="_Toc74760330"/>
      <w:bookmarkStart w:id="2" w:name="_Toc94184383"/>
      <w:bookmarkStart w:id="3" w:name="_Toc99526959"/>
      <w:bookmarkStart w:id="4" w:name="_Toc101791965"/>
      <w:r w:rsidRPr="003A0C5C">
        <w:lastRenderedPageBreak/>
        <w:t>Chapter</w:t>
      </w:r>
      <w:r w:rsidR="00544EBB" w:rsidRPr="003A0C5C">
        <w:t> </w:t>
      </w:r>
      <w:r w:rsidRPr="003A0C5C">
        <w:t>1</w:t>
      </w:r>
      <w:bookmarkEnd w:id="1"/>
      <w:bookmarkEnd w:id="2"/>
      <w:bookmarkEnd w:id="3"/>
      <w:bookmarkEnd w:id="4"/>
    </w:p>
    <w:p w14:paraId="19F9263B" w14:textId="77777777" w:rsidR="004F426E" w:rsidRPr="003A0C5C" w:rsidRDefault="004F426E" w:rsidP="00133AD7">
      <w:pPr>
        <w:pStyle w:val="Heading2"/>
      </w:pPr>
      <w:bookmarkStart w:id="5" w:name="_Toc101791966"/>
      <w:r w:rsidRPr="003A0C5C">
        <w:t>Introduction</w:t>
      </w:r>
      <w:bookmarkEnd w:id="5"/>
    </w:p>
    <w:tbl>
      <w:tblPr>
        <w:tblW w:w="0" w:type="auto"/>
        <w:tblInd w:w="-90" w:type="dxa"/>
        <w:tblLook w:val="01E0" w:firstRow="1" w:lastRow="1" w:firstColumn="1" w:lastColumn="1" w:noHBand="0" w:noVBand="0"/>
      </w:tblPr>
      <w:tblGrid>
        <w:gridCol w:w="4410"/>
        <w:gridCol w:w="4230"/>
      </w:tblGrid>
      <w:tr w:rsidR="003A0C5C" w:rsidRPr="003A0C5C" w14:paraId="13D93FF3" w14:textId="77777777" w:rsidTr="00355E1F">
        <w:tc>
          <w:tcPr>
            <w:tcW w:w="4410" w:type="dxa"/>
          </w:tcPr>
          <w:p w14:paraId="063C77C9" w14:textId="77777777" w:rsidR="004F426E" w:rsidRPr="003A0C5C" w:rsidRDefault="004F426E" w:rsidP="00133AD7">
            <w:pPr>
              <w:pStyle w:val="n1"/>
              <w:tabs>
                <w:tab w:val="left" w:pos="360"/>
              </w:tabs>
              <w:rPr>
                <w:rFonts w:cs="Arial"/>
                <w:sz w:val="21"/>
                <w:szCs w:val="21"/>
              </w:rPr>
            </w:pPr>
            <w:r w:rsidRPr="003A0C5C">
              <w:rPr>
                <w:rFonts w:cs="Arial"/>
                <w:sz w:val="21"/>
                <w:szCs w:val="21"/>
              </w:rPr>
              <w:t>1.</w:t>
            </w:r>
            <w:r w:rsidRPr="003A0C5C">
              <w:rPr>
                <w:rFonts w:cs="Arial"/>
                <w:sz w:val="21"/>
                <w:szCs w:val="21"/>
              </w:rPr>
              <w:tab/>
              <w:t>Project Title:</w:t>
            </w:r>
          </w:p>
        </w:tc>
        <w:tc>
          <w:tcPr>
            <w:tcW w:w="4230" w:type="dxa"/>
          </w:tcPr>
          <w:p w14:paraId="2503CBC5" w14:textId="1AFE514E" w:rsidR="004F426E" w:rsidRPr="003A0C5C" w:rsidRDefault="00831960" w:rsidP="008B0DDC">
            <w:r w:rsidRPr="003A0C5C">
              <w:t>21611 Perry Street Self-Storage</w:t>
            </w:r>
          </w:p>
          <w:p w14:paraId="1DAD13B1" w14:textId="77777777" w:rsidR="004F426E" w:rsidRPr="003A0C5C" w:rsidRDefault="004F426E" w:rsidP="008B0DDC"/>
        </w:tc>
      </w:tr>
      <w:tr w:rsidR="003A0C5C" w:rsidRPr="003A0C5C" w14:paraId="37D646BE" w14:textId="77777777" w:rsidTr="00355E1F">
        <w:tc>
          <w:tcPr>
            <w:tcW w:w="4410" w:type="dxa"/>
          </w:tcPr>
          <w:p w14:paraId="10770E2B" w14:textId="77777777" w:rsidR="004F426E" w:rsidRPr="003A0C5C" w:rsidRDefault="004F426E" w:rsidP="00133AD7">
            <w:pPr>
              <w:pStyle w:val="n1"/>
              <w:tabs>
                <w:tab w:val="left" w:pos="360"/>
              </w:tabs>
              <w:rPr>
                <w:rFonts w:cs="Arial"/>
                <w:sz w:val="21"/>
                <w:szCs w:val="21"/>
              </w:rPr>
            </w:pPr>
            <w:r w:rsidRPr="003A0C5C">
              <w:rPr>
                <w:rFonts w:cs="Arial"/>
                <w:sz w:val="21"/>
                <w:szCs w:val="21"/>
              </w:rPr>
              <w:t>2.</w:t>
            </w:r>
            <w:r w:rsidRPr="003A0C5C">
              <w:rPr>
                <w:rFonts w:cs="Arial"/>
                <w:sz w:val="21"/>
                <w:szCs w:val="21"/>
              </w:rPr>
              <w:tab/>
              <w:t>Lead Agency Name and Address:</w:t>
            </w:r>
          </w:p>
        </w:tc>
        <w:tc>
          <w:tcPr>
            <w:tcW w:w="4230" w:type="dxa"/>
          </w:tcPr>
          <w:p w14:paraId="426746A3" w14:textId="77777777" w:rsidR="004F426E" w:rsidRPr="003A0C5C" w:rsidRDefault="004F426E" w:rsidP="008B0DDC">
            <w:r w:rsidRPr="003A0C5C">
              <w:t>City of Carson</w:t>
            </w:r>
          </w:p>
          <w:p w14:paraId="0F0DABD7" w14:textId="77777777" w:rsidR="004F426E" w:rsidRPr="003A0C5C" w:rsidRDefault="004F426E" w:rsidP="008B0DDC">
            <w:r w:rsidRPr="003A0C5C">
              <w:t>Community Development Department</w:t>
            </w:r>
          </w:p>
          <w:p w14:paraId="1A861BAB" w14:textId="46D4D95E" w:rsidR="004F426E" w:rsidRPr="003A0C5C" w:rsidRDefault="004F426E" w:rsidP="008B0DDC">
            <w:r w:rsidRPr="003A0C5C">
              <w:t>701 E</w:t>
            </w:r>
            <w:r w:rsidR="005F23E3" w:rsidRPr="003A0C5C">
              <w:t>ast</w:t>
            </w:r>
            <w:r w:rsidRPr="003A0C5C">
              <w:t xml:space="preserve"> Carson Street</w:t>
            </w:r>
          </w:p>
          <w:p w14:paraId="25E02A51" w14:textId="77777777" w:rsidR="004F426E" w:rsidRPr="003A0C5C" w:rsidRDefault="004F426E" w:rsidP="008B0DDC">
            <w:r w:rsidRPr="003A0C5C">
              <w:t>Carson, CA 90745</w:t>
            </w:r>
          </w:p>
          <w:p w14:paraId="23C42BEF" w14:textId="77777777" w:rsidR="004F426E" w:rsidRPr="003A0C5C" w:rsidRDefault="004F426E" w:rsidP="008B0DDC"/>
        </w:tc>
      </w:tr>
      <w:tr w:rsidR="003A0C5C" w:rsidRPr="003A0C5C" w14:paraId="20CECE0A" w14:textId="77777777" w:rsidTr="00355E1F">
        <w:tc>
          <w:tcPr>
            <w:tcW w:w="4410" w:type="dxa"/>
          </w:tcPr>
          <w:p w14:paraId="3264B579" w14:textId="77777777" w:rsidR="004F426E" w:rsidRPr="003A0C5C" w:rsidRDefault="004F426E" w:rsidP="00133AD7">
            <w:pPr>
              <w:pStyle w:val="n1"/>
              <w:tabs>
                <w:tab w:val="left" w:pos="360"/>
              </w:tabs>
              <w:rPr>
                <w:rFonts w:cs="Arial"/>
                <w:sz w:val="21"/>
                <w:szCs w:val="21"/>
              </w:rPr>
            </w:pPr>
            <w:r w:rsidRPr="003A0C5C">
              <w:rPr>
                <w:rFonts w:cs="Arial"/>
                <w:sz w:val="21"/>
                <w:szCs w:val="21"/>
              </w:rPr>
              <w:t>3.</w:t>
            </w:r>
            <w:r w:rsidRPr="003A0C5C">
              <w:rPr>
                <w:rFonts w:cs="Arial"/>
                <w:sz w:val="21"/>
                <w:szCs w:val="21"/>
              </w:rPr>
              <w:tab/>
              <w:t>Contact Person and Phone Number:</w:t>
            </w:r>
          </w:p>
        </w:tc>
        <w:tc>
          <w:tcPr>
            <w:tcW w:w="4230" w:type="dxa"/>
          </w:tcPr>
          <w:p w14:paraId="5C92C39D" w14:textId="4D1085CB" w:rsidR="004F426E" w:rsidRPr="003A0C5C" w:rsidRDefault="00831960" w:rsidP="008B0DDC">
            <w:r w:rsidRPr="003A0C5C">
              <w:t>Stefanie Edmondson</w:t>
            </w:r>
            <w:r w:rsidR="004F426E" w:rsidRPr="003A0C5C">
              <w:t xml:space="preserve">, </w:t>
            </w:r>
            <w:r w:rsidRPr="003A0C5C">
              <w:t>Senior</w:t>
            </w:r>
            <w:r w:rsidR="00CC2CE7" w:rsidRPr="003A0C5C">
              <w:t xml:space="preserve"> Planner</w:t>
            </w:r>
          </w:p>
          <w:p w14:paraId="05674404" w14:textId="23182A21" w:rsidR="004F426E" w:rsidRPr="003A0C5C" w:rsidRDefault="004F426E" w:rsidP="008B0DDC">
            <w:r w:rsidRPr="003A0C5C">
              <w:t>(310) 952-1761</w:t>
            </w:r>
            <w:r w:rsidR="00F10738" w:rsidRPr="003A0C5C">
              <w:t xml:space="preserve"> x</w:t>
            </w:r>
            <w:r w:rsidR="00831960" w:rsidRPr="003A0C5C">
              <w:t>1322</w:t>
            </w:r>
          </w:p>
          <w:p w14:paraId="65A90918" w14:textId="77777777" w:rsidR="004F426E" w:rsidRPr="003A0C5C" w:rsidRDefault="004F426E" w:rsidP="008B0DDC"/>
        </w:tc>
      </w:tr>
      <w:tr w:rsidR="003A0C5C" w:rsidRPr="003A0C5C" w14:paraId="75915052" w14:textId="77777777" w:rsidTr="00355E1F">
        <w:tc>
          <w:tcPr>
            <w:tcW w:w="4410" w:type="dxa"/>
          </w:tcPr>
          <w:p w14:paraId="38C313D3" w14:textId="77777777" w:rsidR="004F426E" w:rsidRPr="003A0C5C" w:rsidRDefault="004F426E" w:rsidP="00133AD7">
            <w:pPr>
              <w:pStyle w:val="n1"/>
              <w:tabs>
                <w:tab w:val="left" w:pos="360"/>
              </w:tabs>
              <w:rPr>
                <w:rFonts w:cs="Arial"/>
                <w:sz w:val="21"/>
                <w:szCs w:val="21"/>
              </w:rPr>
            </w:pPr>
            <w:r w:rsidRPr="003A0C5C">
              <w:rPr>
                <w:rFonts w:cs="Arial"/>
                <w:sz w:val="21"/>
                <w:szCs w:val="21"/>
              </w:rPr>
              <w:t>4.</w:t>
            </w:r>
            <w:r w:rsidRPr="003A0C5C">
              <w:rPr>
                <w:rFonts w:cs="Arial"/>
                <w:sz w:val="21"/>
                <w:szCs w:val="21"/>
              </w:rPr>
              <w:tab/>
              <w:t>Project Location:</w:t>
            </w:r>
          </w:p>
        </w:tc>
        <w:tc>
          <w:tcPr>
            <w:tcW w:w="4230" w:type="dxa"/>
          </w:tcPr>
          <w:p w14:paraId="2EDC565A" w14:textId="3124A451" w:rsidR="004F426E" w:rsidRPr="003A0C5C" w:rsidRDefault="00831960" w:rsidP="008B0DDC">
            <w:bookmarkStart w:id="6" w:name="_Hlk90419908"/>
            <w:r w:rsidRPr="003A0C5C">
              <w:t xml:space="preserve">21611 </w:t>
            </w:r>
            <w:r w:rsidR="005F23E3" w:rsidRPr="003A0C5C">
              <w:t xml:space="preserve">South </w:t>
            </w:r>
            <w:r w:rsidRPr="003A0C5C">
              <w:t>Perry Street</w:t>
            </w:r>
          </w:p>
          <w:p w14:paraId="55E98639" w14:textId="77777777" w:rsidR="004F426E" w:rsidRPr="003A0C5C" w:rsidRDefault="004F426E" w:rsidP="008B0DDC">
            <w:r w:rsidRPr="003A0C5C">
              <w:t>Carson, CA 90</w:t>
            </w:r>
            <w:r w:rsidR="00C353D7" w:rsidRPr="003A0C5C">
              <w:t>746</w:t>
            </w:r>
          </w:p>
          <w:bookmarkEnd w:id="6"/>
          <w:p w14:paraId="7ACF1624" w14:textId="77777777" w:rsidR="004F426E" w:rsidRPr="003A0C5C" w:rsidRDefault="004F426E" w:rsidP="008B0DDC"/>
        </w:tc>
      </w:tr>
      <w:tr w:rsidR="003A0C5C" w:rsidRPr="003A0C5C" w14:paraId="0C90842A" w14:textId="77777777" w:rsidTr="00355E1F">
        <w:tc>
          <w:tcPr>
            <w:tcW w:w="4410" w:type="dxa"/>
          </w:tcPr>
          <w:p w14:paraId="62C353B2" w14:textId="531F633A" w:rsidR="004F426E" w:rsidRPr="003A0C5C" w:rsidRDefault="004F426E" w:rsidP="00133AD7">
            <w:pPr>
              <w:pStyle w:val="n1"/>
              <w:tabs>
                <w:tab w:val="left" w:pos="360"/>
              </w:tabs>
              <w:rPr>
                <w:rFonts w:cs="Arial"/>
                <w:sz w:val="21"/>
                <w:szCs w:val="21"/>
              </w:rPr>
            </w:pPr>
            <w:r w:rsidRPr="003A0C5C">
              <w:rPr>
                <w:rFonts w:cs="Arial"/>
                <w:sz w:val="21"/>
                <w:szCs w:val="21"/>
              </w:rPr>
              <w:t>5.</w:t>
            </w:r>
            <w:r w:rsidRPr="003A0C5C">
              <w:rPr>
                <w:rFonts w:cs="Arial"/>
                <w:sz w:val="21"/>
                <w:szCs w:val="21"/>
              </w:rPr>
              <w:tab/>
              <w:t>Project Sponsor</w:t>
            </w:r>
            <w:r w:rsidR="00D678AB" w:rsidRPr="003A0C5C">
              <w:rPr>
                <w:rFonts w:cs="Arial"/>
                <w:sz w:val="21"/>
                <w:szCs w:val="21"/>
              </w:rPr>
              <w:t>’</w:t>
            </w:r>
            <w:r w:rsidRPr="003A0C5C">
              <w:rPr>
                <w:rFonts w:cs="Arial"/>
                <w:sz w:val="21"/>
                <w:szCs w:val="21"/>
              </w:rPr>
              <w:t>s Name and Address:</w:t>
            </w:r>
          </w:p>
        </w:tc>
        <w:tc>
          <w:tcPr>
            <w:tcW w:w="4230" w:type="dxa"/>
          </w:tcPr>
          <w:p w14:paraId="7A6EC1E1" w14:textId="08E7CF70" w:rsidR="004F426E" w:rsidRPr="003A0C5C" w:rsidRDefault="00C4001E" w:rsidP="008B0DDC">
            <w:r w:rsidRPr="003A0C5C">
              <w:t>21611 Perry Street, LLC</w:t>
            </w:r>
          </w:p>
          <w:p w14:paraId="0610DC5D" w14:textId="423FAEF3" w:rsidR="004F426E" w:rsidRPr="003A0C5C" w:rsidRDefault="00C4001E" w:rsidP="008B0DDC">
            <w:r w:rsidRPr="003A0C5C">
              <w:t>4132 Katella Avenue, #205B</w:t>
            </w:r>
          </w:p>
          <w:p w14:paraId="4FE28692" w14:textId="511D0D3B" w:rsidR="004F426E" w:rsidRPr="003A0C5C" w:rsidRDefault="00C353D7" w:rsidP="008B0DDC">
            <w:r w:rsidRPr="003A0C5C">
              <w:t xml:space="preserve">Los </w:t>
            </w:r>
            <w:r w:rsidR="00C4001E" w:rsidRPr="003A0C5C">
              <w:t>Alamitos</w:t>
            </w:r>
            <w:r w:rsidR="004F426E" w:rsidRPr="003A0C5C">
              <w:t xml:space="preserve">, CA </w:t>
            </w:r>
            <w:r w:rsidR="00C4001E" w:rsidRPr="003A0C5C">
              <w:t>90720</w:t>
            </w:r>
          </w:p>
          <w:p w14:paraId="40515E04" w14:textId="77777777" w:rsidR="004F426E" w:rsidRPr="003A0C5C" w:rsidRDefault="004F426E" w:rsidP="008B0DDC">
            <w:pPr>
              <w:rPr>
                <w:highlight w:val="yellow"/>
              </w:rPr>
            </w:pPr>
          </w:p>
        </w:tc>
      </w:tr>
      <w:tr w:rsidR="003A0C5C" w:rsidRPr="003A0C5C" w14:paraId="19C163E0" w14:textId="77777777" w:rsidTr="00355E1F">
        <w:tc>
          <w:tcPr>
            <w:tcW w:w="4410" w:type="dxa"/>
          </w:tcPr>
          <w:p w14:paraId="1F2B0864" w14:textId="77777777" w:rsidR="004F426E" w:rsidRPr="003A0C5C" w:rsidRDefault="004F426E" w:rsidP="00133AD7">
            <w:pPr>
              <w:pStyle w:val="n1"/>
              <w:tabs>
                <w:tab w:val="left" w:pos="360"/>
              </w:tabs>
              <w:rPr>
                <w:rFonts w:cs="Arial"/>
                <w:sz w:val="21"/>
                <w:szCs w:val="21"/>
              </w:rPr>
            </w:pPr>
            <w:r w:rsidRPr="003A0C5C">
              <w:rPr>
                <w:rFonts w:cs="Arial"/>
                <w:sz w:val="21"/>
                <w:szCs w:val="21"/>
              </w:rPr>
              <w:t>6.</w:t>
            </w:r>
            <w:r w:rsidRPr="003A0C5C">
              <w:rPr>
                <w:rFonts w:cs="Arial"/>
                <w:sz w:val="21"/>
                <w:szCs w:val="21"/>
              </w:rPr>
              <w:tab/>
              <w:t>General Plan Designation(s):</w:t>
            </w:r>
          </w:p>
        </w:tc>
        <w:tc>
          <w:tcPr>
            <w:tcW w:w="4230" w:type="dxa"/>
          </w:tcPr>
          <w:p w14:paraId="2F61D8DC" w14:textId="77777777" w:rsidR="00F92AE1" w:rsidRPr="003A0C5C" w:rsidRDefault="00C353D7" w:rsidP="008B0DDC">
            <w:r w:rsidRPr="003A0C5C">
              <w:t>Light</w:t>
            </w:r>
            <w:r w:rsidR="004F426E" w:rsidRPr="003A0C5C">
              <w:t xml:space="preserve"> Industrial</w:t>
            </w:r>
          </w:p>
          <w:p w14:paraId="478378E2" w14:textId="17E460CA" w:rsidR="004F426E" w:rsidRPr="003A0C5C" w:rsidRDefault="004F426E" w:rsidP="008B0DDC"/>
        </w:tc>
      </w:tr>
      <w:tr w:rsidR="003A0C5C" w:rsidRPr="003A0C5C" w14:paraId="6010519A" w14:textId="77777777" w:rsidTr="00355E1F">
        <w:tc>
          <w:tcPr>
            <w:tcW w:w="4410" w:type="dxa"/>
          </w:tcPr>
          <w:p w14:paraId="2B213FD3" w14:textId="77777777" w:rsidR="004F426E" w:rsidRPr="003A0C5C" w:rsidRDefault="004F426E" w:rsidP="00133AD7">
            <w:pPr>
              <w:pStyle w:val="n1"/>
              <w:tabs>
                <w:tab w:val="left" w:pos="360"/>
              </w:tabs>
              <w:rPr>
                <w:rFonts w:cs="Arial"/>
                <w:sz w:val="21"/>
                <w:szCs w:val="21"/>
              </w:rPr>
            </w:pPr>
            <w:r w:rsidRPr="003A0C5C">
              <w:rPr>
                <w:rFonts w:cs="Arial"/>
                <w:sz w:val="21"/>
                <w:szCs w:val="21"/>
              </w:rPr>
              <w:t>7.</w:t>
            </w:r>
            <w:r w:rsidRPr="003A0C5C">
              <w:rPr>
                <w:rFonts w:cs="Arial"/>
                <w:sz w:val="21"/>
                <w:szCs w:val="21"/>
              </w:rPr>
              <w:tab/>
              <w:t>Zoning:</w:t>
            </w:r>
          </w:p>
        </w:tc>
        <w:tc>
          <w:tcPr>
            <w:tcW w:w="4230" w:type="dxa"/>
          </w:tcPr>
          <w:p w14:paraId="359A4504" w14:textId="5B54A9C5" w:rsidR="004F426E" w:rsidRPr="003A0C5C" w:rsidRDefault="004F426E" w:rsidP="008B0DDC">
            <w:r w:rsidRPr="003A0C5C">
              <w:t>Manufacturing</w:t>
            </w:r>
            <w:r w:rsidR="0046270C" w:rsidRPr="003A0C5C">
              <w:t>,</w:t>
            </w:r>
            <w:r w:rsidRPr="003A0C5C">
              <w:t xml:space="preserve"> </w:t>
            </w:r>
            <w:r w:rsidR="0034511D" w:rsidRPr="003A0C5C">
              <w:t xml:space="preserve">Light </w:t>
            </w:r>
            <w:r w:rsidR="00831960" w:rsidRPr="003A0C5C">
              <w:t xml:space="preserve">– with Site Plan and Design </w:t>
            </w:r>
            <w:r w:rsidR="00A813A1" w:rsidRPr="003A0C5C">
              <w:t xml:space="preserve">Review </w:t>
            </w:r>
            <w:r w:rsidR="00831960" w:rsidRPr="003A0C5C">
              <w:t xml:space="preserve">Overlay </w:t>
            </w:r>
            <w:r w:rsidR="0034511D" w:rsidRPr="003A0C5C">
              <w:t>(ML</w:t>
            </w:r>
            <w:r w:rsidR="00831960" w:rsidRPr="003A0C5C">
              <w:t>-D</w:t>
            </w:r>
            <w:r w:rsidRPr="003A0C5C">
              <w:t>)</w:t>
            </w:r>
          </w:p>
          <w:p w14:paraId="7A56693D" w14:textId="77777777" w:rsidR="004F426E" w:rsidRPr="003A0C5C" w:rsidRDefault="004F426E" w:rsidP="008B0DDC"/>
        </w:tc>
      </w:tr>
    </w:tbl>
    <w:p w14:paraId="5EE63D9B" w14:textId="77777777" w:rsidR="00F92AE1" w:rsidRPr="003A0C5C" w:rsidRDefault="004F426E" w:rsidP="00DD5E8B">
      <w:pPr>
        <w:pStyle w:val="n1"/>
        <w:keepNext/>
        <w:tabs>
          <w:tab w:val="clear" w:pos="4320"/>
        </w:tabs>
        <w:spacing w:after="120"/>
        <w:rPr>
          <w:bCs/>
          <w:sz w:val="21"/>
        </w:rPr>
      </w:pPr>
      <w:r w:rsidRPr="003A0C5C">
        <w:rPr>
          <w:rFonts w:cs="Arial"/>
          <w:sz w:val="21"/>
          <w:szCs w:val="21"/>
        </w:rPr>
        <w:t>8.</w:t>
      </w:r>
      <w:r w:rsidRPr="003A0C5C">
        <w:rPr>
          <w:rFonts w:cs="Arial"/>
          <w:sz w:val="21"/>
          <w:szCs w:val="21"/>
        </w:rPr>
        <w:tab/>
        <w:t>Description of Project:</w:t>
      </w:r>
    </w:p>
    <w:p w14:paraId="54D80130" w14:textId="4B1A453A" w:rsidR="00115CB9" w:rsidRPr="003A0C5C" w:rsidRDefault="00115CB9" w:rsidP="00505BA1">
      <w:pPr>
        <w:pStyle w:val="12space"/>
      </w:pPr>
      <w:r w:rsidRPr="003A0C5C">
        <w:t xml:space="preserve">The </w:t>
      </w:r>
      <w:bookmarkStart w:id="7" w:name="_Hlk83237252"/>
      <w:r w:rsidR="00893939" w:rsidRPr="003A0C5C">
        <w:t xml:space="preserve">21611 </w:t>
      </w:r>
      <w:r w:rsidRPr="003A0C5C">
        <w:t xml:space="preserve">Perry Street Self-Storage project </w:t>
      </w:r>
      <w:bookmarkEnd w:id="7"/>
      <w:r w:rsidRPr="003A0C5C">
        <w:t xml:space="preserve">(proposed project) is located on a 2.80-acre </w:t>
      </w:r>
      <w:r w:rsidR="00163D2A" w:rsidRPr="003A0C5C">
        <w:t xml:space="preserve">site </w:t>
      </w:r>
      <w:r w:rsidRPr="003A0C5C">
        <w:t>at 21611 South Perry Street</w:t>
      </w:r>
      <w:r w:rsidR="00685373" w:rsidRPr="003A0C5C">
        <w:t xml:space="preserve"> (project site)</w:t>
      </w:r>
      <w:r w:rsidRPr="003A0C5C">
        <w:t xml:space="preserve"> in the City of Carson (</w:t>
      </w:r>
      <w:r w:rsidR="00470830" w:rsidRPr="003A0C5C">
        <w:t>City</w:t>
      </w:r>
      <w:r w:rsidRPr="003A0C5C">
        <w:t xml:space="preserve">). The </w:t>
      </w:r>
      <w:r w:rsidR="00530294" w:rsidRPr="003A0C5C">
        <w:t xml:space="preserve">proposed </w:t>
      </w:r>
      <w:r w:rsidRPr="003A0C5C">
        <w:t xml:space="preserve">project </w:t>
      </w:r>
      <w:r w:rsidR="00530294" w:rsidRPr="003A0C5C">
        <w:t>includes</w:t>
      </w:r>
      <w:r w:rsidRPr="003A0C5C">
        <w:t xml:space="preserve"> the development of a self-storage facility with three buildings totaling approximately </w:t>
      </w:r>
      <w:r w:rsidR="0099357B" w:rsidRPr="003A0C5C">
        <w:t>113,714</w:t>
      </w:r>
      <w:r w:rsidRPr="003A0C5C">
        <w:t xml:space="preserve"> square feet. The self-storage facility would </w:t>
      </w:r>
      <w:r w:rsidR="0084223B" w:rsidRPr="003A0C5C">
        <w:t>consist</w:t>
      </w:r>
      <w:r w:rsidRPr="003A0C5C">
        <w:t xml:space="preserve"> of a mix of one-</w:t>
      </w:r>
      <w:r w:rsidR="00800E0F" w:rsidRPr="003A0C5C">
        <w:t xml:space="preserve"> and two-story buildings </w:t>
      </w:r>
      <w:r w:rsidR="00254D4C" w:rsidRPr="003A0C5C">
        <w:t xml:space="preserve">with a maximum height of </w:t>
      </w:r>
      <w:r w:rsidR="00172715" w:rsidRPr="003A0C5C">
        <w:t>31</w:t>
      </w:r>
      <w:r w:rsidR="00254D4C" w:rsidRPr="003A0C5C">
        <w:t xml:space="preserve"> feet</w:t>
      </w:r>
      <w:r w:rsidRPr="003A0C5C">
        <w:t xml:space="preserve">. The self-storage facility would include a </w:t>
      </w:r>
      <w:r w:rsidR="00EB4BB7" w:rsidRPr="003A0C5C">
        <w:t>2,425</w:t>
      </w:r>
      <w:r w:rsidR="00C21EF0" w:rsidRPr="003A0C5C">
        <w:t>-</w:t>
      </w:r>
      <w:r w:rsidRPr="003A0C5C">
        <w:t>square</w:t>
      </w:r>
      <w:r w:rsidR="00C21EF0" w:rsidRPr="003A0C5C">
        <w:t>-</w:t>
      </w:r>
      <w:r w:rsidRPr="003A0C5C">
        <w:t>foot lobby</w:t>
      </w:r>
      <w:r w:rsidR="00EB4BB7" w:rsidRPr="003A0C5C">
        <w:t>/self-storage office area</w:t>
      </w:r>
      <w:r w:rsidRPr="003A0C5C">
        <w:t>, a 1,550</w:t>
      </w:r>
      <w:r w:rsidR="00C21EF0" w:rsidRPr="003A0C5C">
        <w:t>-</w:t>
      </w:r>
      <w:r w:rsidRPr="003A0C5C">
        <w:t>squar</w:t>
      </w:r>
      <w:r w:rsidR="00893939" w:rsidRPr="003A0C5C">
        <w:t>e</w:t>
      </w:r>
      <w:r w:rsidR="00C21EF0" w:rsidRPr="003A0C5C">
        <w:t>-</w:t>
      </w:r>
      <w:r w:rsidR="00893939" w:rsidRPr="003A0C5C">
        <w:t xml:space="preserve">foot retail use </w:t>
      </w:r>
      <w:r w:rsidR="00EB4BB7" w:rsidRPr="003A0C5C">
        <w:t>for</w:t>
      </w:r>
      <w:r w:rsidR="00893939" w:rsidRPr="003A0C5C">
        <w:t xml:space="preserve"> a cafe</w:t>
      </w:r>
      <w:r w:rsidRPr="003A0C5C">
        <w:t xml:space="preserve">, and a </w:t>
      </w:r>
      <w:r w:rsidR="00EB4BB7" w:rsidRPr="003A0C5C">
        <w:t>700</w:t>
      </w:r>
      <w:r w:rsidR="00C21EF0" w:rsidRPr="003A0C5C">
        <w:t>-</w:t>
      </w:r>
      <w:r w:rsidRPr="003A0C5C">
        <w:t>square</w:t>
      </w:r>
      <w:r w:rsidR="00C21EF0" w:rsidRPr="003A0C5C">
        <w:t>-</w:t>
      </w:r>
      <w:r w:rsidRPr="003A0C5C">
        <w:t xml:space="preserve">foot retail use (likely a mail service store such as </w:t>
      </w:r>
      <w:r w:rsidR="0060361D" w:rsidRPr="003A0C5C">
        <w:t>United Postal Service [</w:t>
      </w:r>
      <w:r w:rsidRPr="003A0C5C">
        <w:t>UPS</w:t>
      </w:r>
      <w:r w:rsidR="0060361D" w:rsidRPr="003A0C5C">
        <w:t>]</w:t>
      </w:r>
      <w:r w:rsidRPr="003A0C5C">
        <w:t xml:space="preserve"> or </w:t>
      </w:r>
      <w:r w:rsidR="0060361D" w:rsidRPr="003A0C5C">
        <w:t>Federal Express [</w:t>
      </w:r>
      <w:r w:rsidRPr="003A0C5C">
        <w:t>FedEx</w:t>
      </w:r>
      <w:r w:rsidR="0060361D" w:rsidRPr="003A0C5C">
        <w:t>]</w:t>
      </w:r>
      <w:r w:rsidRPr="003A0C5C">
        <w:t>) comprising a total of 4,</w:t>
      </w:r>
      <w:r w:rsidR="0099357B" w:rsidRPr="003A0C5C">
        <w:t>675</w:t>
      </w:r>
      <w:r w:rsidRPr="003A0C5C">
        <w:t xml:space="preserve"> square feet</w:t>
      </w:r>
      <w:r w:rsidR="0088299C" w:rsidRPr="003A0C5C">
        <w:t xml:space="preserve"> for these uses</w:t>
      </w:r>
      <w:r w:rsidRPr="003A0C5C">
        <w:t xml:space="preserve">. The </w:t>
      </w:r>
      <w:r w:rsidR="00800E0F" w:rsidRPr="003A0C5C">
        <w:t xml:space="preserve">proposed </w:t>
      </w:r>
      <w:r w:rsidRPr="003A0C5C">
        <w:t xml:space="preserve">project would provide 41 parking spaces that would be accessed from one driveway providing ingress/egress off South Perry Street. The </w:t>
      </w:r>
      <w:r w:rsidR="00893939" w:rsidRPr="003A0C5C">
        <w:t xml:space="preserve">proposed </w:t>
      </w:r>
      <w:r w:rsidRPr="003A0C5C">
        <w:t xml:space="preserve">project would provide approximately </w:t>
      </w:r>
      <w:r w:rsidR="00956A4F" w:rsidRPr="003A0C5C">
        <w:t>12,134</w:t>
      </w:r>
      <w:r w:rsidR="00A334FD" w:rsidRPr="003A0C5C">
        <w:t xml:space="preserve"> </w:t>
      </w:r>
      <w:r w:rsidRPr="003A0C5C">
        <w:t>square feet of landscaping</w:t>
      </w:r>
      <w:r w:rsidR="000A7B67" w:rsidRPr="003A0C5C">
        <w:t xml:space="preserve"> around the perimeter of the project site</w:t>
      </w:r>
      <w:r w:rsidRPr="003A0C5C">
        <w:t xml:space="preserve">. </w:t>
      </w:r>
    </w:p>
    <w:p w14:paraId="75778A53" w14:textId="4C611285" w:rsidR="00115CB9" w:rsidRPr="003A0C5C" w:rsidRDefault="00115CB9" w:rsidP="00505BA1">
      <w:pPr>
        <w:pStyle w:val="12space"/>
      </w:pPr>
      <w:r w:rsidRPr="003A0C5C">
        <w:t xml:space="preserve">The buildings </w:t>
      </w:r>
      <w:r w:rsidR="00F977A9" w:rsidRPr="003A0C5C">
        <w:t>wou</w:t>
      </w:r>
      <w:r w:rsidR="000A7B67" w:rsidRPr="003A0C5C">
        <w:t>l</w:t>
      </w:r>
      <w:r w:rsidR="00F977A9" w:rsidRPr="003A0C5C">
        <w:t>d</w:t>
      </w:r>
      <w:r w:rsidRPr="003A0C5C">
        <w:t xml:space="preserve"> house interior climate-controlled storage units and external non-climate-controlled storage units with ramp access to the second floors of the internal buildings. The building’s architecture would incorporate a Spanish style with clay tile roofs and </w:t>
      </w:r>
      <w:r w:rsidR="004B36F9" w:rsidRPr="003A0C5C">
        <w:t xml:space="preserve">neutral toned </w:t>
      </w:r>
      <w:r w:rsidRPr="003A0C5C">
        <w:lastRenderedPageBreak/>
        <w:t>stucco. Access to the self-storage facility would be controlled via computerized access gates and would be under digital surveillance 24 hours a day, 7 days a week. The project site is zoned ML-D (Manufacturing, Light – with Site Plan and Design Review Overly) with a General Plan Land Use designation of Light Industrial. The</w:t>
      </w:r>
      <w:r w:rsidR="00893939" w:rsidRPr="003A0C5C">
        <w:t xml:space="preserve"> proposed</w:t>
      </w:r>
      <w:r w:rsidRPr="003A0C5C">
        <w:t xml:space="preserve"> project would require a general plan amendment to allow for a 1:</w:t>
      </w:r>
      <w:r w:rsidR="004B36F9" w:rsidRPr="003A0C5C">
        <w:t>0</w:t>
      </w:r>
      <w:r w:rsidRPr="003A0C5C">
        <w:t xml:space="preserve"> Floor Area Ratio (FAR).</w:t>
      </w:r>
    </w:p>
    <w:p w14:paraId="09AD796B" w14:textId="22F96900" w:rsidR="004F426E" w:rsidRPr="003A0C5C" w:rsidRDefault="004F426E" w:rsidP="00DD5E8B">
      <w:pPr>
        <w:pStyle w:val="n1"/>
        <w:keepNext/>
        <w:tabs>
          <w:tab w:val="clear" w:pos="4320"/>
        </w:tabs>
        <w:spacing w:after="120"/>
      </w:pPr>
      <w:r w:rsidRPr="003A0C5C">
        <w:rPr>
          <w:rFonts w:cs="Arial"/>
          <w:sz w:val="21"/>
          <w:szCs w:val="21"/>
        </w:rPr>
        <w:t>9.</w:t>
      </w:r>
      <w:r w:rsidRPr="003A0C5C">
        <w:rPr>
          <w:rFonts w:cs="Arial"/>
          <w:sz w:val="21"/>
          <w:szCs w:val="21"/>
        </w:rPr>
        <w:tab/>
        <w:t>Su</w:t>
      </w:r>
      <w:r w:rsidR="00CD41F9" w:rsidRPr="003A0C5C">
        <w:rPr>
          <w:rFonts w:cs="Arial"/>
          <w:sz w:val="21"/>
          <w:szCs w:val="21"/>
        </w:rPr>
        <w:t>rrounding Land Uses and Setting</w:t>
      </w:r>
      <w:r w:rsidR="000E5DCE" w:rsidRPr="003A0C5C">
        <w:rPr>
          <w:rFonts w:cs="Arial"/>
          <w:sz w:val="21"/>
          <w:szCs w:val="21"/>
        </w:rPr>
        <w:t>:</w:t>
      </w:r>
      <w:r w:rsidRPr="003A0C5C">
        <w:rPr>
          <w:rFonts w:cs="Arial"/>
          <w:sz w:val="21"/>
          <w:szCs w:val="21"/>
        </w:rPr>
        <w:t xml:space="preserve"> </w:t>
      </w:r>
    </w:p>
    <w:p w14:paraId="1C77E466" w14:textId="49DEAD98" w:rsidR="00115CB9" w:rsidRPr="003A0C5C" w:rsidRDefault="00115CB9" w:rsidP="00505BA1">
      <w:pPr>
        <w:pStyle w:val="12space"/>
        <w:rPr>
          <w:highlight w:val="yellow"/>
        </w:rPr>
      </w:pPr>
      <w:r w:rsidRPr="003A0C5C">
        <w:t xml:space="preserve">The project site is bordered by East Carson Street to the south, South Perry Street to the east, residential uses to </w:t>
      </w:r>
      <w:r w:rsidR="00E37AD3" w:rsidRPr="003A0C5C">
        <w:t xml:space="preserve">the </w:t>
      </w:r>
      <w:r w:rsidRPr="003A0C5C">
        <w:t xml:space="preserve">north, and the Dominguez Flood Control Channel </w:t>
      </w:r>
      <w:r w:rsidR="00273EEE" w:rsidRPr="003A0C5C">
        <w:t xml:space="preserve">(Dominguez Channel) </w:t>
      </w:r>
      <w:r w:rsidRPr="003A0C5C">
        <w:t xml:space="preserve">to the west. The project site </w:t>
      </w:r>
      <w:r w:rsidR="00BF7669" w:rsidRPr="003A0C5C">
        <w:t>is in</w:t>
      </w:r>
      <w:r w:rsidRPr="003A0C5C">
        <w:t xml:space="preserve"> a neighborhood characterized by a mix of residential and commercial uses. </w:t>
      </w:r>
      <w:r w:rsidR="004B36F9" w:rsidRPr="003A0C5C">
        <w:t>An a</w:t>
      </w:r>
      <w:r w:rsidRPr="003A0C5C">
        <w:t>uto repair facilit</w:t>
      </w:r>
      <w:r w:rsidR="004B36F9" w:rsidRPr="003A0C5C">
        <w:t>y</w:t>
      </w:r>
      <w:r w:rsidRPr="003A0C5C">
        <w:t xml:space="preserve"> and </w:t>
      </w:r>
      <w:r w:rsidR="004B36F9" w:rsidRPr="003A0C5C">
        <w:t xml:space="preserve">a </w:t>
      </w:r>
      <w:r w:rsidRPr="003A0C5C">
        <w:t xml:space="preserve">truck dealer are located </w:t>
      </w:r>
      <w:r w:rsidR="00B131BE" w:rsidRPr="003A0C5C">
        <w:t xml:space="preserve">to </w:t>
      </w:r>
      <w:r w:rsidRPr="003A0C5C">
        <w:t xml:space="preserve">the east and south across East Carson Street and South Perry Street. Two- and three-story multi-family housing is located directly across </w:t>
      </w:r>
      <w:r w:rsidR="0030445A" w:rsidRPr="003A0C5C">
        <w:t xml:space="preserve">South </w:t>
      </w:r>
      <w:r w:rsidRPr="003A0C5C">
        <w:t xml:space="preserve">Perry Street to the east with the Perry Mini-Park and single-family homes to the north and northeast of the project site. Additional single-family housing is located southeast of the project site across East Carson Street. The project site is </w:t>
      </w:r>
      <w:r w:rsidR="00800E0F" w:rsidRPr="003A0C5C">
        <w:t xml:space="preserve">currently </w:t>
      </w:r>
      <w:r w:rsidRPr="003A0C5C">
        <w:t>vacant and undeveloped.</w:t>
      </w:r>
    </w:p>
    <w:p w14:paraId="113AF2BC" w14:textId="0C45C057" w:rsidR="004F426E" w:rsidRPr="003A0C5C" w:rsidRDefault="004F426E" w:rsidP="00DD5E8B">
      <w:pPr>
        <w:pStyle w:val="n1"/>
        <w:keepNext/>
        <w:tabs>
          <w:tab w:val="clear" w:pos="4320"/>
        </w:tabs>
        <w:spacing w:after="120"/>
      </w:pPr>
      <w:r w:rsidRPr="003A0C5C">
        <w:rPr>
          <w:rFonts w:cs="Arial"/>
          <w:sz w:val="21"/>
          <w:szCs w:val="21"/>
        </w:rPr>
        <w:t>10.</w:t>
      </w:r>
      <w:r w:rsidRPr="003A0C5C">
        <w:rPr>
          <w:rFonts w:cs="Arial"/>
          <w:sz w:val="21"/>
          <w:szCs w:val="21"/>
        </w:rPr>
        <w:tab/>
        <w:t>Other public agencies whose approval is required</w:t>
      </w:r>
      <w:r w:rsidRPr="003A0C5C">
        <w:rPr>
          <w:bCs/>
          <w:sz w:val="21"/>
        </w:rPr>
        <w:t xml:space="preserve"> </w:t>
      </w:r>
      <w:r w:rsidRPr="003A0C5C">
        <w:rPr>
          <w:rStyle w:val="Bold"/>
        </w:rPr>
        <w:t>(e.g., permits, financing approval, or participation agreement)</w:t>
      </w:r>
      <w:r w:rsidR="00CD41F9" w:rsidRPr="003A0C5C">
        <w:t>:</w:t>
      </w:r>
    </w:p>
    <w:p w14:paraId="1D7ECA99" w14:textId="3282072F" w:rsidR="004F426E" w:rsidRPr="003A0C5C" w:rsidRDefault="004F426E" w:rsidP="00505BA1">
      <w:pPr>
        <w:pStyle w:val="12space"/>
        <w:keepNext/>
        <w:spacing w:after="180"/>
      </w:pPr>
      <w:r w:rsidRPr="003A0C5C">
        <w:t>In order for the proposed project to be approved and in compliance with the City</w:t>
      </w:r>
      <w:r w:rsidR="00D678AB" w:rsidRPr="003A0C5C">
        <w:t>’</w:t>
      </w:r>
      <w:r w:rsidRPr="003A0C5C">
        <w:t>s Municipal Code, the Applicant would be required to obtain the following approvals</w:t>
      </w:r>
      <w:r w:rsidR="00227DEF" w:rsidRPr="003A0C5C">
        <w:t xml:space="preserve"> from the City</w:t>
      </w:r>
      <w:r w:rsidRPr="003A0C5C">
        <w:t>:</w:t>
      </w:r>
    </w:p>
    <w:p w14:paraId="08815396" w14:textId="77777777" w:rsidR="0009506E" w:rsidRPr="003A0C5C" w:rsidRDefault="0009506E" w:rsidP="00FF59C4">
      <w:pPr>
        <w:pStyle w:val="ListBullet"/>
        <w:spacing w:after="140"/>
      </w:pPr>
      <w:bookmarkStart w:id="8" w:name="OLE_LINK1"/>
      <w:r w:rsidRPr="003A0C5C">
        <w:t>General Plan Amendment (from Light Industrial to Heavy Industrial)</w:t>
      </w:r>
    </w:p>
    <w:p w14:paraId="5ACD8417" w14:textId="51E3ED9A" w:rsidR="0009506E" w:rsidRPr="003A0C5C" w:rsidRDefault="0009506E" w:rsidP="00FF59C4">
      <w:pPr>
        <w:pStyle w:val="ListBullet"/>
        <w:spacing w:after="140"/>
      </w:pPr>
      <w:bookmarkStart w:id="9" w:name="_Hlk96066977"/>
      <w:r w:rsidRPr="003A0C5C">
        <w:t xml:space="preserve">Zone Change </w:t>
      </w:r>
      <w:r w:rsidR="004E7997" w:rsidRPr="003A0C5C">
        <w:t xml:space="preserve">(from </w:t>
      </w:r>
      <w:bookmarkStart w:id="10" w:name="_Hlk98154755"/>
      <w:r w:rsidR="00F10A1A" w:rsidRPr="003A0C5C">
        <w:t>Manufacturing Light with a Design Overlay</w:t>
      </w:r>
      <w:bookmarkEnd w:id="10"/>
      <w:r w:rsidR="00F10A1A" w:rsidRPr="003A0C5C">
        <w:t xml:space="preserve"> [</w:t>
      </w:r>
      <w:r w:rsidR="004E7997" w:rsidRPr="003A0C5C">
        <w:t>ML-D</w:t>
      </w:r>
      <w:r w:rsidR="00F10A1A" w:rsidRPr="003A0C5C">
        <w:t>]</w:t>
      </w:r>
      <w:r w:rsidR="004E7997" w:rsidRPr="003A0C5C">
        <w:t xml:space="preserve"> to Perry Street Specific Plan</w:t>
      </w:r>
      <w:r w:rsidR="00F10A1A" w:rsidRPr="003A0C5C">
        <w:t xml:space="preserve"> [PSSP])</w:t>
      </w:r>
    </w:p>
    <w:bookmarkEnd w:id="9"/>
    <w:p w14:paraId="195144C5" w14:textId="77777777" w:rsidR="0009506E" w:rsidRPr="003A0C5C" w:rsidRDefault="0009506E" w:rsidP="00FF59C4">
      <w:pPr>
        <w:pStyle w:val="ListBullet"/>
        <w:spacing w:after="140"/>
      </w:pPr>
      <w:r w:rsidRPr="003A0C5C">
        <w:t>Corresponding General Plan and Zone Text/Map Amendment(s)</w:t>
      </w:r>
    </w:p>
    <w:p w14:paraId="5DC7E7F2" w14:textId="34031FC9" w:rsidR="0009506E" w:rsidRPr="003A0C5C" w:rsidRDefault="0009506E" w:rsidP="00FF59C4">
      <w:pPr>
        <w:pStyle w:val="ListBullet"/>
        <w:spacing w:after="140"/>
      </w:pPr>
      <w:r w:rsidRPr="003A0C5C">
        <w:t xml:space="preserve">Specific Plan </w:t>
      </w:r>
      <w:r w:rsidR="00DC65CD" w:rsidRPr="003A0C5C">
        <w:t>Approval</w:t>
      </w:r>
    </w:p>
    <w:p w14:paraId="591A1976" w14:textId="0EB92F77" w:rsidR="0009506E" w:rsidRPr="003A0C5C" w:rsidRDefault="0009506E" w:rsidP="00FF59C4">
      <w:pPr>
        <w:pStyle w:val="ListBullet"/>
        <w:spacing w:after="140"/>
      </w:pPr>
      <w:r w:rsidRPr="003A0C5C">
        <w:t>Development Agreement</w:t>
      </w:r>
    </w:p>
    <w:p w14:paraId="594FA8F2" w14:textId="37789A03" w:rsidR="0009506E" w:rsidRPr="003A0C5C" w:rsidRDefault="0009506E" w:rsidP="00FF59C4">
      <w:pPr>
        <w:pStyle w:val="ListBullet"/>
        <w:spacing w:after="140"/>
      </w:pPr>
      <w:r w:rsidRPr="003A0C5C">
        <w:t>Site Plan/Design</w:t>
      </w:r>
      <w:r w:rsidR="004B36F9" w:rsidRPr="003A0C5C">
        <w:t xml:space="preserve"> Review </w:t>
      </w:r>
      <w:r w:rsidRPr="003A0C5C">
        <w:t>Overlay</w:t>
      </w:r>
    </w:p>
    <w:p w14:paraId="3F18B422" w14:textId="2B2CC910" w:rsidR="004F426E" w:rsidRPr="003A0C5C" w:rsidRDefault="0009506E" w:rsidP="00FF59C4">
      <w:pPr>
        <w:pStyle w:val="ListBullet"/>
        <w:spacing w:after="140"/>
      </w:pPr>
      <w:r w:rsidRPr="003A0C5C">
        <w:t xml:space="preserve">CEQA Review </w:t>
      </w:r>
    </w:p>
    <w:p w14:paraId="377F62B6" w14:textId="24210F63" w:rsidR="004B36F9" w:rsidRPr="003A0C5C" w:rsidRDefault="004B36F9" w:rsidP="00FF59C4">
      <w:pPr>
        <w:pStyle w:val="ListBullet"/>
      </w:pPr>
      <w:r w:rsidRPr="003A0C5C">
        <w:t>Lot Merger</w:t>
      </w:r>
    </w:p>
    <w:bookmarkEnd w:id="8"/>
    <w:p w14:paraId="4EE30948" w14:textId="785A111C" w:rsidR="004F426E" w:rsidRPr="003A0C5C" w:rsidRDefault="004F426E" w:rsidP="00DD5E8B">
      <w:pPr>
        <w:pStyle w:val="n1"/>
        <w:keepNext/>
        <w:tabs>
          <w:tab w:val="clear" w:pos="4320"/>
        </w:tabs>
        <w:spacing w:after="120"/>
        <w:rPr>
          <w:rFonts w:cs="Arial"/>
          <w:sz w:val="21"/>
          <w:szCs w:val="21"/>
        </w:rPr>
      </w:pPr>
      <w:r w:rsidRPr="003A0C5C">
        <w:rPr>
          <w:rFonts w:cs="Arial"/>
          <w:sz w:val="21"/>
          <w:szCs w:val="21"/>
        </w:rPr>
        <w:t>11.</w:t>
      </w:r>
      <w:r w:rsidRPr="003A0C5C">
        <w:rPr>
          <w:rFonts w:cs="Arial"/>
          <w:sz w:val="21"/>
          <w:szCs w:val="21"/>
        </w:rPr>
        <w:tab/>
        <w:t xml:space="preserve">Have California Native American tribes traditionally and culturally affiliated with the project area requested consultation pursuant to Public Resources Code </w:t>
      </w:r>
      <w:r w:rsidR="00CD2E2E" w:rsidRPr="003A0C5C">
        <w:rPr>
          <w:rFonts w:cs="Arial"/>
          <w:sz w:val="21"/>
          <w:szCs w:val="21"/>
        </w:rPr>
        <w:t>section </w:t>
      </w:r>
      <w:r w:rsidRPr="003A0C5C">
        <w:rPr>
          <w:rFonts w:cs="Arial"/>
          <w:sz w:val="21"/>
          <w:szCs w:val="21"/>
        </w:rPr>
        <w:t>21080.3.1? If so, has consultation begun?</w:t>
      </w:r>
    </w:p>
    <w:p w14:paraId="76E7DE47" w14:textId="2056DDF6" w:rsidR="004F426E" w:rsidRPr="003A0C5C" w:rsidRDefault="004F426E" w:rsidP="00505BA1">
      <w:pPr>
        <w:pStyle w:val="12space"/>
        <w:rPr>
          <w:highlight w:val="yellow"/>
        </w:rPr>
      </w:pPr>
      <w:r w:rsidRPr="003A0C5C">
        <w:t xml:space="preserve">The City notified </w:t>
      </w:r>
      <w:r w:rsidR="00B1599A" w:rsidRPr="003A0C5C">
        <w:t>appropriate tribes regarding Assembly Bill (AB) 52 and Senate Bill (SB) 18 consultation)</w:t>
      </w:r>
      <w:r w:rsidRPr="003A0C5C">
        <w:t xml:space="preserve">. </w:t>
      </w:r>
      <w:r w:rsidR="001D1298" w:rsidRPr="003A0C5C">
        <w:t>Refer to</w:t>
      </w:r>
      <w:r w:rsidR="002F0FE0" w:rsidRPr="003A0C5C">
        <w:t xml:space="preserve"> Section</w:t>
      </w:r>
      <w:r w:rsidR="008B0DDC" w:rsidRPr="003A0C5C">
        <w:t> </w:t>
      </w:r>
      <w:r w:rsidR="002F0FE0" w:rsidRPr="003A0C5C">
        <w:t xml:space="preserve">XVIII, </w:t>
      </w:r>
      <w:r w:rsidR="002F0FE0" w:rsidRPr="003A0C5C">
        <w:rPr>
          <w:rStyle w:val="Italic"/>
        </w:rPr>
        <w:t>Tribal Cultural Resources</w:t>
      </w:r>
      <w:r w:rsidR="002F0FE0" w:rsidRPr="003A0C5C">
        <w:t>, for additional information.</w:t>
      </w:r>
    </w:p>
    <w:p w14:paraId="3AB36B78" w14:textId="77777777" w:rsidR="008B0DDC" w:rsidRPr="003A0C5C" w:rsidRDefault="004F426E" w:rsidP="00D429CF">
      <w:pPr>
        <w:rPr>
          <w:highlight w:val="yellow"/>
        </w:rPr>
      </w:pPr>
      <w:r w:rsidRPr="003A0C5C">
        <w:rPr>
          <w:highlight w:val="yellow"/>
        </w:rPr>
        <w:br w:type="page"/>
      </w:r>
    </w:p>
    <w:p w14:paraId="384742CE" w14:textId="3DDF4DAB" w:rsidR="004F426E" w:rsidRPr="003A0C5C" w:rsidRDefault="004F426E" w:rsidP="00D429CF">
      <w:pPr>
        <w:pStyle w:val="Heading3"/>
      </w:pPr>
      <w:bookmarkStart w:id="11" w:name="_Toc101791967"/>
      <w:r w:rsidRPr="003A0C5C">
        <w:lastRenderedPageBreak/>
        <w:t>Environmental Factors Potentially Affected</w:t>
      </w:r>
      <w:bookmarkEnd w:id="11"/>
    </w:p>
    <w:p w14:paraId="20DA99CD" w14:textId="2CBDB64D" w:rsidR="004F426E" w:rsidRPr="003A0C5C" w:rsidRDefault="004F426E" w:rsidP="00CD41F9">
      <w:pPr>
        <w:pStyle w:val="12space"/>
        <w:keepNext/>
        <w:spacing w:after="180"/>
      </w:pPr>
      <w:r w:rsidRPr="003A0C5C">
        <w:t xml:space="preserve">The environmental factors checked below would be potentially affected by this project, involving at least one impact that is a </w:t>
      </w:r>
      <w:r w:rsidR="00D678AB" w:rsidRPr="003A0C5C">
        <w:t>“</w:t>
      </w:r>
      <w:r w:rsidRPr="003A0C5C">
        <w:t>Potentially Significant Impact</w:t>
      </w:r>
      <w:r w:rsidR="00D678AB" w:rsidRPr="003A0C5C">
        <w:t>”</w:t>
      </w:r>
      <w:r w:rsidRPr="003A0C5C">
        <w:t xml:space="preserve"> as indicated by the c</w:t>
      </w:r>
      <w:r w:rsidR="00CD41F9" w:rsidRPr="003A0C5C">
        <w:t>hecklist on the following pages:</w:t>
      </w:r>
    </w:p>
    <w:p w14:paraId="7D4B1374" w14:textId="33F1CC4B" w:rsidR="004F426E" w:rsidRPr="003A0C5C" w:rsidRDefault="004F426E" w:rsidP="00133AD7">
      <w:pPr>
        <w:tabs>
          <w:tab w:val="left" w:pos="360"/>
          <w:tab w:val="left" w:pos="2430"/>
          <w:tab w:val="left" w:pos="2790"/>
          <w:tab w:val="left" w:pos="5490"/>
          <w:tab w:val="left" w:pos="5940"/>
        </w:tabs>
        <w:rPr>
          <w:rFonts w:ascii="Arial" w:hAnsi="Arial" w:cs="Arial"/>
          <w:sz w:val="16"/>
          <w:szCs w:val="16"/>
        </w:rPr>
      </w:pPr>
      <w:r w:rsidRPr="003A0C5C">
        <w:rPr>
          <w:rFonts w:ascii="MS Gothic" w:eastAsia="MS Gothic" w:hAnsi="MS Gothic" w:cs="Arial" w:hint="eastAsia"/>
          <w:sz w:val="24"/>
          <w:szCs w:val="24"/>
        </w:rPr>
        <w:t>☐</w:t>
      </w:r>
      <w:r w:rsidRPr="003A0C5C">
        <w:rPr>
          <w:rFonts w:ascii="Arial" w:hAnsi="Arial" w:cs="Arial"/>
          <w:sz w:val="16"/>
          <w:szCs w:val="16"/>
        </w:rPr>
        <w:tab/>
        <w:t>Aesthetics</w:t>
      </w:r>
      <w:r w:rsidRPr="003A0C5C">
        <w:rPr>
          <w:rFonts w:ascii="Arial" w:hAnsi="Arial" w:cs="Arial"/>
          <w:sz w:val="16"/>
          <w:szCs w:val="16"/>
        </w:rPr>
        <w:tab/>
      </w:r>
      <w:r w:rsidRPr="003A0C5C">
        <w:rPr>
          <w:rFonts w:ascii="MS Gothic" w:eastAsia="MS Gothic" w:hAnsi="MS Gothic" w:cs="Arial" w:hint="eastAsia"/>
          <w:sz w:val="24"/>
          <w:szCs w:val="24"/>
        </w:rPr>
        <w:t>☐</w:t>
      </w:r>
      <w:r w:rsidRPr="003A0C5C">
        <w:rPr>
          <w:rFonts w:ascii="Arial" w:hAnsi="Arial" w:cs="Arial"/>
          <w:sz w:val="16"/>
          <w:szCs w:val="16"/>
        </w:rPr>
        <w:tab/>
        <w:t>Agriculture and Forestry Resources</w:t>
      </w:r>
      <w:r w:rsidRPr="003A0C5C">
        <w:rPr>
          <w:rFonts w:ascii="Arial" w:hAnsi="Arial" w:cs="Arial"/>
          <w:sz w:val="16"/>
          <w:szCs w:val="16"/>
        </w:rPr>
        <w:tab/>
      </w:r>
      <w:r w:rsidR="004C5150" w:rsidRPr="003A0C5C">
        <w:rPr>
          <w:rFonts w:ascii="MS Gothic" w:eastAsia="MS Gothic" w:hAnsi="MS Gothic" w:cs="Arial" w:hint="eastAsia"/>
          <w:sz w:val="24"/>
          <w:szCs w:val="24"/>
        </w:rPr>
        <w:t>☐</w:t>
      </w:r>
      <w:r w:rsidRPr="003A0C5C">
        <w:rPr>
          <w:rFonts w:ascii="Arial" w:hAnsi="Arial" w:cs="Arial"/>
          <w:sz w:val="16"/>
          <w:szCs w:val="16"/>
        </w:rPr>
        <w:tab/>
        <w:t>Air Quality</w:t>
      </w:r>
    </w:p>
    <w:p w14:paraId="44363C01" w14:textId="77777777" w:rsidR="004F426E" w:rsidRPr="003A0C5C" w:rsidRDefault="004F426E" w:rsidP="00133AD7">
      <w:pPr>
        <w:tabs>
          <w:tab w:val="left" w:pos="360"/>
          <w:tab w:val="left" w:pos="2430"/>
          <w:tab w:val="left" w:pos="2790"/>
          <w:tab w:val="left" w:pos="5490"/>
          <w:tab w:val="left" w:pos="5940"/>
        </w:tabs>
        <w:rPr>
          <w:rFonts w:ascii="Arial" w:hAnsi="Arial" w:cs="Arial"/>
          <w:sz w:val="16"/>
          <w:szCs w:val="16"/>
        </w:rPr>
      </w:pPr>
      <w:r w:rsidRPr="003A0C5C">
        <w:rPr>
          <w:rFonts w:ascii="MS Gothic" w:eastAsia="MS Gothic" w:hAnsi="MS Gothic" w:cs="Arial" w:hint="eastAsia"/>
          <w:sz w:val="24"/>
          <w:szCs w:val="24"/>
        </w:rPr>
        <w:t>☐</w:t>
      </w:r>
      <w:r w:rsidRPr="003A0C5C">
        <w:rPr>
          <w:rFonts w:ascii="Arial" w:hAnsi="Arial" w:cs="Arial"/>
          <w:sz w:val="16"/>
          <w:szCs w:val="16"/>
        </w:rPr>
        <w:tab/>
        <w:t>Biological Resources</w:t>
      </w:r>
      <w:r w:rsidRPr="003A0C5C">
        <w:rPr>
          <w:rFonts w:ascii="Arial" w:hAnsi="Arial" w:cs="Arial"/>
          <w:sz w:val="16"/>
          <w:szCs w:val="16"/>
        </w:rPr>
        <w:tab/>
      </w:r>
      <w:r w:rsidRPr="003A0C5C">
        <w:rPr>
          <w:rFonts w:ascii="MS Gothic" w:eastAsia="MS Gothic" w:hAnsi="MS Gothic" w:cs="Arial" w:hint="eastAsia"/>
          <w:sz w:val="24"/>
          <w:szCs w:val="24"/>
        </w:rPr>
        <w:t>☐</w:t>
      </w:r>
      <w:r w:rsidRPr="003A0C5C">
        <w:rPr>
          <w:rFonts w:ascii="Arial" w:hAnsi="Arial" w:cs="Arial"/>
          <w:sz w:val="16"/>
          <w:szCs w:val="16"/>
        </w:rPr>
        <w:tab/>
        <w:t>Cultural Resources</w:t>
      </w:r>
      <w:r w:rsidRPr="003A0C5C">
        <w:rPr>
          <w:rFonts w:ascii="Arial" w:hAnsi="Arial" w:cs="Arial"/>
          <w:sz w:val="16"/>
          <w:szCs w:val="16"/>
        </w:rPr>
        <w:tab/>
      </w:r>
      <w:r w:rsidRPr="003A0C5C">
        <w:rPr>
          <w:rFonts w:ascii="MS Gothic" w:eastAsia="MS Gothic" w:hAnsi="MS Gothic" w:cs="Arial" w:hint="eastAsia"/>
          <w:sz w:val="24"/>
          <w:szCs w:val="24"/>
        </w:rPr>
        <w:t>☐</w:t>
      </w:r>
      <w:r w:rsidRPr="003A0C5C">
        <w:rPr>
          <w:rFonts w:ascii="Arial" w:hAnsi="Arial" w:cs="Arial"/>
          <w:sz w:val="16"/>
          <w:szCs w:val="16"/>
        </w:rPr>
        <w:tab/>
        <w:t>Energy</w:t>
      </w:r>
    </w:p>
    <w:p w14:paraId="6FA8DDBC" w14:textId="2A6E1CD1" w:rsidR="004F426E" w:rsidRPr="003A0C5C" w:rsidRDefault="004C5150" w:rsidP="00133AD7">
      <w:pPr>
        <w:tabs>
          <w:tab w:val="left" w:pos="360"/>
          <w:tab w:val="left" w:pos="2430"/>
          <w:tab w:val="left" w:pos="2790"/>
          <w:tab w:val="left" w:pos="5490"/>
          <w:tab w:val="left" w:pos="5940"/>
        </w:tabs>
        <w:rPr>
          <w:rFonts w:ascii="Arial" w:hAnsi="Arial" w:cs="Arial"/>
          <w:sz w:val="16"/>
          <w:szCs w:val="16"/>
        </w:rPr>
      </w:pPr>
      <w:r w:rsidRPr="003A0C5C">
        <w:rPr>
          <w:rFonts w:ascii="MS Gothic" w:eastAsia="MS Gothic" w:hAnsi="MS Gothic" w:cs="Arial" w:hint="eastAsia"/>
          <w:sz w:val="24"/>
          <w:szCs w:val="24"/>
        </w:rPr>
        <w:t>☐</w:t>
      </w:r>
      <w:r w:rsidR="004F426E" w:rsidRPr="003A0C5C">
        <w:rPr>
          <w:rFonts w:ascii="Arial" w:hAnsi="Arial" w:cs="Arial"/>
          <w:sz w:val="16"/>
          <w:szCs w:val="16"/>
        </w:rPr>
        <w:tab/>
        <w:t>Geology/Soils</w:t>
      </w:r>
      <w:r w:rsidR="004F426E" w:rsidRPr="003A0C5C">
        <w:rPr>
          <w:rFonts w:ascii="Arial" w:hAnsi="Arial" w:cs="Arial"/>
          <w:sz w:val="16"/>
          <w:szCs w:val="16"/>
        </w:rPr>
        <w:tab/>
      </w:r>
      <w:r w:rsidR="002F0FE0" w:rsidRPr="003A0C5C">
        <w:rPr>
          <w:rFonts w:ascii="MS Gothic" w:eastAsia="MS Gothic" w:hAnsi="MS Gothic" w:cs="Arial" w:hint="eastAsia"/>
          <w:sz w:val="24"/>
          <w:szCs w:val="24"/>
        </w:rPr>
        <w:t>☐</w:t>
      </w:r>
      <w:r w:rsidR="004F426E" w:rsidRPr="003A0C5C">
        <w:rPr>
          <w:rFonts w:ascii="Arial" w:hAnsi="Arial" w:cs="Arial"/>
          <w:sz w:val="16"/>
          <w:szCs w:val="16"/>
        </w:rPr>
        <w:tab/>
        <w:t>Greenhouse Gas Emissions</w:t>
      </w:r>
      <w:r w:rsidR="004F426E" w:rsidRPr="003A0C5C">
        <w:rPr>
          <w:rFonts w:ascii="Arial" w:hAnsi="Arial" w:cs="Arial"/>
          <w:sz w:val="16"/>
          <w:szCs w:val="16"/>
        </w:rPr>
        <w:tab/>
      </w:r>
      <w:r w:rsidR="004F426E" w:rsidRPr="003A0C5C">
        <w:rPr>
          <w:rFonts w:ascii="MS Gothic" w:eastAsia="MS Gothic" w:hAnsi="MS Gothic" w:cs="Arial" w:hint="eastAsia"/>
          <w:sz w:val="24"/>
          <w:szCs w:val="24"/>
        </w:rPr>
        <w:t>☐</w:t>
      </w:r>
      <w:r w:rsidR="004F426E" w:rsidRPr="003A0C5C">
        <w:rPr>
          <w:rFonts w:ascii="Arial" w:hAnsi="Arial" w:cs="Arial"/>
          <w:sz w:val="16"/>
          <w:szCs w:val="16"/>
        </w:rPr>
        <w:tab/>
        <w:t>Hazards &amp; Hazardous Materials</w:t>
      </w:r>
    </w:p>
    <w:p w14:paraId="3C4F5A4D" w14:textId="77777777" w:rsidR="004F426E" w:rsidRPr="003A0C5C" w:rsidRDefault="004F426E" w:rsidP="00133AD7">
      <w:pPr>
        <w:tabs>
          <w:tab w:val="left" w:pos="360"/>
          <w:tab w:val="left" w:pos="2430"/>
          <w:tab w:val="left" w:pos="2790"/>
          <w:tab w:val="left" w:pos="5490"/>
          <w:tab w:val="left" w:pos="5940"/>
        </w:tabs>
        <w:rPr>
          <w:rFonts w:ascii="Arial" w:hAnsi="Arial" w:cs="Arial"/>
          <w:sz w:val="16"/>
          <w:szCs w:val="16"/>
        </w:rPr>
      </w:pPr>
      <w:r w:rsidRPr="003A0C5C">
        <w:rPr>
          <w:rFonts w:ascii="MS Gothic" w:eastAsia="MS Gothic" w:hAnsi="MS Gothic" w:cs="Arial" w:hint="eastAsia"/>
          <w:sz w:val="24"/>
          <w:szCs w:val="24"/>
        </w:rPr>
        <w:t>☐</w:t>
      </w:r>
      <w:r w:rsidRPr="003A0C5C">
        <w:rPr>
          <w:rFonts w:ascii="Arial" w:hAnsi="Arial" w:cs="Arial"/>
          <w:sz w:val="16"/>
          <w:szCs w:val="16"/>
        </w:rPr>
        <w:tab/>
        <w:t>Hydrology/Water Quality</w:t>
      </w:r>
      <w:r w:rsidRPr="003A0C5C">
        <w:rPr>
          <w:rFonts w:ascii="Arial" w:hAnsi="Arial" w:cs="Arial"/>
          <w:sz w:val="16"/>
          <w:szCs w:val="16"/>
        </w:rPr>
        <w:tab/>
      </w:r>
      <w:r w:rsidRPr="003A0C5C">
        <w:rPr>
          <w:rFonts w:ascii="MS Gothic" w:eastAsia="MS Gothic" w:hAnsi="MS Gothic" w:cs="Arial" w:hint="eastAsia"/>
          <w:sz w:val="24"/>
          <w:szCs w:val="24"/>
        </w:rPr>
        <w:t>☐</w:t>
      </w:r>
      <w:r w:rsidRPr="003A0C5C">
        <w:rPr>
          <w:rFonts w:ascii="Arial" w:hAnsi="Arial" w:cs="Arial"/>
          <w:sz w:val="16"/>
          <w:szCs w:val="16"/>
        </w:rPr>
        <w:tab/>
        <w:t>Land Use/Planning</w:t>
      </w:r>
      <w:r w:rsidRPr="003A0C5C">
        <w:rPr>
          <w:rFonts w:ascii="Arial" w:hAnsi="Arial" w:cs="Arial"/>
          <w:sz w:val="16"/>
          <w:szCs w:val="16"/>
        </w:rPr>
        <w:tab/>
      </w:r>
      <w:r w:rsidRPr="003A0C5C">
        <w:rPr>
          <w:rFonts w:ascii="MS Gothic" w:eastAsia="MS Gothic" w:hAnsi="MS Gothic" w:cs="Arial" w:hint="eastAsia"/>
          <w:sz w:val="24"/>
          <w:szCs w:val="24"/>
        </w:rPr>
        <w:t>☐</w:t>
      </w:r>
      <w:r w:rsidRPr="003A0C5C">
        <w:rPr>
          <w:rFonts w:ascii="Arial" w:hAnsi="Arial" w:cs="Arial"/>
          <w:sz w:val="16"/>
          <w:szCs w:val="16"/>
        </w:rPr>
        <w:tab/>
        <w:t>Mineral Resources</w:t>
      </w:r>
    </w:p>
    <w:p w14:paraId="4B48101E" w14:textId="77777777" w:rsidR="004F426E" w:rsidRPr="003A0C5C" w:rsidRDefault="004F426E" w:rsidP="00133AD7">
      <w:pPr>
        <w:tabs>
          <w:tab w:val="left" w:pos="360"/>
          <w:tab w:val="left" w:pos="2430"/>
          <w:tab w:val="left" w:pos="2790"/>
          <w:tab w:val="left" w:pos="5490"/>
          <w:tab w:val="left" w:pos="5940"/>
        </w:tabs>
        <w:rPr>
          <w:rFonts w:ascii="Arial" w:hAnsi="Arial" w:cs="Arial"/>
          <w:sz w:val="16"/>
          <w:szCs w:val="16"/>
        </w:rPr>
      </w:pPr>
      <w:r w:rsidRPr="003A0C5C">
        <w:rPr>
          <w:rFonts w:ascii="MS Gothic" w:eastAsia="MS Gothic" w:hAnsi="MS Gothic" w:cs="Arial" w:hint="eastAsia"/>
          <w:sz w:val="24"/>
          <w:szCs w:val="24"/>
        </w:rPr>
        <w:t>☐</w:t>
      </w:r>
      <w:r w:rsidRPr="003A0C5C">
        <w:rPr>
          <w:rFonts w:ascii="Arial" w:hAnsi="Arial" w:cs="Arial"/>
          <w:sz w:val="16"/>
          <w:szCs w:val="16"/>
        </w:rPr>
        <w:tab/>
        <w:t>Noise</w:t>
      </w:r>
      <w:r w:rsidRPr="003A0C5C">
        <w:rPr>
          <w:rFonts w:ascii="Arial" w:hAnsi="Arial" w:cs="Arial"/>
          <w:sz w:val="16"/>
          <w:szCs w:val="16"/>
        </w:rPr>
        <w:tab/>
      </w:r>
      <w:r w:rsidRPr="003A0C5C">
        <w:rPr>
          <w:rFonts w:ascii="MS Gothic" w:eastAsia="MS Gothic" w:hAnsi="MS Gothic" w:cs="Arial" w:hint="eastAsia"/>
          <w:sz w:val="24"/>
          <w:szCs w:val="24"/>
        </w:rPr>
        <w:t>☐</w:t>
      </w:r>
      <w:r w:rsidRPr="003A0C5C">
        <w:rPr>
          <w:rFonts w:ascii="Arial" w:hAnsi="Arial" w:cs="Arial"/>
          <w:sz w:val="16"/>
          <w:szCs w:val="16"/>
        </w:rPr>
        <w:tab/>
        <w:t>Population/Housing</w:t>
      </w:r>
      <w:r w:rsidRPr="003A0C5C">
        <w:rPr>
          <w:rFonts w:ascii="Arial" w:hAnsi="Arial" w:cs="Arial"/>
          <w:sz w:val="16"/>
          <w:szCs w:val="16"/>
        </w:rPr>
        <w:tab/>
      </w:r>
      <w:r w:rsidRPr="003A0C5C">
        <w:rPr>
          <w:rFonts w:ascii="MS Gothic" w:eastAsia="MS Gothic" w:hAnsi="MS Gothic" w:cs="Arial" w:hint="eastAsia"/>
          <w:sz w:val="24"/>
          <w:szCs w:val="24"/>
        </w:rPr>
        <w:t>☐</w:t>
      </w:r>
      <w:r w:rsidRPr="003A0C5C">
        <w:rPr>
          <w:rFonts w:ascii="Arial" w:hAnsi="Arial" w:cs="Arial"/>
          <w:sz w:val="16"/>
          <w:szCs w:val="16"/>
        </w:rPr>
        <w:tab/>
        <w:t>Public Services</w:t>
      </w:r>
    </w:p>
    <w:p w14:paraId="269F2811" w14:textId="038E2460" w:rsidR="004F426E" w:rsidRPr="003A0C5C" w:rsidRDefault="004F426E" w:rsidP="00133AD7">
      <w:pPr>
        <w:tabs>
          <w:tab w:val="left" w:pos="360"/>
          <w:tab w:val="left" w:pos="2430"/>
          <w:tab w:val="left" w:pos="2790"/>
          <w:tab w:val="left" w:pos="5490"/>
          <w:tab w:val="left" w:pos="5940"/>
        </w:tabs>
        <w:rPr>
          <w:rFonts w:ascii="Arial" w:hAnsi="Arial" w:cs="Arial"/>
          <w:sz w:val="16"/>
          <w:szCs w:val="16"/>
        </w:rPr>
      </w:pPr>
      <w:r w:rsidRPr="003A0C5C">
        <w:rPr>
          <w:rFonts w:ascii="MS Gothic" w:eastAsia="MS Gothic" w:hAnsi="MS Gothic" w:cs="Arial" w:hint="eastAsia"/>
          <w:sz w:val="24"/>
          <w:szCs w:val="24"/>
        </w:rPr>
        <w:t>☐</w:t>
      </w:r>
      <w:r w:rsidRPr="003A0C5C">
        <w:rPr>
          <w:rFonts w:ascii="Arial" w:hAnsi="Arial" w:cs="Arial"/>
          <w:sz w:val="16"/>
          <w:szCs w:val="16"/>
        </w:rPr>
        <w:tab/>
        <w:t>Recreation</w:t>
      </w:r>
      <w:r w:rsidRPr="003A0C5C">
        <w:rPr>
          <w:rFonts w:ascii="Arial" w:hAnsi="Arial" w:cs="Arial"/>
          <w:sz w:val="16"/>
          <w:szCs w:val="16"/>
        </w:rPr>
        <w:tab/>
      </w:r>
      <w:r w:rsidR="002F0FE0" w:rsidRPr="003A0C5C">
        <w:rPr>
          <w:rFonts w:ascii="MS Gothic" w:eastAsia="MS Gothic" w:hAnsi="MS Gothic" w:cs="Arial" w:hint="eastAsia"/>
          <w:sz w:val="24"/>
          <w:szCs w:val="24"/>
        </w:rPr>
        <w:t>☐</w:t>
      </w:r>
      <w:r w:rsidRPr="003A0C5C">
        <w:rPr>
          <w:rFonts w:ascii="Arial" w:hAnsi="Arial" w:cs="Arial"/>
          <w:sz w:val="16"/>
          <w:szCs w:val="16"/>
        </w:rPr>
        <w:tab/>
        <w:t>Transportation</w:t>
      </w:r>
      <w:r w:rsidRPr="003A0C5C">
        <w:rPr>
          <w:rFonts w:ascii="Arial" w:hAnsi="Arial" w:cs="Arial"/>
          <w:sz w:val="16"/>
          <w:szCs w:val="16"/>
        </w:rPr>
        <w:tab/>
      </w:r>
      <w:r w:rsidR="004C5150" w:rsidRPr="003A0C5C">
        <w:rPr>
          <w:rFonts w:ascii="MS Gothic" w:eastAsia="MS Gothic" w:hAnsi="MS Gothic" w:cs="Arial" w:hint="eastAsia"/>
          <w:sz w:val="24"/>
          <w:szCs w:val="24"/>
        </w:rPr>
        <w:t>☐</w:t>
      </w:r>
      <w:r w:rsidRPr="003A0C5C">
        <w:rPr>
          <w:rFonts w:ascii="Arial" w:hAnsi="Arial" w:cs="Arial"/>
          <w:sz w:val="16"/>
          <w:szCs w:val="16"/>
        </w:rPr>
        <w:tab/>
        <w:t>Tribal Cultural Resources</w:t>
      </w:r>
    </w:p>
    <w:p w14:paraId="42D0CD7F" w14:textId="77777777" w:rsidR="004F426E" w:rsidRPr="003A0C5C" w:rsidRDefault="004F426E" w:rsidP="00133AD7">
      <w:pPr>
        <w:tabs>
          <w:tab w:val="left" w:pos="360"/>
          <w:tab w:val="left" w:pos="2430"/>
          <w:tab w:val="left" w:pos="2790"/>
          <w:tab w:val="left" w:pos="5490"/>
          <w:tab w:val="left" w:pos="5940"/>
        </w:tabs>
        <w:rPr>
          <w:rFonts w:ascii="Arial" w:hAnsi="Arial" w:cs="Arial"/>
          <w:sz w:val="16"/>
          <w:szCs w:val="16"/>
        </w:rPr>
      </w:pPr>
      <w:r w:rsidRPr="003A0C5C">
        <w:rPr>
          <w:rFonts w:ascii="MS Gothic" w:eastAsia="MS Gothic" w:hAnsi="MS Gothic" w:cs="Arial" w:hint="eastAsia"/>
          <w:sz w:val="24"/>
          <w:szCs w:val="24"/>
        </w:rPr>
        <w:t>☐</w:t>
      </w:r>
      <w:r w:rsidRPr="003A0C5C">
        <w:rPr>
          <w:rFonts w:ascii="Arial" w:hAnsi="Arial" w:cs="Arial"/>
          <w:sz w:val="16"/>
          <w:szCs w:val="16"/>
        </w:rPr>
        <w:tab/>
        <w:t>Utilities/Service Systems</w:t>
      </w:r>
      <w:r w:rsidRPr="003A0C5C">
        <w:rPr>
          <w:rFonts w:ascii="Arial" w:hAnsi="Arial" w:cs="Arial"/>
          <w:sz w:val="16"/>
          <w:szCs w:val="16"/>
        </w:rPr>
        <w:tab/>
      </w:r>
      <w:r w:rsidRPr="003A0C5C">
        <w:rPr>
          <w:rFonts w:ascii="MS Gothic" w:eastAsia="MS Gothic" w:hAnsi="MS Gothic" w:cs="Arial" w:hint="eastAsia"/>
          <w:sz w:val="24"/>
          <w:szCs w:val="24"/>
        </w:rPr>
        <w:t>☐</w:t>
      </w:r>
      <w:r w:rsidRPr="003A0C5C">
        <w:rPr>
          <w:rFonts w:ascii="Arial" w:hAnsi="Arial" w:cs="Arial"/>
          <w:sz w:val="16"/>
          <w:szCs w:val="16"/>
        </w:rPr>
        <w:tab/>
        <w:t>Wildfire</w:t>
      </w:r>
      <w:r w:rsidRPr="003A0C5C">
        <w:rPr>
          <w:rFonts w:ascii="Arial" w:hAnsi="Arial" w:cs="Arial"/>
          <w:sz w:val="16"/>
          <w:szCs w:val="16"/>
        </w:rPr>
        <w:tab/>
      </w:r>
      <w:r w:rsidRPr="003A0C5C">
        <w:rPr>
          <w:rFonts w:ascii="MS Gothic" w:eastAsia="MS Gothic" w:hAnsi="MS Gothic" w:cs="Arial" w:hint="eastAsia"/>
          <w:sz w:val="24"/>
          <w:szCs w:val="24"/>
        </w:rPr>
        <w:t>☐</w:t>
      </w:r>
      <w:r w:rsidRPr="003A0C5C">
        <w:rPr>
          <w:rFonts w:ascii="Arial" w:hAnsi="Arial" w:cs="Arial"/>
          <w:sz w:val="16"/>
          <w:szCs w:val="16"/>
        </w:rPr>
        <w:tab/>
        <w:t>Mandatory Findings of Significance</w:t>
      </w:r>
    </w:p>
    <w:p w14:paraId="5F685940" w14:textId="77777777" w:rsidR="004F426E" w:rsidRPr="003A0C5C" w:rsidRDefault="004F426E" w:rsidP="00133AD7">
      <w:pPr>
        <w:rPr>
          <w:highlight w:val="yellow"/>
        </w:rPr>
      </w:pPr>
    </w:p>
    <w:p w14:paraId="4134DD78" w14:textId="60CDA24A" w:rsidR="004F426E" w:rsidRPr="003A0C5C" w:rsidRDefault="00D429CF" w:rsidP="00D429CF">
      <w:pPr>
        <w:pStyle w:val="Heading3"/>
      </w:pPr>
      <w:bookmarkStart w:id="12" w:name="_Toc101791968"/>
      <w:r w:rsidRPr="003A0C5C">
        <w:t>Determination</w:t>
      </w:r>
      <w:bookmarkEnd w:id="12"/>
    </w:p>
    <w:p w14:paraId="242109AE" w14:textId="77777777" w:rsidR="004F426E" w:rsidRPr="003A0C5C" w:rsidRDefault="004F426E" w:rsidP="00CD41F9">
      <w:pPr>
        <w:pStyle w:val="12space"/>
        <w:keepNext/>
        <w:spacing w:after="180"/>
      </w:pPr>
      <w:r w:rsidRPr="003A0C5C">
        <w:t>On the basis of this initial study:</w:t>
      </w:r>
    </w:p>
    <w:tbl>
      <w:tblPr>
        <w:tblW w:w="8810" w:type="dxa"/>
        <w:tblLayout w:type="fixed"/>
        <w:tblCellMar>
          <w:left w:w="80" w:type="dxa"/>
          <w:right w:w="80" w:type="dxa"/>
        </w:tblCellMar>
        <w:tblLook w:val="0000" w:firstRow="0" w:lastRow="0" w:firstColumn="0" w:lastColumn="0" w:noHBand="0" w:noVBand="0"/>
      </w:tblPr>
      <w:tblGrid>
        <w:gridCol w:w="620"/>
        <w:gridCol w:w="8190"/>
      </w:tblGrid>
      <w:tr w:rsidR="003A0C5C" w:rsidRPr="003A0C5C" w14:paraId="33F3C71C" w14:textId="77777777" w:rsidTr="00133AD7">
        <w:trPr>
          <w:cantSplit/>
        </w:trPr>
        <w:tc>
          <w:tcPr>
            <w:tcW w:w="620" w:type="dxa"/>
          </w:tcPr>
          <w:p w14:paraId="34EDD150" w14:textId="73D6722D" w:rsidR="00CD41F9" w:rsidRPr="003A0C5C" w:rsidRDefault="002348BC" w:rsidP="00CD41F9">
            <w:pPr>
              <w:spacing w:before="20" w:after="200" w:line="240" w:lineRule="exact"/>
              <w:jc w:val="center"/>
              <w:rPr>
                <w:sz w:val="24"/>
                <w:szCs w:val="24"/>
              </w:rPr>
            </w:pPr>
            <w:sdt>
              <w:sdtPr>
                <w:id w:val="505025380"/>
                <w14:checkbox>
                  <w14:checked w14:val="0"/>
                  <w14:checkedState w14:val="2612" w14:font="MS Gothic"/>
                  <w14:uncheckedState w14:val="2610" w14:font="MS Gothic"/>
                </w14:checkbox>
              </w:sdtPr>
              <w:sdtEndPr/>
              <w:sdtContent>
                <w:r w:rsidR="00CD41F9" w:rsidRPr="003A0C5C">
                  <w:t>☐</w:t>
                </w:r>
              </w:sdtContent>
            </w:sdt>
          </w:p>
        </w:tc>
        <w:tc>
          <w:tcPr>
            <w:tcW w:w="8190" w:type="dxa"/>
          </w:tcPr>
          <w:p w14:paraId="2283C39B" w14:textId="77777777" w:rsidR="00CD41F9" w:rsidRPr="003A0C5C" w:rsidRDefault="00CD41F9" w:rsidP="00CD41F9">
            <w:pPr>
              <w:spacing w:after="200" w:line="240" w:lineRule="exact"/>
            </w:pPr>
            <w:r w:rsidRPr="003A0C5C">
              <w:t>I find that the proposed project COULD NOT have a significant effect on the environment, and a NEGATIVE DECLARATION will be prepared.</w:t>
            </w:r>
          </w:p>
        </w:tc>
      </w:tr>
      <w:tr w:rsidR="003A0C5C" w:rsidRPr="003A0C5C" w14:paraId="4F95D1D0" w14:textId="77777777" w:rsidTr="00133AD7">
        <w:trPr>
          <w:cantSplit/>
        </w:trPr>
        <w:tc>
          <w:tcPr>
            <w:tcW w:w="620" w:type="dxa"/>
          </w:tcPr>
          <w:p w14:paraId="2A2A40AF" w14:textId="59A2CB9C" w:rsidR="00CD41F9" w:rsidRPr="003A0C5C" w:rsidRDefault="002348BC" w:rsidP="00CD41F9">
            <w:pPr>
              <w:spacing w:before="20" w:after="200" w:line="240" w:lineRule="exact"/>
              <w:jc w:val="center"/>
              <w:rPr>
                <w:sz w:val="24"/>
                <w:szCs w:val="24"/>
              </w:rPr>
            </w:pPr>
            <w:sdt>
              <w:sdtPr>
                <w:id w:val="1587335624"/>
                <w14:checkbox>
                  <w14:checked w14:val="1"/>
                  <w14:checkedState w14:val="2612" w14:font="MS Gothic"/>
                  <w14:uncheckedState w14:val="2610" w14:font="MS Gothic"/>
                </w14:checkbox>
              </w:sdtPr>
              <w:sdtEndPr/>
              <w:sdtContent>
                <w:r w:rsidR="00470830" w:rsidRPr="003A0C5C">
                  <w:rPr>
                    <w:rFonts w:ascii="MS Gothic" w:eastAsia="MS Gothic" w:hAnsi="MS Gothic" w:hint="eastAsia"/>
                  </w:rPr>
                  <w:t>☒</w:t>
                </w:r>
              </w:sdtContent>
            </w:sdt>
          </w:p>
        </w:tc>
        <w:tc>
          <w:tcPr>
            <w:tcW w:w="8190" w:type="dxa"/>
          </w:tcPr>
          <w:p w14:paraId="3200464D" w14:textId="77777777" w:rsidR="00CD41F9" w:rsidRPr="003A0C5C" w:rsidRDefault="00CD41F9" w:rsidP="00CD41F9">
            <w:pPr>
              <w:spacing w:after="200" w:line="240" w:lineRule="exact"/>
            </w:pPr>
            <w:r w:rsidRPr="003A0C5C">
              <w:t xml:space="preserve">I find that although the proposed project could have a significant effect on the environment, there will not be a significant effect in this case because revisions in the project have been made by or agreed to by the project proponent. A MITIGATED NEGATIVE DECLARATION will be prepared. </w:t>
            </w:r>
          </w:p>
        </w:tc>
      </w:tr>
      <w:tr w:rsidR="003A0C5C" w:rsidRPr="003A0C5C" w14:paraId="1E74D4AA" w14:textId="77777777" w:rsidTr="00133AD7">
        <w:trPr>
          <w:cantSplit/>
        </w:trPr>
        <w:tc>
          <w:tcPr>
            <w:tcW w:w="620" w:type="dxa"/>
          </w:tcPr>
          <w:p w14:paraId="419EEA3C" w14:textId="44AF94E3" w:rsidR="00CD41F9" w:rsidRPr="003A0C5C" w:rsidRDefault="002348BC" w:rsidP="00CD41F9">
            <w:pPr>
              <w:spacing w:before="20" w:after="200" w:line="240" w:lineRule="exact"/>
              <w:jc w:val="center"/>
              <w:rPr>
                <w:sz w:val="24"/>
                <w:szCs w:val="24"/>
              </w:rPr>
            </w:pPr>
            <w:sdt>
              <w:sdtPr>
                <w:id w:val="-865290545"/>
                <w14:checkbox>
                  <w14:checked w14:val="0"/>
                  <w14:checkedState w14:val="2612" w14:font="MS Gothic"/>
                  <w14:uncheckedState w14:val="2610" w14:font="MS Gothic"/>
                </w14:checkbox>
              </w:sdtPr>
              <w:sdtEndPr/>
              <w:sdtContent>
                <w:r w:rsidR="00CD41F9" w:rsidRPr="003A0C5C">
                  <w:t>☐</w:t>
                </w:r>
              </w:sdtContent>
            </w:sdt>
          </w:p>
        </w:tc>
        <w:tc>
          <w:tcPr>
            <w:tcW w:w="8190" w:type="dxa"/>
          </w:tcPr>
          <w:p w14:paraId="088CD931" w14:textId="07508EBF" w:rsidR="00CD41F9" w:rsidRPr="003A0C5C" w:rsidRDefault="00CD41F9" w:rsidP="00CD41F9">
            <w:pPr>
              <w:spacing w:after="200" w:line="240" w:lineRule="exact"/>
            </w:pPr>
            <w:r w:rsidRPr="003A0C5C">
              <w:t xml:space="preserve">I find that the proposed project MAY have a significant effect on the environment, and an </w:t>
            </w:r>
            <w:r w:rsidR="00127136" w:rsidRPr="003A0C5C">
              <w:t>ENVIRONMENTAL IMPACT REPORT</w:t>
            </w:r>
            <w:r w:rsidRPr="003A0C5C">
              <w:t xml:space="preserve"> is required.</w:t>
            </w:r>
          </w:p>
        </w:tc>
      </w:tr>
      <w:tr w:rsidR="003A0C5C" w:rsidRPr="003A0C5C" w14:paraId="6CFD858F" w14:textId="77777777" w:rsidTr="00133AD7">
        <w:trPr>
          <w:cantSplit/>
        </w:trPr>
        <w:tc>
          <w:tcPr>
            <w:tcW w:w="620" w:type="dxa"/>
          </w:tcPr>
          <w:p w14:paraId="030F4984" w14:textId="4C98023E" w:rsidR="00CD41F9" w:rsidRPr="003A0C5C" w:rsidRDefault="002348BC" w:rsidP="00CD41F9">
            <w:pPr>
              <w:spacing w:before="20" w:after="200" w:line="240" w:lineRule="exact"/>
              <w:jc w:val="center"/>
              <w:rPr>
                <w:sz w:val="24"/>
                <w:szCs w:val="24"/>
              </w:rPr>
            </w:pPr>
            <w:sdt>
              <w:sdtPr>
                <w:id w:val="-681515222"/>
                <w14:checkbox>
                  <w14:checked w14:val="0"/>
                  <w14:checkedState w14:val="2612" w14:font="MS Gothic"/>
                  <w14:uncheckedState w14:val="2610" w14:font="MS Gothic"/>
                </w14:checkbox>
              </w:sdtPr>
              <w:sdtEndPr/>
              <w:sdtContent>
                <w:r w:rsidR="00CD41F9" w:rsidRPr="003A0C5C">
                  <w:t>☐</w:t>
                </w:r>
              </w:sdtContent>
            </w:sdt>
          </w:p>
        </w:tc>
        <w:tc>
          <w:tcPr>
            <w:tcW w:w="8190" w:type="dxa"/>
          </w:tcPr>
          <w:p w14:paraId="7C83F290" w14:textId="381F699F" w:rsidR="00CD41F9" w:rsidRPr="003A0C5C" w:rsidRDefault="00CD41F9" w:rsidP="00CD41F9">
            <w:pPr>
              <w:spacing w:after="200" w:line="240" w:lineRule="exact"/>
            </w:pPr>
            <w:r w:rsidRPr="003A0C5C">
              <w:t xml:space="preserve">I find that the proposed project MAY have a </w:t>
            </w:r>
            <w:r w:rsidR="00D678AB" w:rsidRPr="003A0C5C">
              <w:t>“</w:t>
            </w:r>
            <w:r w:rsidRPr="003A0C5C">
              <w:t>potentially significant impact</w:t>
            </w:r>
            <w:r w:rsidR="00D678AB" w:rsidRPr="003A0C5C">
              <w:t>”</w:t>
            </w:r>
            <w:r w:rsidRPr="003A0C5C">
              <w:t xml:space="preserve"> or </w:t>
            </w:r>
            <w:r w:rsidR="00D678AB" w:rsidRPr="003A0C5C">
              <w:t>“</w:t>
            </w:r>
            <w:r w:rsidRPr="003A0C5C">
              <w:t>potentially significant unless mitigated</w:t>
            </w:r>
            <w:r w:rsidR="00D678AB" w:rsidRPr="003A0C5C">
              <w:t>”</w:t>
            </w:r>
            <w:r w:rsidRPr="003A0C5C">
              <w:t xml:space="preserve"> impact on the environment, but at least one effect (1) has been adequately analyzed in an earlier document pursuant to applicable legal standards, and (2) has been addressed by mitigation measures based on the earlier analysis as described on attached sheets. An ENVIRONMENTAL IMPACT REPORT is required, but it must analyze only the effects that remain to be addressed. </w:t>
            </w:r>
          </w:p>
        </w:tc>
      </w:tr>
      <w:tr w:rsidR="00CD41F9" w:rsidRPr="003A0C5C" w14:paraId="6D3D238A" w14:textId="77777777" w:rsidTr="00133AD7">
        <w:trPr>
          <w:cantSplit/>
        </w:trPr>
        <w:tc>
          <w:tcPr>
            <w:tcW w:w="620" w:type="dxa"/>
          </w:tcPr>
          <w:p w14:paraId="54F9AA78" w14:textId="0B672543" w:rsidR="00CD41F9" w:rsidRPr="003A0C5C" w:rsidRDefault="002348BC" w:rsidP="00CD41F9">
            <w:pPr>
              <w:spacing w:before="20" w:after="240" w:line="240" w:lineRule="exact"/>
              <w:jc w:val="center"/>
              <w:rPr>
                <w:sz w:val="24"/>
                <w:szCs w:val="24"/>
              </w:rPr>
            </w:pPr>
            <w:sdt>
              <w:sdtPr>
                <w:id w:val="708152459"/>
                <w14:checkbox>
                  <w14:checked w14:val="0"/>
                  <w14:checkedState w14:val="2612" w14:font="MS Gothic"/>
                  <w14:uncheckedState w14:val="2610" w14:font="MS Gothic"/>
                </w14:checkbox>
              </w:sdtPr>
              <w:sdtEndPr/>
              <w:sdtContent>
                <w:r w:rsidR="00CD41F9" w:rsidRPr="003A0C5C">
                  <w:t>☐</w:t>
                </w:r>
              </w:sdtContent>
            </w:sdt>
          </w:p>
        </w:tc>
        <w:tc>
          <w:tcPr>
            <w:tcW w:w="8190" w:type="dxa"/>
          </w:tcPr>
          <w:p w14:paraId="090DB09D" w14:textId="77777777" w:rsidR="00CD41F9" w:rsidRPr="003A0C5C" w:rsidRDefault="00CD41F9" w:rsidP="00CD41F9">
            <w:pPr>
              <w:spacing w:after="240" w:line="240" w:lineRule="exact"/>
            </w:pPr>
            <w:r w:rsidRPr="003A0C5C">
              <w:t xml:space="preserve">I find that although the proposed project could have a significant effect on the environment, because all potentially significant effects (a) have been analyzed adequately in an earlier EIR or NEGATIVE DECLARATION pursuant to applicable standards, and (b) have been avoided or mitigated pursuant to that earlier EIR or NEGATIVE DECLARATION, including revisions or mitigation measures that are imposed upon the proposed project, nothing further is required. </w:t>
            </w:r>
          </w:p>
        </w:tc>
      </w:tr>
    </w:tbl>
    <w:p w14:paraId="5D89614A" w14:textId="77777777" w:rsidR="004F426E" w:rsidRPr="003A0C5C" w:rsidRDefault="004F426E" w:rsidP="00133AD7">
      <w:pPr>
        <w:rPr>
          <w:highlight w:val="yellow"/>
        </w:rPr>
      </w:pPr>
    </w:p>
    <w:p w14:paraId="7A662CF8" w14:textId="77777777" w:rsidR="004F426E" w:rsidRPr="003A0C5C" w:rsidRDefault="004F426E" w:rsidP="00133AD7">
      <w:pPr>
        <w:rPr>
          <w:highlight w:val="yellow"/>
        </w:rPr>
      </w:pPr>
    </w:p>
    <w:p w14:paraId="3CD8252C" w14:textId="77777777" w:rsidR="004F426E" w:rsidRPr="003A0C5C" w:rsidRDefault="004F426E" w:rsidP="00133AD7">
      <w:pPr>
        <w:tabs>
          <w:tab w:val="right" w:pos="4680"/>
          <w:tab w:val="left" w:pos="5400"/>
          <w:tab w:val="right" w:pos="8640"/>
        </w:tabs>
        <w:rPr>
          <w:rStyle w:val="Underline"/>
        </w:rPr>
      </w:pPr>
      <w:r w:rsidRPr="003A0C5C">
        <w:rPr>
          <w:rStyle w:val="Underline"/>
        </w:rPr>
        <w:tab/>
      </w:r>
      <w:r w:rsidRPr="003A0C5C">
        <w:tab/>
      </w:r>
      <w:r w:rsidRPr="003A0C5C">
        <w:rPr>
          <w:rStyle w:val="Underline"/>
        </w:rPr>
        <w:tab/>
      </w:r>
    </w:p>
    <w:p w14:paraId="1E4AA527" w14:textId="77777777" w:rsidR="00355E1F" w:rsidRPr="003A0C5C" w:rsidRDefault="00355E1F" w:rsidP="00355E1F">
      <w:pPr>
        <w:tabs>
          <w:tab w:val="left" w:pos="5400"/>
        </w:tabs>
      </w:pPr>
      <w:r w:rsidRPr="003A0C5C">
        <w:t>Signature</w:t>
      </w:r>
      <w:r w:rsidRPr="003A0C5C">
        <w:tab/>
        <w:t>Date</w:t>
      </w:r>
    </w:p>
    <w:p w14:paraId="48648630" w14:textId="77777777" w:rsidR="004F426E" w:rsidRPr="003A0C5C" w:rsidRDefault="004F426E" w:rsidP="009E6D97"/>
    <w:p w14:paraId="537CA80B" w14:textId="77777777" w:rsidR="004F426E" w:rsidRPr="003A0C5C" w:rsidRDefault="004F426E" w:rsidP="00133AD7">
      <w:pPr>
        <w:tabs>
          <w:tab w:val="right" w:pos="4680"/>
          <w:tab w:val="left" w:pos="5400"/>
          <w:tab w:val="right" w:pos="8640"/>
        </w:tabs>
        <w:rPr>
          <w:rStyle w:val="Underline"/>
        </w:rPr>
      </w:pPr>
      <w:r w:rsidRPr="003A0C5C">
        <w:rPr>
          <w:rStyle w:val="Underline"/>
        </w:rPr>
        <w:tab/>
      </w:r>
      <w:r w:rsidRPr="003A0C5C">
        <w:tab/>
      </w:r>
      <w:r w:rsidRPr="003A0C5C">
        <w:rPr>
          <w:rStyle w:val="Underline"/>
        </w:rPr>
        <w:tab/>
      </w:r>
    </w:p>
    <w:p w14:paraId="07601959" w14:textId="623F142D" w:rsidR="004F426E" w:rsidRPr="003A0C5C" w:rsidRDefault="004F426E" w:rsidP="00EE1CFD">
      <w:pPr>
        <w:tabs>
          <w:tab w:val="left" w:pos="5400"/>
        </w:tabs>
        <w:rPr>
          <w:highlight w:val="yellow"/>
        </w:rPr>
      </w:pPr>
      <w:r w:rsidRPr="003A0C5C">
        <w:t>Signature</w:t>
      </w:r>
      <w:r w:rsidRPr="003A0C5C">
        <w:tab/>
        <w:t>Date</w:t>
      </w:r>
      <w:r w:rsidR="00EE1CFD" w:rsidRPr="003A0C5C">
        <w:t xml:space="preserve"> </w:t>
      </w:r>
    </w:p>
    <w:p w14:paraId="5C2D1848" w14:textId="77777777" w:rsidR="00345FC4" w:rsidRPr="003A0C5C" w:rsidRDefault="00345FC4" w:rsidP="00345FC4">
      <w:pPr>
        <w:pStyle w:val="BlankPage"/>
        <w:framePr w:wrap="around"/>
      </w:pPr>
      <w:r w:rsidRPr="003A0C5C">
        <w:lastRenderedPageBreak/>
        <w:t>Page intentionally blank</w:t>
      </w:r>
    </w:p>
    <w:p w14:paraId="3FBEA4B4" w14:textId="149FDC66" w:rsidR="00345FC4" w:rsidRPr="003A0C5C" w:rsidRDefault="00345FC4" w:rsidP="00133AD7">
      <w:pPr>
        <w:rPr>
          <w:highlight w:val="yellow"/>
        </w:rPr>
        <w:sectPr w:rsidR="00345FC4" w:rsidRPr="003A0C5C" w:rsidSect="00345FC4">
          <w:headerReference w:type="even" r:id="rId29"/>
          <w:headerReference w:type="default" r:id="rId30"/>
          <w:footerReference w:type="default" r:id="rId31"/>
          <w:footerReference w:type="first" r:id="rId32"/>
          <w:pgSz w:w="12240" w:h="15840" w:code="1"/>
          <w:pgMar w:top="1440" w:right="1800" w:bottom="1440" w:left="1800" w:header="720" w:footer="576" w:gutter="0"/>
          <w:pgNumType w:start="1"/>
          <w:cols w:space="720"/>
          <w:titlePg/>
          <w:docGrid w:linePitch="360"/>
        </w:sectPr>
      </w:pPr>
    </w:p>
    <w:p w14:paraId="365888AC" w14:textId="77777777" w:rsidR="00AD6E68" w:rsidRPr="003A0C5C" w:rsidRDefault="00AD6E68" w:rsidP="00AD6E68">
      <w:pPr>
        <w:pStyle w:val="Heading1"/>
      </w:pPr>
      <w:bookmarkStart w:id="13" w:name="_Toc74760334"/>
      <w:bookmarkStart w:id="14" w:name="_Toc94184387"/>
      <w:bookmarkStart w:id="15" w:name="_Toc99526963"/>
      <w:bookmarkStart w:id="16" w:name="_Toc101791969"/>
      <w:r w:rsidRPr="003A0C5C">
        <w:lastRenderedPageBreak/>
        <w:t>Chapter 2</w:t>
      </w:r>
      <w:bookmarkEnd w:id="13"/>
      <w:bookmarkEnd w:id="14"/>
      <w:bookmarkEnd w:id="15"/>
      <w:bookmarkEnd w:id="16"/>
    </w:p>
    <w:p w14:paraId="7D7FF510" w14:textId="77777777" w:rsidR="00AD6E68" w:rsidRPr="003A0C5C" w:rsidRDefault="00AD6E68" w:rsidP="00AD6E68">
      <w:pPr>
        <w:pStyle w:val="Heading2"/>
      </w:pPr>
      <w:bookmarkStart w:id="17" w:name="_Toc101791970"/>
      <w:r w:rsidRPr="003A0C5C">
        <w:t>Project Description</w:t>
      </w:r>
      <w:bookmarkEnd w:id="17"/>
    </w:p>
    <w:p w14:paraId="30E96B10" w14:textId="77777777" w:rsidR="00AD6E68" w:rsidRPr="003A0C5C" w:rsidRDefault="00AD6E68" w:rsidP="00AD6E68">
      <w:pPr>
        <w:pStyle w:val="Heading3"/>
      </w:pPr>
      <w:bookmarkStart w:id="18" w:name="_Toc101791971"/>
      <w:r w:rsidRPr="003A0C5C">
        <w:t>2.1</w:t>
      </w:r>
      <w:r w:rsidRPr="003A0C5C">
        <w:tab/>
        <w:t>Project Overview</w:t>
      </w:r>
      <w:bookmarkEnd w:id="18"/>
    </w:p>
    <w:p w14:paraId="16ED0207" w14:textId="593A36A1" w:rsidR="003F2609" w:rsidRPr="003A0C5C" w:rsidRDefault="003F2609" w:rsidP="003F2609">
      <w:pPr>
        <w:pStyle w:val="12space"/>
      </w:pPr>
      <w:r w:rsidRPr="003A0C5C">
        <w:t xml:space="preserve">The proposed project is a self‐storage facility </w:t>
      </w:r>
      <w:r w:rsidR="0084223B" w:rsidRPr="003A0C5C">
        <w:t xml:space="preserve">consisting </w:t>
      </w:r>
      <w:r w:rsidRPr="003A0C5C">
        <w:t xml:space="preserve">of approximately 113,714 square feet in a mix of </w:t>
      </w:r>
      <w:r w:rsidR="00297E4B" w:rsidRPr="003A0C5C">
        <w:t>one</w:t>
      </w:r>
      <w:r w:rsidRPr="003A0C5C">
        <w:t xml:space="preserve">‐ and </w:t>
      </w:r>
      <w:r w:rsidR="00297E4B" w:rsidRPr="003A0C5C">
        <w:t>two</w:t>
      </w:r>
      <w:r w:rsidRPr="003A0C5C">
        <w:t xml:space="preserve">‐story buildings, with a maximum height of 31 feet. The </w:t>
      </w:r>
      <w:r w:rsidR="00820DB7" w:rsidRPr="003A0C5C">
        <w:t>113,714</w:t>
      </w:r>
      <w:r w:rsidR="00297E4B" w:rsidRPr="003A0C5C">
        <w:t>-</w:t>
      </w:r>
      <w:r w:rsidR="00820DB7" w:rsidRPr="003A0C5C">
        <w:t>square</w:t>
      </w:r>
      <w:r w:rsidR="00297E4B" w:rsidRPr="003A0C5C">
        <w:t>-</w:t>
      </w:r>
      <w:r w:rsidR="00820DB7" w:rsidRPr="003A0C5C">
        <w:t xml:space="preserve">foot </w:t>
      </w:r>
      <w:r w:rsidRPr="003A0C5C">
        <w:t>self‐storage facility would include a lobby/self-storage office</w:t>
      </w:r>
      <w:r w:rsidR="00F1295A" w:rsidRPr="003A0C5C">
        <w:t xml:space="preserve"> (2,425 square feet), </w:t>
      </w:r>
      <w:r w:rsidR="0060361D" w:rsidRPr="003A0C5C">
        <w:t xml:space="preserve">cafe </w:t>
      </w:r>
      <w:r w:rsidR="00F1295A" w:rsidRPr="003A0C5C">
        <w:t xml:space="preserve">(1,550 square feet), and </w:t>
      </w:r>
      <w:r w:rsidRPr="003A0C5C">
        <w:t>retail uses</w:t>
      </w:r>
      <w:r w:rsidR="00F1295A" w:rsidRPr="003A0C5C">
        <w:t xml:space="preserve"> (700 square feet)</w:t>
      </w:r>
      <w:r w:rsidRPr="003A0C5C">
        <w:t xml:space="preserve"> totaling 4,675 square feet. </w:t>
      </w:r>
    </w:p>
    <w:p w14:paraId="1D738CFA" w14:textId="6DB087D6" w:rsidR="003F2609" w:rsidRPr="003A0C5C" w:rsidRDefault="003F2609" w:rsidP="003F2609">
      <w:pPr>
        <w:pStyle w:val="12space"/>
      </w:pPr>
      <w:r w:rsidRPr="003A0C5C">
        <w:t xml:space="preserve">This </w:t>
      </w:r>
      <w:r w:rsidR="00AF6F50" w:rsidRPr="003A0C5C">
        <w:t>Initial Study (</w:t>
      </w:r>
      <w:r w:rsidRPr="003A0C5C">
        <w:t>IS</w:t>
      </w:r>
      <w:r w:rsidR="00AF6F50" w:rsidRPr="003A0C5C">
        <w:t>)</w:t>
      </w:r>
      <w:r w:rsidRPr="003A0C5C">
        <w:t xml:space="preserve"> serves as the appropriate preliminary environmental documentation in accordance with the California Environmental Quality Act (CEQA) Guidelines to demonstrate the potential environmental impacts associated with the construction and operation of the proposed project. Based on the findings of this </w:t>
      </w:r>
      <w:r w:rsidR="00AF6F50" w:rsidRPr="003A0C5C">
        <w:t>IS</w:t>
      </w:r>
      <w:r w:rsidRPr="003A0C5C">
        <w:t xml:space="preserve">, the City </w:t>
      </w:r>
      <w:r w:rsidR="002B2A20" w:rsidRPr="003A0C5C">
        <w:t xml:space="preserve">has </w:t>
      </w:r>
      <w:r w:rsidRPr="003A0C5C">
        <w:t xml:space="preserve">determined a Mitigated Negative Declaration (MND) </w:t>
      </w:r>
      <w:r w:rsidR="00B82477" w:rsidRPr="003A0C5C">
        <w:t xml:space="preserve">is </w:t>
      </w:r>
      <w:r w:rsidRPr="003A0C5C">
        <w:t>the appropriate CEQA document for the proposed project.</w:t>
      </w:r>
    </w:p>
    <w:p w14:paraId="5BE2B384" w14:textId="77777777" w:rsidR="00AD6E68" w:rsidRPr="003A0C5C" w:rsidRDefault="00AD6E68" w:rsidP="00AD6E68">
      <w:pPr>
        <w:pStyle w:val="Heading3"/>
      </w:pPr>
      <w:bookmarkStart w:id="19" w:name="_Toc101791972"/>
      <w:r w:rsidRPr="003A0C5C">
        <w:t>2.2</w:t>
      </w:r>
      <w:r w:rsidRPr="003A0C5C">
        <w:tab/>
        <w:t>Project Location and Existing Setting</w:t>
      </w:r>
      <w:bookmarkEnd w:id="19"/>
    </w:p>
    <w:p w14:paraId="4742281C" w14:textId="2FE84CD5" w:rsidR="00287AFC" w:rsidRPr="003A0C5C" w:rsidRDefault="003F2609" w:rsidP="003F2609">
      <w:pPr>
        <w:pStyle w:val="12space"/>
      </w:pPr>
      <w:r w:rsidRPr="003A0C5C">
        <w:t>The project site is located on the northwest corner of East Carson Street and South Perry Street at 21611 South Perry Street in the City of Carson, California, Los Angeles County. The project site is approximately 2.80 acres (approximately 121,968 square feet) and includes Assessor’s Parcel Numbers</w:t>
      </w:r>
      <w:r w:rsidR="004739F5" w:rsidRPr="003A0C5C">
        <w:t xml:space="preserve"> (APNs)</w:t>
      </w:r>
      <w:r w:rsidRPr="003A0C5C">
        <w:t xml:space="preserve"> 7327‐010‐014 and 7327‐010‐015. </w:t>
      </w:r>
      <w:r w:rsidR="001D1298" w:rsidRPr="003A0C5C">
        <w:t>Refer to</w:t>
      </w:r>
      <w:r w:rsidRPr="003A0C5C">
        <w:t xml:space="preserve"> </w:t>
      </w:r>
      <w:r w:rsidRPr="003A0C5C">
        <w:rPr>
          <w:rStyle w:val="Bold"/>
        </w:rPr>
        <w:t>Figure 2</w:t>
      </w:r>
      <w:r w:rsidRPr="003A0C5C">
        <w:rPr>
          <w:rStyle w:val="Bold"/>
        </w:rPr>
        <w:noBreakHyphen/>
        <w:t>1</w:t>
      </w:r>
      <w:r w:rsidRPr="003A0C5C">
        <w:t xml:space="preserve">, </w:t>
      </w:r>
      <w:r w:rsidRPr="003A0C5C">
        <w:rPr>
          <w:rStyle w:val="Italic"/>
        </w:rPr>
        <w:t>Project Site and Regional Location</w:t>
      </w:r>
      <w:r w:rsidRPr="003A0C5C">
        <w:t xml:space="preserve">. The project site is currently </w:t>
      </w:r>
      <w:r w:rsidR="00AF6F50" w:rsidRPr="003A0C5C">
        <w:t>two</w:t>
      </w:r>
      <w:r w:rsidR="00163D2A" w:rsidRPr="003A0C5C">
        <w:t xml:space="preserve"> </w:t>
      </w:r>
      <w:r w:rsidRPr="003A0C5C">
        <w:t xml:space="preserve">vacant and undeveloped </w:t>
      </w:r>
      <w:r w:rsidR="00163D2A" w:rsidRPr="003A0C5C">
        <w:t>parcels</w:t>
      </w:r>
      <w:r w:rsidRPr="003A0C5C">
        <w:t xml:space="preserve">, as shown in </w:t>
      </w:r>
      <w:r w:rsidRPr="003A0C5C">
        <w:rPr>
          <w:b/>
        </w:rPr>
        <w:t>Figure</w:t>
      </w:r>
      <w:r w:rsidR="003873C7" w:rsidRPr="003A0C5C">
        <w:rPr>
          <w:b/>
        </w:rPr>
        <w:t> </w:t>
      </w:r>
      <w:r w:rsidRPr="003A0C5C">
        <w:rPr>
          <w:b/>
        </w:rPr>
        <w:t>2</w:t>
      </w:r>
      <w:r w:rsidR="003873C7" w:rsidRPr="003A0C5C">
        <w:rPr>
          <w:b/>
        </w:rPr>
        <w:noBreakHyphen/>
      </w:r>
      <w:r w:rsidRPr="003A0C5C">
        <w:rPr>
          <w:b/>
        </w:rPr>
        <w:t>2</w:t>
      </w:r>
      <w:r w:rsidRPr="003A0C5C">
        <w:t xml:space="preserve">, </w:t>
      </w:r>
      <w:r w:rsidRPr="003A0C5C">
        <w:rPr>
          <w:i/>
        </w:rPr>
        <w:t>Aerial Photograph</w:t>
      </w:r>
      <w:r w:rsidRPr="003A0C5C">
        <w:t>. </w:t>
      </w:r>
      <w:r w:rsidR="00493F09" w:rsidRPr="003A0C5C">
        <w:t xml:space="preserve">The project site was previously improved with </w:t>
      </w:r>
      <w:r w:rsidR="00287AFC" w:rsidRPr="003A0C5C">
        <w:rPr>
          <w:szCs w:val="22"/>
        </w:rPr>
        <w:t>a large single</w:t>
      </w:r>
      <w:r w:rsidR="00331C4C" w:rsidRPr="003A0C5C">
        <w:rPr>
          <w:szCs w:val="22"/>
        </w:rPr>
        <w:t>-</w:t>
      </w:r>
      <w:r w:rsidR="00287AFC" w:rsidRPr="003A0C5C">
        <w:rPr>
          <w:szCs w:val="22"/>
        </w:rPr>
        <w:t xml:space="preserve">story warehouse </w:t>
      </w:r>
      <w:r w:rsidR="003B298D" w:rsidRPr="003A0C5C">
        <w:rPr>
          <w:szCs w:val="22"/>
        </w:rPr>
        <w:t xml:space="preserve">building </w:t>
      </w:r>
      <w:r w:rsidR="00287AFC" w:rsidRPr="003A0C5C">
        <w:rPr>
          <w:szCs w:val="22"/>
        </w:rPr>
        <w:t xml:space="preserve">that included </w:t>
      </w:r>
      <w:r w:rsidR="00493F09" w:rsidRPr="003A0C5C">
        <w:t>commercial/industrial uses. These uses were demolished</w:t>
      </w:r>
      <w:r w:rsidR="00287AFC" w:rsidRPr="003A0C5C">
        <w:t xml:space="preserve"> in 2011</w:t>
      </w:r>
      <w:r w:rsidR="00493F09" w:rsidRPr="003A0C5C">
        <w:t>. There are no habitable structures present on the project site</w:t>
      </w:r>
      <w:r w:rsidR="002B18B9" w:rsidRPr="003A0C5C">
        <w:t xml:space="preserve">; </w:t>
      </w:r>
      <w:r w:rsidR="00493F09" w:rsidRPr="003A0C5C">
        <w:t>however, remnant improvements are still present.</w:t>
      </w:r>
    </w:p>
    <w:p w14:paraId="5A4316BC" w14:textId="6FFCBFB0" w:rsidR="00AD6E68" w:rsidRPr="003A0C5C" w:rsidRDefault="003F2609" w:rsidP="00DD5380">
      <w:pPr>
        <w:pStyle w:val="12space"/>
        <w:rPr>
          <w:highlight w:val="yellow"/>
        </w:rPr>
      </w:pPr>
      <w:r w:rsidRPr="003A0C5C">
        <w:t xml:space="preserve">The project site is located in a neighborhood characterized by a mix of residential and commercial uses. A truck dealer is located south of the project site across East Carson Street. An auto repair facility and </w:t>
      </w:r>
      <w:r w:rsidR="000A0861" w:rsidRPr="003A0C5C">
        <w:t>two</w:t>
      </w:r>
      <w:r w:rsidRPr="003A0C5C">
        <w:t xml:space="preserve">- and </w:t>
      </w:r>
      <w:r w:rsidR="000A0861" w:rsidRPr="003A0C5C">
        <w:t>three</w:t>
      </w:r>
      <w:r w:rsidRPr="003A0C5C">
        <w:t xml:space="preserve">-story multi-family residential units are located directly across South Perry Street to the east with the Perry Street Mini-Park and single-family homes located to the north and northeast of the project site. </w:t>
      </w:r>
      <w:r w:rsidR="00112D56" w:rsidRPr="003A0C5C">
        <w:t>S</w:t>
      </w:r>
      <w:r w:rsidRPr="003A0C5C">
        <w:t xml:space="preserve">ingle-family residential units are located southeast of the project site across East Carson Street. The Dominguez Channel, a 15.7-mile-long drainage channel that runs north-south through the City of Carson, is located to the west of the project site and a flood control easement separates the Dominguez Channel from the project site. The project site is zoned ML-D (Manufacturing, Light – with Site Plan and Design Review Overly) with a General Plan Land Use designation of Light Industrial. The proposed project would require a general plan amendment to allow for a 1:0 FAR. </w:t>
      </w:r>
      <w:r w:rsidR="00AD6E68" w:rsidRPr="003A0C5C">
        <w:rPr>
          <w:highlight w:val="yellow"/>
        </w:rPr>
        <w:br w:type="page"/>
      </w:r>
    </w:p>
    <w:p w14:paraId="5ACC13F2" w14:textId="77777777" w:rsidR="00AD6E68" w:rsidRPr="003A0C5C" w:rsidRDefault="00AD6E68" w:rsidP="00AD6E68">
      <w:pPr>
        <w:pStyle w:val="Figure"/>
      </w:pPr>
      <w:bookmarkStart w:id="20" w:name="_Toc101792188"/>
      <w:r w:rsidRPr="003A0C5C">
        <w:lastRenderedPageBreak/>
        <w:t>Figure 2</w:t>
      </w:r>
      <w:r w:rsidRPr="003A0C5C">
        <w:noBreakHyphen/>
        <w:t>1</w:t>
      </w:r>
      <w:r w:rsidRPr="003A0C5C">
        <w:tab/>
        <w:t>Project Site and Regional Location</w:t>
      </w:r>
      <w:bookmarkEnd w:id="20"/>
    </w:p>
    <w:p w14:paraId="62260919" w14:textId="77777777" w:rsidR="00AD6E68" w:rsidRPr="003A0C5C" w:rsidRDefault="00AD6E68" w:rsidP="00AD6E68">
      <w:pPr>
        <w:rPr>
          <w:highlight w:val="yellow"/>
        </w:rPr>
      </w:pPr>
      <w:r w:rsidRPr="003A0C5C">
        <w:rPr>
          <w:highlight w:val="yellow"/>
        </w:rPr>
        <w:br w:type="page"/>
      </w:r>
    </w:p>
    <w:p w14:paraId="6837EA48" w14:textId="77777777" w:rsidR="00AD6E68" w:rsidRPr="003A0C5C" w:rsidRDefault="00AD6E68" w:rsidP="00AD6E68">
      <w:pPr>
        <w:pStyle w:val="Figure"/>
      </w:pPr>
      <w:bookmarkStart w:id="21" w:name="_Toc101792189"/>
      <w:r w:rsidRPr="003A0C5C">
        <w:lastRenderedPageBreak/>
        <w:t>Figure 2</w:t>
      </w:r>
      <w:r w:rsidRPr="003A0C5C">
        <w:noBreakHyphen/>
        <w:t>2</w:t>
      </w:r>
      <w:r w:rsidRPr="003A0C5C">
        <w:tab/>
        <w:t>Aerial Photograph</w:t>
      </w:r>
      <w:bookmarkEnd w:id="21"/>
    </w:p>
    <w:p w14:paraId="4423C311" w14:textId="77777777" w:rsidR="00AD6E68" w:rsidRPr="003A0C5C" w:rsidRDefault="00AD6E68" w:rsidP="00DD5380">
      <w:r w:rsidRPr="003A0C5C">
        <w:br w:type="page"/>
      </w:r>
    </w:p>
    <w:p w14:paraId="4919988E" w14:textId="7520019C" w:rsidR="009B5F88" w:rsidRPr="003A0C5C" w:rsidRDefault="009B5F88" w:rsidP="009B5F88">
      <w:pPr>
        <w:pStyle w:val="Heading3"/>
      </w:pPr>
      <w:bookmarkStart w:id="22" w:name="_Toc101791973"/>
      <w:r w:rsidRPr="003A0C5C">
        <w:lastRenderedPageBreak/>
        <w:t>2.3</w:t>
      </w:r>
      <w:r w:rsidR="00F52B96" w:rsidRPr="003A0C5C">
        <w:tab/>
      </w:r>
      <w:r w:rsidRPr="003A0C5C">
        <w:t>Project Site History and Existing Conditions</w:t>
      </w:r>
      <w:bookmarkEnd w:id="22"/>
    </w:p>
    <w:p w14:paraId="75FE5527" w14:textId="06364778" w:rsidR="009B5F88" w:rsidRPr="003A0C5C" w:rsidRDefault="009B5F88" w:rsidP="009B5F88">
      <w:pPr>
        <w:pStyle w:val="12space"/>
        <w:keepNext/>
        <w:spacing w:after="180"/>
      </w:pPr>
      <w:r w:rsidRPr="003A0C5C">
        <w:t xml:space="preserve">According to the </w:t>
      </w:r>
      <w:r w:rsidR="007A6A89" w:rsidRPr="003A0C5C">
        <w:t>Phase I Environmental Site Assessment (</w:t>
      </w:r>
      <w:r w:rsidRPr="003A0C5C">
        <w:t>Phase I ESA</w:t>
      </w:r>
      <w:r w:rsidR="007A6A89" w:rsidRPr="003A0C5C">
        <w:t>)</w:t>
      </w:r>
      <w:r w:rsidRPr="003A0C5C">
        <w:t>,</w:t>
      </w:r>
      <w:r w:rsidR="007A6A89" w:rsidRPr="003A0C5C">
        <w:t xml:space="preserve"> prepared for the project site,</w:t>
      </w:r>
      <w:r w:rsidRPr="003A0C5C">
        <w:t xml:space="preserve"> </w:t>
      </w:r>
      <w:bookmarkStart w:id="23" w:name="_Hlk96072804"/>
      <w:r w:rsidRPr="003A0C5C">
        <w:t xml:space="preserve">there are known groundwater impacts at the project site. </w:t>
      </w:r>
      <w:bookmarkEnd w:id="23"/>
      <w:r w:rsidRPr="003A0C5C">
        <w:t xml:space="preserve">In addition, in January 2011, light non-aqueous phase liquid (LNAPL) began appearing within the Dominguez Channel (west of the project site). The LNAPL was reportedly observed entering into channel waters from sediments within the bottom of the channel and within horizontal, perforated sub-drain pipe systems installed within both the west and east channel levees. In April 2011, the Los Angeles Regional Water Quality Control Board (LARWQCB) reportedly issued orders pursuant to Section 13267 of the California Water Code requiring potential responsible parties to assess contaminants of concern impacting soil, soil vapor, and groundwater at the Dominguez Channel and determine the extent that the nearby facilities may have contributed to the release. Upon completion of the required assessments, the LARWQCB determined that the project site (i.e., Carson Air Harbor property), was not a likely contributor to the LANPL release and was granted no further action status relative to the Dominguez Channel issues. However, a separate case for the project site was opened by the LARWQCB (Site Cleanup Program Case No. 0490C) due to other possible sources of contamination. There are 16 </w:t>
      </w:r>
      <w:bookmarkStart w:id="24" w:name="_Hlk96072846"/>
      <w:r w:rsidRPr="003A0C5C">
        <w:t xml:space="preserve">groundwater monitoring wells </w:t>
      </w:r>
      <w:bookmarkEnd w:id="24"/>
      <w:r w:rsidRPr="003A0C5C">
        <w:t xml:space="preserve">present at the project site that are used </w:t>
      </w:r>
      <w:bookmarkStart w:id="25" w:name="_Hlk96072866"/>
      <w:r w:rsidRPr="003A0C5C">
        <w:t>as part of the groundwater monitoring program</w:t>
      </w:r>
      <w:bookmarkEnd w:id="25"/>
      <w:r w:rsidRPr="003A0C5C">
        <w:t xml:space="preserve">. Primary groundwater contaminants of concern identified in these wells included total petroleum hydrocarbons in the gasoline range, benzene and </w:t>
      </w:r>
      <w:proofErr w:type="spellStart"/>
      <w:r w:rsidRPr="003A0C5C">
        <w:t>diisopropyl</w:t>
      </w:r>
      <w:proofErr w:type="spellEnd"/>
      <w:r w:rsidRPr="003A0C5C">
        <w:t xml:space="preserve"> ether. </w:t>
      </w:r>
      <w:bookmarkStart w:id="26" w:name="_Hlk96072881"/>
      <w:r w:rsidRPr="003A0C5C">
        <w:t xml:space="preserve">It was noted that concentrations in existing monitoring wells generally appeared to be stable or decreasing, with a few instances of fluctuation. </w:t>
      </w:r>
      <w:bookmarkEnd w:id="26"/>
    </w:p>
    <w:p w14:paraId="3915A3A4" w14:textId="554C2DE6" w:rsidR="009B5F88" w:rsidRPr="003A0C5C" w:rsidRDefault="009B5F88" w:rsidP="00F52B96">
      <w:pPr>
        <w:pStyle w:val="12space"/>
        <w:spacing w:after="180"/>
      </w:pPr>
      <w:r w:rsidRPr="003A0C5C">
        <w:t xml:space="preserve">To address project site impacts to soil in order to redevelop the project site for commercial/industrial use, </w:t>
      </w:r>
      <w:bookmarkStart w:id="27" w:name="_Hlk96072969"/>
      <w:r w:rsidRPr="003A0C5C">
        <w:t xml:space="preserve">a Soil Excavation Workplan was developed by URS </w:t>
      </w:r>
      <w:bookmarkEnd w:id="27"/>
      <w:r w:rsidRPr="003A0C5C">
        <w:t xml:space="preserve">and subsequently approved by the LARWQCB on April 21, 2014. Between September 9 and October 8, 2014, </w:t>
      </w:r>
      <w:bookmarkStart w:id="28" w:name="_Hlk96072992"/>
      <w:r w:rsidRPr="003A0C5C">
        <w:t>7,255.69 tons (approximately 4,837 in-place cubic yards assuming 1.5 tons per cubic yard) of impacted soil were excavated from the project site and disposed off</w:t>
      </w:r>
      <w:r w:rsidR="00832857" w:rsidRPr="003A0C5C">
        <w:t>-</w:t>
      </w:r>
      <w:r w:rsidRPr="003A0C5C">
        <w:t xml:space="preserve">site. The impacted soil was removed from four distinct areas to depths ranging from approximately </w:t>
      </w:r>
      <w:r w:rsidR="00D20510" w:rsidRPr="003A0C5C">
        <w:t xml:space="preserve">5 </w:t>
      </w:r>
      <w:r w:rsidRPr="003A0C5C">
        <w:t xml:space="preserve">to </w:t>
      </w:r>
      <w:r w:rsidR="00D20510" w:rsidRPr="003A0C5C">
        <w:t xml:space="preserve">8 </w:t>
      </w:r>
      <w:r w:rsidRPr="003A0C5C">
        <w:t xml:space="preserve">feet </w:t>
      </w:r>
      <w:bookmarkEnd w:id="28"/>
      <w:r w:rsidRPr="003A0C5C">
        <w:t>(</w:t>
      </w:r>
      <w:r w:rsidR="00CF4333" w:rsidRPr="003A0C5C">
        <w:t xml:space="preserve">see </w:t>
      </w:r>
      <w:r w:rsidRPr="003A0C5C">
        <w:rPr>
          <w:bCs/>
        </w:rPr>
        <w:t>Figure</w:t>
      </w:r>
      <w:r w:rsidR="00B4728F" w:rsidRPr="003A0C5C">
        <w:rPr>
          <w:bCs/>
        </w:rPr>
        <w:t> </w:t>
      </w:r>
      <w:r w:rsidRPr="003A0C5C">
        <w:rPr>
          <w:bCs/>
        </w:rPr>
        <w:t>2</w:t>
      </w:r>
      <w:r w:rsidR="00B4728F" w:rsidRPr="003A0C5C">
        <w:rPr>
          <w:bCs/>
        </w:rPr>
        <w:noBreakHyphen/>
      </w:r>
      <w:r w:rsidRPr="003A0C5C">
        <w:rPr>
          <w:bCs/>
        </w:rPr>
        <w:t>5</w:t>
      </w:r>
      <w:r w:rsidR="00CF4333" w:rsidRPr="003A0C5C">
        <w:rPr>
          <w:bCs/>
        </w:rPr>
        <w:t xml:space="preserve"> in Section V, </w:t>
      </w:r>
      <w:r w:rsidR="00CF4333" w:rsidRPr="003A0C5C">
        <w:rPr>
          <w:bCs/>
          <w:i/>
          <w:iCs/>
        </w:rPr>
        <w:t>Cultural Resources</w:t>
      </w:r>
      <w:r w:rsidRPr="003A0C5C">
        <w:t xml:space="preserve">). The excavated areas were then backfilled with imported clean fill or with an approximate 50:50 mix of crushed concrete and imported fill and a small amount of clean overburden soil. </w:t>
      </w:r>
    </w:p>
    <w:p w14:paraId="0E33A8C4" w14:textId="2D5FCD27" w:rsidR="009B5F88" w:rsidRPr="003A0C5C" w:rsidRDefault="009B5F88" w:rsidP="00B4728F">
      <w:pPr>
        <w:pStyle w:val="12space"/>
        <w:spacing w:after="180"/>
      </w:pPr>
      <w:bookmarkStart w:id="29" w:name="_Hlk96073011"/>
      <w:r w:rsidRPr="003A0C5C">
        <w:t xml:space="preserve">URS concluded that based on confirmation soil sampling for each of the excavations, the cleanup criteria set out in the workplan had been met. URS also stated that a Soil Management Plan (SMP) for the project site was prepared to mitigate potential future exposure to residual petroleum hydrocarbons and odor generation during project site development. </w:t>
      </w:r>
      <w:bookmarkEnd w:id="29"/>
      <w:r w:rsidRPr="003A0C5C">
        <w:t xml:space="preserve">URS also stated that a deed restriction limiting project site use to commercial/industrial uses would be required. It was also noted in the report that a vapor barrier would be incorporated in the design of any future structures that are constructed at the project site. </w:t>
      </w:r>
      <w:bookmarkStart w:id="30" w:name="_Hlk96073019"/>
      <w:r w:rsidRPr="003A0C5C">
        <w:t>URS requested that the LARWQCB issue a no further action letter for vadose zone soils at the project site. The LARWQCB reviewed the report and concurred with its findings. A no further action letter for soil was issued by the LARWQCB on December 14, 2015.</w:t>
      </w:r>
    </w:p>
    <w:p w14:paraId="2AFF4722" w14:textId="659F9F16" w:rsidR="00AD6E68" w:rsidRPr="003A0C5C" w:rsidRDefault="00AD6E68" w:rsidP="00AD6E68">
      <w:pPr>
        <w:pStyle w:val="Heading3"/>
      </w:pPr>
      <w:bookmarkStart w:id="31" w:name="_Toc101791974"/>
      <w:bookmarkEnd w:id="30"/>
      <w:r w:rsidRPr="003A0C5C">
        <w:lastRenderedPageBreak/>
        <w:t>2.</w:t>
      </w:r>
      <w:r w:rsidR="009B5F88" w:rsidRPr="003A0C5C">
        <w:t>4</w:t>
      </w:r>
      <w:r w:rsidRPr="003A0C5C">
        <w:tab/>
        <w:t>Project Characteristics</w:t>
      </w:r>
      <w:bookmarkEnd w:id="31"/>
    </w:p>
    <w:p w14:paraId="30E13AAA" w14:textId="133A4212" w:rsidR="003F2609" w:rsidRPr="003A0C5C" w:rsidRDefault="003F2609" w:rsidP="003F2609">
      <w:pPr>
        <w:pStyle w:val="12space"/>
      </w:pPr>
      <w:r w:rsidRPr="003A0C5C">
        <w:t xml:space="preserve">The proposed project is a self‐storage facility </w:t>
      </w:r>
      <w:r w:rsidR="0084223B" w:rsidRPr="003A0C5C">
        <w:t xml:space="preserve">consisting </w:t>
      </w:r>
      <w:r w:rsidRPr="003A0C5C">
        <w:t xml:space="preserve">of approximately 113,714 square feet in a mix of three </w:t>
      </w:r>
      <w:r w:rsidR="000A0861" w:rsidRPr="003A0C5C">
        <w:t>one</w:t>
      </w:r>
      <w:r w:rsidRPr="003A0C5C">
        <w:t xml:space="preserve">‐ and </w:t>
      </w:r>
      <w:r w:rsidR="000A0861" w:rsidRPr="003A0C5C">
        <w:t>two</w:t>
      </w:r>
      <w:r w:rsidRPr="003A0C5C">
        <w:t>‐story buildings, with a maximum height of 31 feet.</w:t>
      </w:r>
      <w:r w:rsidR="00485E18" w:rsidRPr="003A0C5C">
        <w:t xml:space="preserve"> </w:t>
      </w:r>
      <w:r w:rsidRPr="003A0C5C">
        <w:t>Building A would total 24,808 square feet and would include a lobby/self-storage office and retail uses totaling 4,675</w:t>
      </w:r>
      <w:r w:rsidR="000A0861" w:rsidRPr="003A0C5C">
        <w:t> </w:t>
      </w:r>
      <w:r w:rsidRPr="003A0C5C">
        <w:t xml:space="preserve">square feet. Specifically, the </w:t>
      </w:r>
      <w:r w:rsidR="008052E9" w:rsidRPr="003A0C5C">
        <w:t xml:space="preserve">proposed </w:t>
      </w:r>
      <w:r w:rsidRPr="003A0C5C">
        <w:t>project would include a 2,425</w:t>
      </w:r>
      <w:r w:rsidR="00C21EF0" w:rsidRPr="003A0C5C">
        <w:t>-</w:t>
      </w:r>
      <w:r w:rsidRPr="003A0C5C">
        <w:t>square</w:t>
      </w:r>
      <w:r w:rsidR="00C21EF0" w:rsidRPr="003A0C5C">
        <w:t>-</w:t>
      </w:r>
      <w:r w:rsidRPr="003A0C5C">
        <w:t>foot space for the lobby/self-storage office area, a 1,550</w:t>
      </w:r>
      <w:r w:rsidR="00C21EF0" w:rsidRPr="003A0C5C">
        <w:t>-</w:t>
      </w:r>
      <w:r w:rsidRPr="003A0C5C">
        <w:t>square</w:t>
      </w:r>
      <w:r w:rsidR="00C21EF0" w:rsidRPr="003A0C5C">
        <w:t>-</w:t>
      </w:r>
      <w:r w:rsidRPr="003A0C5C">
        <w:t>foot space for a cafe use, and a 700</w:t>
      </w:r>
      <w:r w:rsidR="00C21EF0" w:rsidRPr="003A0C5C">
        <w:t>-</w:t>
      </w:r>
      <w:r w:rsidRPr="003A0C5C">
        <w:t>square</w:t>
      </w:r>
      <w:r w:rsidR="00C21EF0" w:rsidRPr="003A0C5C">
        <w:t>-</w:t>
      </w:r>
      <w:r w:rsidRPr="003A0C5C">
        <w:t xml:space="preserve">foot space for a retail use (likely a mail service store </w:t>
      </w:r>
      <w:r w:rsidR="00845A67" w:rsidRPr="003A0C5C">
        <w:t xml:space="preserve">occupied by operators such </w:t>
      </w:r>
      <w:r w:rsidRPr="003A0C5C">
        <w:t xml:space="preserve">as UPS or FedEx). Building B would total 30,969 square feet and Building C would total 57,937 square feet. Buildings would house interior climate‐controlled units and external non‐climate self-storage rental units with ramp access to the second floors of the internal buildings. Ramp access to the second floors would be provided between Buildings B and C. </w:t>
      </w:r>
      <w:r w:rsidRPr="003A0C5C">
        <w:rPr>
          <w:rStyle w:val="Bold"/>
        </w:rPr>
        <w:t>Figure 2</w:t>
      </w:r>
      <w:r w:rsidRPr="003A0C5C">
        <w:rPr>
          <w:rStyle w:val="Bold"/>
        </w:rPr>
        <w:noBreakHyphen/>
        <w:t>3</w:t>
      </w:r>
      <w:r w:rsidRPr="003A0C5C">
        <w:t xml:space="preserve">, </w:t>
      </w:r>
      <w:r w:rsidRPr="003A0C5C">
        <w:rPr>
          <w:rStyle w:val="Italic"/>
        </w:rPr>
        <w:t>Conceptual Site Plan</w:t>
      </w:r>
      <w:r w:rsidRPr="003A0C5C">
        <w:t>, provides an illustration of the proposed project. Storage uni</w:t>
      </w:r>
      <w:r w:rsidR="00CE64B3" w:rsidRPr="003A0C5C">
        <w:t>ts would range in size from a 5-foot by 10-</w:t>
      </w:r>
      <w:r w:rsidRPr="003A0C5C">
        <w:t>foot unit as the</w:t>
      </w:r>
      <w:r w:rsidR="00CE64B3" w:rsidRPr="003A0C5C">
        <w:t xml:space="preserve"> smallest unit for rent to a 10-foot by 38-</w:t>
      </w:r>
      <w:r w:rsidRPr="003A0C5C">
        <w:t>foot unit as the largest unit for rent. Fire suppression within the proposed buildings would consist of a National Fire Protection Association (NFPA)-13 sprinkler system as well as surrounding fire hydrants. Construction type is to be Type-II non-combustible.</w:t>
      </w:r>
    </w:p>
    <w:p w14:paraId="0F2AEED3" w14:textId="78F55EBD" w:rsidR="003F2609" w:rsidRPr="003A0C5C" w:rsidRDefault="003F2609" w:rsidP="00DD5380">
      <w:pPr>
        <w:pStyle w:val="12space"/>
        <w:rPr>
          <w:spacing w:val="-2"/>
        </w:rPr>
      </w:pPr>
      <w:r w:rsidRPr="003A0C5C">
        <w:t xml:space="preserve">The proposed project would include approximately </w:t>
      </w:r>
      <w:r w:rsidR="009E48CA" w:rsidRPr="003A0C5C">
        <w:t>12,134</w:t>
      </w:r>
      <w:r w:rsidR="00A334FD" w:rsidRPr="003A0C5C">
        <w:t xml:space="preserve"> </w:t>
      </w:r>
      <w:r w:rsidRPr="003A0C5C">
        <w:t>square feet of landscaping</w:t>
      </w:r>
      <w:r w:rsidR="00845A67" w:rsidRPr="003A0C5C">
        <w:t>, mostly occurring</w:t>
      </w:r>
      <w:r w:rsidRPr="003A0C5C">
        <w:t xml:space="preserve"> around the perimeter of the project site. </w:t>
      </w:r>
      <w:r w:rsidRPr="003A0C5C">
        <w:rPr>
          <w:spacing w:val="-2"/>
        </w:rPr>
        <w:t xml:space="preserve">Significant landscaping and plantings would be provided along the project site’s northern edge to shield and provide a privacy screen for the residential neighbors. </w:t>
      </w:r>
      <w:r w:rsidRPr="003A0C5C">
        <w:t>A variety of drought tolerant ornamental shrubs and medium size trees, which would be varying in height, would be included as a part of the proposed landscaping.</w:t>
      </w:r>
      <w:r w:rsidRPr="003A0C5C">
        <w:rPr>
          <w:spacing w:val="-2"/>
        </w:rPr>
        <w:t xml:space="preserve"> </w:t>
      </w:r>
    </w:p>
    <w:p w14:paraId="43C33F20" w14:textId="3D055F1E" w:rsidR="003F2609" w:rsidRPr="003A0C5C" w:rsidRDefault="003F2609" w:rsidP="00DD5380">
      <w:pPr>
        <w:pStyle w:val="12space"/>
      </w:pPr>
      <w:r w:rsidRPr="003A0C5C">
        <w:t xml:space="preserve">Landscape areas would be designed to receive stormwater runoff from the site and mitigate urban heat island effect through vegetated planting areas and tree canopies. The irrigation system would be a fully automatic underground drip system. Backflow prevention devices would be installed to meet all local and </w:t>
      </w:r>
      <w:r w:rsidR="001C20F9" w:rsidRPr="003A0C5C">
        <w:t>City</w:t>
      </w:r>
      <w:r w:rsidRPr="003A0C5C">
        <w:t xml:space="preserve"> applicable codes. The irrigation system would be designed and constructed to meet and/or exceed Model Water Efficient Landscape Ordinances (MWELO). Water conservation products (High efficiency / low precipitation) and an </w:t>
      </w:r>
      <w:r w:rsidR="000B6EF3" w:rsidRPr="003A0C5C">
        <w:t xml:space="preserve">evapotranspiration </w:t>
      </w:r>
      <w:r w:rsidRPr="003A0C5C">
        <w:t>(ET) weather-based control system would be incorporated into the irrigation system design.</w:t>
      </w:r>
    </w:p>
    <w:p w14:paraId="7FD11900" w14:textId="6E5EBB50" w:rsidR="003F2609" w:rsidRPr="003A0C5C" w:rsidRDefault="003F2609" w:rsidP="00DD5380">
      <w:pPr>
        <w:pStyle w:val="12space"/>
      </w:pPr>
      <w:r w:rsidRPr="003A0C5C">
        <w:t xml:space="preserve">As shown in </w:t>
      </w:r>
      <w:r w:rsidRPr="003A0C5C">
        <w:rPr>
          <w:b/>
        </w:rPr>
        <w:t>Figure 2</w:t>
      </w:r>
      <w:r w:rsidRPr="003A0C5C">
        <w:rPr>
          <w:b/>
        </w:rPr>
        <w:noBreakHyphen/>
        <w:t>4</w:t>
      </w:r>
      <w:r w:rsidRPr="003A0C5C">
        <w:t xml:space="preserve">, </w:t>
      </w:r>
      <w:r w:rsidRPr="003A0C5C">
        <w:rPr>
          <w:i/>
        </w:rPr>
        <w:t>Conceptual Rendering</w:t>
      </w:r>
      <w:r w:rsidRPr="003A0C5C">
        <w:t>, the proposed project would consist of neutral-toned building materials in Spanish styled architecture, which include Spanish accents, Spanish tile roof, spandrel glazing, and landscaping. The proposed design would largely resemble a multi‐family residential building in its aesthetics and massing.</w:t>
      </w:r>
    </w:p>
    <w:p w14:paraId="0B589291" w14:textId="5E723B33" w:rsidR="00AD6E68" w:rsidRPr="003A0C5C" w:rsidRDefault="00F52B96" w:rsidP="00DD5380">
      <w:pPr>
        <w:pStyle w:val="12space"/>
      </w:pPr>
      <w:r w:rsidRPr="003A0C5C">
        <w:t>As shown in Figure 2-3, the proposed project would include one main entrance to the project site on South Perry Street, which would allow self-storage customers, employees, and mail/delivery trucks such as those used by UPS or FedEx to enter and exit the project site. Specifically, to accommodate the entry to the new storage facility, the existing driveway would be demolished, and a new driveway would be constructed and located near the center of the eastern frontage along South Perry Street.</w:t>
      </w:r>
      <w:r w:rsidR="00485E18" w:rsidRPr="003A0C5C">
        <w:t xml:space="preserve"> </w:t>
      </w:r>
      <w:r w:rsidRPr="003A0C5C">
        <w:t>Curb, gutter, sidewalks, and driveway would be designed and constructed with City Engineer review and approval.</w:t>
      </w:r>
      <w:r w:rsidR="00AD6E68" w:rsidRPr="003A0C5C">
        <w:rPr>
          <w:highlight w:val="yellow"/>
        </w:rPr>
        <w:br w:type="page"/>
      </w:r>
    </w:p>
    <w:p w14:paraId="5FFB7B39" w14:textId="77777777" w:rsidR="00AD6E68" w:rsidRPr="003A0C5C" w:rsidRDefault="00AD6E68" w:rsidP="00AD6E68">
      <w:pPr>
        <w:pStyle w:val="Figure"/>
      </w:pPr>
      <w:bookmarkStart w:id="32" w:name="_Toc101792190"/>
      <w:r w:rsidRPr="003A0C5C">
        <w:lastRenderedPageBreak/>
        <w:t>Figure 2</w:t>
      </w:r>
      <w:r w:rsidRPr="003A0C5C">
        <w:noBreakHyphen/>
        <w:t>3</w:t>
      </w:r>
      <w:r w:rsidRPr="003A0C5C">
        <w:tab/>
        <w:t>Conceptual Site Plan</w:t>
      </w:r>
      <w:bookmarkEnd w:id="32"/>
    </w:p>
    <w:p w14:paraId="4DB31C89" w14:textId="77777777" w:rsidR="00AD6E68" w:rsidRPr="003A0C5C" w:rsidRDefault="00AD6E68" w:rsidP="00AD6E68">
      <w:pPr>
        <w:rPr>
          <w:highlight w:val="yellow"/>
        </w:rPr>
      </w:pPr>
      <w:r w:rsidRPr="003A0C5C">
        <w:rPr>
          <w:highlight w:val="yellow"/>
        </w:rPr>
        <w:br w:type="page"/>
      </w:r>
    </w:p>
    <w:p w14:paraId="6B5AA403" w14:textId="7201F741" w:rsidR="00AD6E68" w:rsidRPr="003A0C5C" w:rsidRDefault="00AD6E68" w:rsidP="00AD6E68">
      <w:pPr>
        <w:pStyle w:val="Figure"/>
      </w:pPr>
      <w:bookmarkStart w:id="33" w:name="_Toc101792191"/>
      <w:r w:rsidRPr="003A0C5C">
        <w:lastRenderedPageBreak/>
        <w:t>Figure 2</w:t>
      </w:r>
      <w:r w:rsidRPr="003A0C5C">
        <w:noBreakHyphen/>
        <w:t>4</w:t>
      </w:r>
      <w:r w:rsidRPr="003A0C5C">
        <w:tab/>
        <w:t>Conceptual Rendering</w:t>
      </w:r>
      <w:bookmarkEnd w:id="33"/>
    </w:p>
    <w:p w14:paraId="0F52E4AE" w14:textId="77777777" w:rsidR="00AD6E68" w:rsidRPr="003A0C5C" w:rsidRDefault="00AD6E68" w:rsidP="00AD6E68">
      <w:pPr>
        <w:rPr>
          <w:highlight w:val="yellow"/>
        </w:rPr>
      </w:pPr>
      <w:r w:rsidRPr="003A0C5C">
        <w:rPr>
          <w:highlight w:val="yellow"/>
        </w:rPr>
        <w:br w:type="page"/>
      </w:r>
    </w:p>
    <w:p w14:paraId="564D262A" w14:textId="062D98E2" w:rsidR="00493F09" w:rsidRPr="003A0C5C" w:rsidRDefault="00493F09" w:rsidP="00DD5380">
      <w:pPr>
        <w:pStyle w:val="12space"/>
      </w:pPr>
      <w:r w:rsidRPr="003A0C5C">
        <w:lastRenderedPageBreak/>
        <w:t>The proposed project would provide 22 public parking spaces outside the gates with an additional 19 spaces provided inside the gates for a total of 41 parking spaces. Of the total parking stalls, two stalls would be included as Americans with Disabilities Act (ADA</w:t>
      </w:r>
      <w:r w:rsidR="00FA4CD1" w:rsidRPr="003A0C5C">
        <w:t>)-</w:t>
      </w:r>
      <w:r w:rsidRPr="003A0C5C">
        <w:t>accessible stalls</w:t>
      </w:r>
      <w:r w:rsidR="004E2BD3" w:rsidRPr="003A0C5C">
        <w:t>,</w:t>
      </w:r>
      <w:r w:rsidRPr="003A0C5C">
        <w:t xml:space="preserve"> and seven </w:t>
      </w:r>
      <w:r w:rsidR="00C07D27" w:rsidRPr="003A0C5C">
        <w:t xml:space="preserve">stalls would be </w:t>
      </w:r>
      <w:r w:rsidRPr="003A0C5C">
        <w:t xml:space="preserve">identified to accommodate clean air and/or vanpool EV vehicles. </w:t>
      </w:r>
    </w:p>
    <w:p w14:paraId="68BE01EE" w14:textId="121ECCAE" w:rsidR="00493F09" w:rsidRPr="003A0C5C" w:rsidRDefault="00493F09" w:rsidP="00DD5380">
      <w:pPr>
        <w:pStyle w:val="12space"/>
      </w:pPr>
      <w:r w:rsidRPr="003A0C5C">
        <w:t xml:space="preserve">New lighting would include building identification wayfinding and security lighting. Low emittance lighting would be provided on the walls of the buildings facing the internal drive aisles and mounted at a height of 12 to 13 feet. Pedestrian areas including entryways into the proposed project would be well-lit for security </w:t>
      </w:r>
      <w:r w:rsidR="002F05EC" w:rsidRPr="003A0C5C">
        <w:t xml:space="preserve">using </w:t>
      </w:r>
      <w:r w:rsidRPr="003A0C5C">
        <w:t>ground-mounted</w:t>
      </w:r>
      <w:r w:rsidR="002F05EC" w:rsidRPr="003A0C5C">
        <w:t xml:space="preserve"> fixtures</w:t>
      </w:r>
      <w:r w:rsidRPr="003A0C5C">
        <w:t>. Light fixtures would be shielded and directed towards the areas to be lit and away from light-sensitive residential land uses</w:t>
      </w:r>
      <w:r w:rsidR="00FB7F45" w:rsidRPr="003A0C5C">
        <w:t xml:space="preserve"> located to the north and east of the project site</w:t>
      </w:r>
      <w:r w:rsidRPr="003A0C5C">
        <w:t>. Various features included in the lighting fixtures would also help reduce light trespass including: target zone illumination, photo control occupancy sensing, zero up-light emissions</w:t>
      </w:r>
      <w:r w:rsidR="00FA4CD1" w:rsidRPr="003A0C5C">
        <w:t>,</w:t>
      </w:r>
      <w:r w:rsidRPr="003A0C5C">
        <w:t xml:space="preserve"> and </w:t>
      </w:r>
      <w:r w:rsidR="00FA4CD1" w:rsidRPr="003A0C5C">
        <w:t>best-in-</w:t>
      </w:r>
      <w:r w:rsidRPr="003A0C5C">
        <w:t>class surge protection.</w:t>
      </w:r>
    </w:p>
    <w:p w14:paraId="490DB270" w14:textId="2E4F3589" w:rsidR="003F2609" w:rsidRPr="003A0C5C" w:rsidRDefault="003F2609" w:rsidP="00DD5380">
      <w:pPr>
        <w:pStyle w:val="12space"/>
      </w:pPr>
      <w:r w:rsidRPr="003A0C5C">
        <w:t xml:space="preserve">Proposed signage would include building identification signage, street address, and identification/wayfinding signage for the vehicular and pedestrian entries to the buildings. Signage would comply with City requirements and </w:t>
      </w:r>
      <w:r w:rsidR="002F05EC" w:rsidRPr="003A0C5C">
        <w:t>would</w:t>
      </w:r>
      <w:r w:rsidRPr="003A0C5C">
        <w:t xml:space="preserve"> not exceed two square feet for every 20 feet of business storefront and </w:t>
      </w:r>
      <w:r w:rsidR="008E551B" w:rsidRPr="003A0C5C">
        <w:t xml:space="preserve">1 </w:t>
      </w:r>
      <w:r w:rsidRPr="003A0C5C">
        <w:t xml:space="preserve">square foot for each linear foot that exceeds the first </w:t>
      </w:r>
      <w:r w:rsidR="008E551B" w:rsidRPr="003A0C5C">
        <w:t xml:space="preserve">20 </w:t>
      </w:r>
      <w:r w:rsidRPr="003A0C5C">
        <w:t xml:space="preserve">feet. The larger identifying signs </w:t>
      </w:r>
      <w:r w:rsidR="002F05EC" w:rsidRPr="003A0C5C">
        <w:t xml:space="preserve">would </w:t>
      </w:r>
      <w:r w:rsidRPr="003A0C5C">
        <w:t>be approximately 26 feet 7.5 inches long and 2 feet 6 inches tall and provided in multiple high-visibility locations along the structure.</w:t>
      </w:r>
    </w:p>
    <w:p w14:paraId="2D83560B" w14:textId="3E8ED32F" w:rsidR="003F2609" w:rsidRPr="003A0C5C" w:rsidRDefault="003F2609" w:rsidP="00DD5380">
      <w:pPr>
        <w:pStyle w:val="12space"/>
      </w:pPr>
      <w:r w:rsidRPr="003A0C5C">
        <w:t>The self-storage facility would feature a contemporary 24-hour security system including keypad entry security gates, individually monitored and alarmed storage units, video surveillance monitoring, burglar alarms, as well as an intercom system. The manger and/or other office personnel would monitor these security systems on a control panel during hours of operation. Should there be a violation of any of the security systems when the management office is closed, an independent security firm would respond.</w:t>
      </w:r>
    </w:p>
    <w:p w14:paraId="01DDA448" w14:textId="78481C65" w:rsidR="00AD6E68" w:rsidRPr="003A0C5C" w:rsidRDefault="00AD6E68" w:rsidP="00AD6E68">
      <w:pPr>
        <w:pStyle w:val="Heading3"/>
      </w:pPr>
      <w:bookmarkStart w:id="34" w:name="_Toc101791975"/>
      <w:r w:rsidRPr="003A0C5C">
        <w:t>2.</w:t>
      </w:r>
      <w:r w:rsidR="009B5F88" w:rsidRPr="003A0C5C">
        <w:t>5</w:t>
      </w:r>
      <w:r w:rsidRPr="003A0C5C">
        <w:tab/>
        <w:t>Project Construction</w:t>
      </w:r>
      <w:bookmarkEnd w:id="34"/>
    </w:p>
    <w:p w14:paraId="2EF413A8" w14:textId="25462EA9" w:rsidR="00AD6E68" w:rsidRPr="003A0C5C" w:rsidRDefault="00AD6E68" w:rsidP="00DD5380">
      <w:pPr>
        <w:pStyle w:val="12space"/>
        <w:rPr>
          <w:highlight w:val="yellow"/>
        </w:rPr>
      </w:pPr>
      <w:r w:rsidRPr="003A0C5C">
        <w:t xml:space="preserve">Project construction is anticipated to start in January 2023, commencing with removal of the existing driveways, followed by approximately </w:t>
      </w:r>
      <w:r w:rsidR="003226C5" w:rsidRPr="003A0C5C">
        <w:t xml:space="preserve">1 </w:t>
      </w:r>
      <w:r w:rsidRPr="003A0C5C">
        <w:t>month of site preparation. Construction would be completed i</w:t>
      </w:r>
      <w:r w:rsidR="00CE64B3" w:rsidRPr="003A0C5C">
        <w:t xml:space="preserve">n 8 phases over an estimated </w:t>
      </w:r>
      <w:r w:rsidR="00CC6DFD" w:rsidRPr="003A0C5C">
        <w:t>13</w:t>
      </w:r>
      <w:r w:rsidR="00CE64B3" w:rsidRPr="003A0C5C">
        <w:t>-</w:t>
      </w:r>
      <w:r w:rsidRPr="003A0C5C">
        <w:t xml:space="preserve">month period and would </w:t>
      </w:r>
      <w:r w:rsidR="00172715" w:rsidRPr="003A0C5C">
        <w:t>include</w:t>
      </w:r>
      <w:r w:rsidRPr="003A0C5C">
        <w:t xml:space="preserve"> the following construction activities: site preparation, grading and excavation, trenching, concrete pouring for the foundation, building construction, paving, architectural coatings and landscaping. Project construction would include the removal of the existing driveways, the excavation of approximately 906 cubic yards of soil and import approximately 257 cubic yards of soil. In addition, the upper 6</w:t>
      </w:r>
      <w:r w:rsidR="003226C5" w:rsidRPr="003A0C5C">
        <w:t> </w:t>
      </w:r>
      <w:r w:rsidRPr="003A0C5C">
        <w:t xml:space="preserve">feet of existing earth materials within the proposed building footprint areas would be excavated and properly compacted for foundation and slab support. </w:t>
      </w:r>
    </w:p>
    <w:p w14:paraId="64A2E208" w14:textId="5E69D8D6" w:rsidR="00AD6E68" w:rsidRPr="003A0C5C" w:rsidRDefault="00AD6E68" w:rsidP="00DD5380">
      <w:pPr>
        <w:pStyle w:val="12space"/>
      </w:pPr>
      <w:r w:rsidRPr="003A0C5C">
        <w:t xml:space="preserve">The proposed project would generate off-site traffic during the initial delivery of construction vehicles and equipment to the project site, the daily arrival, and departure of construction workers, the delivery of materials throughout the construction period, the removal of soil and construction debris and the import of soil. Deliveries would generally include shipments of concrete, lumber, </w:t>
      </w:r>
      <w:r w:rsidRPr="003A0C5C">
        <w:lastRenderedPageBreak/>
        <w:t>other building materials for on</w:t>
      </w:r>
      <w:r w:rsidR="00942094" w:rsidRPr="003A0C5C">
        <w:t>-</w:t>
      </w:r>
      <w:r w:rsidRPr="003A0C5C">
        <w:t>site structures, utilities (e.g., plumbing equipment and electrical supplies), and paving and landscaping materials.</w:t>
      </w:r>
    </w:p>
    <w:p w14:paraId="57C6411E" w14:textId="01763E90" w:rsidR="00AD6E68" w:rsidRPr="003A0C5C" w:rsidRDefault="00AD6E68" w:rsidP="00AD6E68">
      <w:pPr>
        <w:pStyle w:val="Heading3"/>
      </w:pPr>
      <w:bookmarkStart w:id="35" w:name="_Toc101791976"/>
      <w:r w:rsidRPr="003A0C5C">
        <w:t>2.</w:t>
      </w:r>
      <w:r w:rsidR="009B5F88" w:rsidRPr="003A0C5C">
        <w:t>6</w:t>
      </w:r>
      <w:r w:rsidRPr="003A0C5C">
        <w:tab/>
        <w:t>Project Operations</w:t>
      </w:r>
      <w:bookmarkEnd w:id="35"/>
    </w:p>
    <w:p w14:paraId="10621B52" w14:textId="1078C15F" w:rsidR="003F2609" w:rsidRPr="003A0C5C" w:rsidRDefault="003F2609" w:rsidP="00DD5380">
      <w:pPr>
        <w:pStyle w:val="12space"/>
      </w:pPr>
      <w:r w:rsidRPr="003A0C5C">
        <w:t xml:space="preserve">During project operation, the proposed project would include 5 to 6 employees comprising two storage managers, two cafe employees, and </w:t>
      </w:r>
      <w:r w:rsidR="003226C5" w:rsidRPr="003A0C5C">
        <w:t>one or two</w:t>
      </w:r>
      <w:r w:rsidRPr="003A0C5C">
        <w:t xml:space="preserve"> employees for the mail service store. </w:t>
      </w:r>
      <w:r w:rsidR="004A39ED" w:rsidRPr="003A0C5C">
        <w:t xml:space="preserve">Gate </w:t>
      </w:r>
      <w:r w:rsidRPr="003A0C5C">
        <w:t xml:space="preserve">access </w:t>
      </w:r>
      <w:r w:rsidR="004A39ED" w:rsidRPr="003A0C5C">
        <w:t xml:space="preserve">would be provided </w:t>
      </w:r>
      <w:r w:rsidRPr="003A0C5C">
        <w:t>from 6:00 a.m. to 10:00 p.m., 7 days a week.</w:t>
      </w:r>
      <w:r w:rsidR="00485E18" w:rsidRPr="003A0C5C">
        <w:t xml:space="preserve"> </w:t>
      </w:r>
      <w:r w:rsidR="004A39ED" w:rsidRPr="003A0C5C">
        <w:t>Management employees would be on</w:t>
      </w:r>
      <w:r w:rsidR="00FD5F91" w:rsidRPr="003A0C5C">
        <w:t>-</w:t>
      </w:r>
      <w:r w:rsidR="004A39ED" w:rsidRPr="003A0C5C">
        <w:t xml:space="preserve">site during regular business hours, which </w:t>
      </w:r>
      <w:r w:rsidRPr="003A0C5C">
        <w:t xml:space="preserve">are presumed to be 8 a.m. to 6 p.m., Monday through Sunday. Typical daily operational traffic would be low in frequency and significantly less than other commercial uses, a traditional warehouse, storage, or other manufacturing use. Operational traffic would consist of inbound and outbound delivery trucks and self-storage patrons arriving and departing the project site. </w:t>
      </w:r>
      <w:r w:rsidR="000F2679" w:rsidRPr="003A0C5C">
        <w:t xml:space="preserve">Most </w:t>
      </w:r>
      <w:r w:rsidRPr="003A0C5C">
        <w:t xml:space="preserve">traffic trips to the project site </w:t>
      </w:r>
      <w:r w:rsidR="000F2679" w:rsidRPr="003A0C5C">
        <w:t xml:space="preserve">for the proposed project </w:t>
      </w:r>
      <w:r w:rsidRPr="003A0C5C">
        <w:t xml:space="preserve">would </w:t>
      </w:r>
      <w:r w:rsidR="000F2679" w:rsidRPr="003A0C5C">
        <w:t xml:space="preserve">occur at hours outside of </w:t>
      </w:r>
      <w:r w:rsidRPr="003A0C5C">
        <w:t>the peak morning and afternoon commute periods.</w:t>
      </w:r>
    </w:p>
    <w:p w14:paraId="4F56955A" w14:textId="0F9796AD" w:rsidR="00AD6E68" w:rsidRPr="003A0C5C" w:rsidRDefault="00AD6E68" w:rsidP="00AD6E68">
      <w:pPr>
        <w:pStyle w:val="Heading3"/>
      </w:pPr>
      <w:bookmarkStart w:id="36" w:name="_Toc101791977"/>
      <w:r w:rsidRPr="003A0C5C">
        <w:t>2.</w:t>
      </w:r>
      <w:r w:rsidR="009B5F88" w:rsidRPr="003A0C5C">
        <w:t>7</w:t>
      </w:r>
      <w:r w:rsidRPr="003A0C5C">
        <w:tab/>
        <w:t>Project Approvals and Discretionary Actions</w:t>
      </w:r>
      <w:bookmarkEnd w:id="36"/>
    </w:p>
    <w:p w14:paraId="47AC7CC7" w14:textId="63B5CD2E" w:rsidR="00AD6E68" w:rsidRPr="003A0C5C" w:rsidRDefault="00AD6E68" w:rsidP="00DD5380">
      <w:pPr>
        <w:pStyle w:val="12space"/>
        <w:spacing w:after="180"/>
        <w:rPr>
          <w:rFonts w:eastAsia="Calibri"/>
        </w:rPr>
      </w:pPr>
      <w:r w:rsidRPr="003A0C5C">
        <w:t xml:space="preserve">The proposed project would require the discretionary approvals from the City of Carson City Council, with initial recommendations by the City of Carson Planning Commission. In consideration of the forthcoming General Plan Update, </w:t>
      </w:r>
      <w:r w:rsidR="00503024" w:rsidRPr="003A0C5C">
        <w:t>the A</w:t>
      </w:r>
      <w:r w:rsidRPr="003A0C5C">
        <w:t xml:space="preserve">pplicant will work closely with Planning staff to determine the ideal zoning and land use designations and standards of review. </w:t>
      </w:r>
      <w:r w:rsidR="00B24914" w:rsidRPr="003A0C5C">
        <w:t xml:space="preserve">In order for </w:t>
      </w:r>
      <w:r w:rsidRPr="003A0C5C">
        <w:t>the proposed project to be approved and in compliance with the City’s Municipal Code, the Applicant would be required to obtain the following approvals</w:t>
      </w:r>
      <w:r w:rsidR="00B24914" w:rsidRPr="003A0C5C">
        <w:t xml:space="preserve"> from the City</w:t>
      </w:r>
      <w:r w:rsidRPr="003A0C5C">
        <w:t>:</w:t>
      </w:r>
    </w:p>
    <w:p w14:paraId="53BB857F" w14:textId="508D5958" w:rsidR="003F2609" w:rsidRPr="003A0C5C" w:rsidRDefault="003F2609" w:rsidP="00DD5380">
      <w:pPr>
        <w:pStyle w:val="ListBullet"/>
        <w:spacing w:after="140"/>
      </w:pPr>
      <w:r w:rsidRPr="003A0C5C">
        <w:t xml:space="preserve">General Plan Amendment (from Light Industrial to Heavy Industrial) </w:t>
      </w:r>
    </w:p>
    <w:p w14:paraId="5BFD3140" w14:textId="59A95391" w:rsidR="003F2609" w:rsidRPr="003A0C5C" w:rsidRDefault="003F2609" w:rsidP="00DD5380">
      <w:pPr>
        <w:pStyle w:val="ListBullet"/>
        <w:spacing w:after="140"/>
      </w:pPr>
      <w:r w:rsidRPr="003A0C5C">
        <w:t xml:space="preserve">Zone Change (from Manufacturing Light </w:t>
      </w:r>
      <w:r w:rsidR="000F50EE" w:rsidRPr="003A0C5C">
        <w:t>with a Design Overlay</w:t>
      </w:r>
      <w:r w:rsidR="00F10A1A" w:rsidRPr="003A0C5C">
        <w:t xml:space="preserve"> [ML-D]</w:t>
      </w:r>
      <w:r w:rsidR="000F50EE" w:rsidRPr="003A0C5C">
        <w:t xml:space="preserve"> </w:t>
      </w:r>
      <w:r w:rsidRPr="003A0C5C">
        <w:t xml:space="preserve">to </w:t>
      </w:r>
      <w:r w:rsidR="000F50EE" w:rsidRPr="003A0C5C">
        <w:t>Perry Street Specific Plan</w:t>
      </w:r>
      <w:r w:rsidR="00F10A1A" w:rsidRPr="003A0C5C">
        <w:t xml:space="preserve"> [PSSP]</w:t>
      </w:r>
      <w:r w:rsidRPr="003A0C5C">
        <w:t xml:space="preserve">) </w:t>
      </w:r>
    </w:p>
    <w:p w14:paraId="1B575578" w14:textId="3FE1CD7F" w:rsidR="003F2609" w:rsidRPr="003A0C5C" w:rsidRDefault="003F2609" w:rsidP="00DD5380">
      <w:pPr>
        <w:pStyle w:val="ListBullet"/>
        <w:spacing w:after="140"/>
      </w:pPr>
      <w:r w:rsidRPr="003A0C5C">
        <w:t xml:space="preserve">Corresponding General Plan and </w:t>
      </w:r>
      <w:r w:rsidR="000F50EE" w:rsidRPr="003A0C5C">
        <w:t>Zone Text/</w:t>
      </w:r>
      <w:r w:rsidRPr="003A0C5C">
        <w:t xml:space="preserve">Map Amendment(s) </w:t>
      </w:r>
    </w:p>
    <w:p w14:paraId="0076A1AF" w14:textId="13002354" w:rsidR="003F2609" w:rsidRPr="003A0C5C" w:rsidRDefault="003F2609" w:rsidP="00DD5380">
      <w:pPr>
        <w:pStyle w:val="ListBullet"/>
        <w:spacing w:after="140"/>
        <w:rPr>
          <w:spacing w:val="-1"/>
        </w:rPr>
      </w:pPr>
      <w:r w:rsidRPr="003A0C5C">
        <w:rPr>
          <w:spacing w:val="-1"/>
        </w:rPr>
        <w:t xml:space="preserve">Specific Plan </w:t>
      </w:r>
      <w:r w:rsidR="000F50EE" w:rsidRPr="003A0C5C">
        <w:rPr>
          <w:spacing w:val="-1"/>
        </w:rPr>
        <w:t>Approval</w:t>
      </w:r>
      <w:r w:rsidRPr="003A0C5C">
        <w:rPr>
          <w:spacing w:val="-1"/>
        </w:rPr>
        <w:t xml:space="preserve"> </w:t>
      </w:r>
    </w:p>
    <w:p w14:paraId="622555D1" w14:textId="59443E40" w:rsidR="003F2609" w:rsidRPr="003A0C5C" w:rsidRDefault="003F2609" w:rsidP="00DD5380">
      <w:pPr>
        <w:pStyle w:val="ListBullet"/>
        <w:spacing w:after="140"/>
      </w:pPr>
      <w:r w:rsidRPr="003A0C5C">
        <w:t>Development Agreement</w:t>
      </w:r>
    </w:p>
    <w:p w14:paraId="4D5A2950" w14:textId="034C2887" w:rsidR="003F2609" w:rsidRPr="003A0C5C" w:rsidRDefault="003F2609" w:rsidP="00DD5380">
      <w:pPr>
        <w:pStyle w:val="ListBullet"/>
        <w:spacing w:after="140"/>
      </w:pPr>
      <w:r w:rsidRPr="003A0C5C">
        <w:t>Site Plan</w:t>
      </w:r>
      <w:r w:rsidR="000F50EE" w:rsidRPr="003A0C5C">
        <w:t xml:space="preserve"> </w:t>
      </w:r>
      <w:r w:rsidRPr="003A0C5C">
        <w:t>/</w:t>
      </w:r>
      <w:r w:rsidR="000F50EE" w:rsidRPr="003A0C5C">
        <w:t xml:space="preserve"> </w:t>
      </w:r>
      <w:r w:rsidRPr="003A0C5C">
        <w:t xml:space="preserve">Design </w:t>
      </w:r>
      <w:r w:rsidR="0023473B" w:rsidRPr="003A0C5C">
        <w:t xml:space="preserve">Review </w:t>
      </w:r>
      <w:r w:rsidRPr="003A0C5C">
        <w:t xml:space="preserve">Overlay </w:t>
      </w:r>
    </w:p>
    <w:p w14:paraId="7447E440" w14:textId="1BBB81E9" w:rsidR="0023473B" w:rsidRPr="003A0C5C" w:rsidRDefault="003F2609" w:rsidP="00DD5380">
      <w:pPr>
        <w:pStyle w:val="ListBullet"/>
        <w:spacing w:after="140"/>
      </w:pPr>
      <w:r w:rsidRPr="003A0C5C">
        <w:t xml:space="preserve">CEQA Review </w:t>
      </w:r>
    </w:p>
    <w:p w14:paraId="16EFC712" w14:textId="54DD8826" w:rsidR="003F2609" w:rsidRPr="003A0C5C" w:rsidRDefault="0023473B" w:rsidP="00894EB7">
      <w:pPr>
        <w:pStyle w:val="ListBullet"/>
      </w:pPr>
      <w:r w:rsidRPr="003A0C5C">
        <w:t>Lot Merger</w:t>
      </w:r>
    </w:p>
    <w:p w14:paraId="51BD08C6" w14:textId="7F741BCD" w:rsidR="00DD5380" w:rsidRPr="003A0C5C" w:rsidRDefault="00DD5380">
      <w:pPr>
        <w:spacing w:after="200" w:line="276" w:lineRule="auto"/>
      </w:pPr>
      <w:r w:rsidRPr="003A0C5C">
        <w:br w:type="page"/>
      </w:r>
    </w:p>
    <w:p w14:paraId="5F17B917" w14:textId="77777777" w:rsidR="00DD5380" w:rsidRPr="003A0C5C" w:rsidRDefault="00DD5380" w:rsidP="00DD5380">
      <w:pPr>
        <w:pStyle w:val="BlankPage"/>
        <w:framePr w:wrap="around"/>
      </w:pPr>
      <w:r w:rsidRPr="003A0C5C">
        <w:lastRenderedPageBreak/>
        <w:t>Page intentionally blank</w:t>
      </w:r>
    </w:p>
    <w:p w14:paraId="245B8847" w14:textId="77777777" w:rsidR="00DD5380" w:rsidRPr="003A0C5C" w:rsidRDefault="00DD5380" w:rsidP="00DD5380"/>
    <w:p w14:paraId="40CED62A" w14:textId="7A0816DA" w:rsidR="00431574" w:rsidRPr="003A0C5C" w:rsidRDefault="00431574" w:rsidP="00A334FD">
      <w:pPr>
        <w:pStyle w:val="Heading2"/>
        <w:sectPr w:rsidR="00431574" w:rsidRPr="003A0C5C" w:rsidSect="008B0DDC">
          <w:headerReference w:type="even" r:id="rId33"/>
          <w:headerReference w:type="default" r:id="rId34"/>
          <w:type w:val="oddPage"/>
          <w:pgSz w:w="12240" w:h="15840" w:code="1"/>
          <w:pgMar w:top="1440" w:right="1800" w:bottom="1440" w:left="1800" w:header="720" w:footer="576" w:gutter="0"/>
          <w:cols w:space="720"/>
          <w:titlePg/>
          <w:docGrid w:linePitch="360"/>
        </w:sectPr>
      </w:pPr>
      <w:bookmarkStart w:id="37" w:name="_Toc74760342"/>
      <w:bookmarkStart w:id="38" w:name="_Toc94184395"/>
    </w:p>
    <w:p w14:paraId="5DDB4E36" w14:textId="321B75E0" w:rsidR="00133AD7" w:rsidRPr="003A0C5C" w:rsidRDefault="00544EBB" w:rsidP="00133AD7">
      <w:pPr>
        <w:pStyle w:val="Heading1"/>
      </w:pPr>
      <w:bookmarkStart w:id="39" w:name="_Toc99526972"/>
      <w:bookmarkStart w:id="40" w:name="_Toc101791978"/>
      <w:r w:rsidRPr="003A0C5C">
        <w:lastRenderedPageBreak/>
        <w:t>Chapter 3</w:t>
      </w:r>
      <w:bookmarkEnd w:id="37"/>
      <w:bookmarkEnd w:id="38"/>
      <w:bookmarkEnd w:id="39"/>
      <w:bookmarkEnd w:id="40"/>
    </w:p>
    <w:p w14:paraId="41546833" w14:textId="77777777" w:rsidR="00133AD7" w:rsidRPr="003A0C5C" w:rsidRDefault="00133AD7" w:rsidP="00133AD7">
      <w:pPr>
        <w:pStyle w:val="Heading2"/>
      </w:pPr>
      <w:bookmarkStart w:id="41" w:name="_Toc101791979"/>
      <w:r w:rsidRPr="003A0C5C">
        <w:t>Environmental Checklist</w:t>
      </w:r>
      <w:bookmarkEnd w:id="41"/>
    </w:p>
    <w:p w14:paraId="5E2E4CA9" w14:textId="58B135A2" w:rsidR="004F426E" w:rsidRPr="003A0C5C" w:rsidRDefault="008B0DDC" w:rsidP="008B0DDC">
      <w:pPr>
        <w:pStyle w:val="Heading4"/>
      </w:pPr>
      <w:bookmarkStart w:id="42" w:name="_Toc101791980"/>
      <w:r w:rsidRPr="003A0C5C">
        <w:t>I.</w:t>
      </w:r>
      <w:r w:rsidRPr="003A0C5C">
        <w:tab/>
      </w:r>
      <w:r w:rsidR="004F426E" w:rsidRPr="003A0C5C">
        <w:t>Aesthetics</w:t>
      </w:r>
      <w:bookmarkEnd w:id="42"/>
    </w:p>
    <w:tbl>
      <w:tblPr>
        <w:tblW w:w="0" w:type="auto"/>
        <w:tblCellMar>
          <w:left w:w="86" w:type="dxa"/>
          <w:right w:w="86" w:type="dxa"/>
        </w:tblCellMar>
        <w:tblLook w:val="0000" w:firstRow="0" w:lastRow="0" w:firstColumn="0" w:lastColumn="0" w:noHBand="0" w:noVBand="0"/>
      </w:tblPr>
      <w:tblGrid>
        <w:gridCol w:w="5088"/>
        <w:gridCol w:w="888"/>
        <w:gridCol w:w="1152"/>
        <w:gridCol w:w="888"/>
        <w:gridCol w:w="624"/>
      </w:tblGrid>
      <w:tr w:rsidR="003A0C5C" w:rsidRPr="003A0C5C" w14:paraId="51295466" w14:textId="77777777" w:rsidTr="00D429CF">
        <w:trPr>
          <w:cantSplit/>
          <w:tblHeader/>
        </w:trPr>
        <w:tc>
          <w:tcPr>
            <w:tcW w:w="0" w:type="auto"/>
            <w:vAlign w:val="bottom"/>
          </w:tcPr>
          <w:p w14:paraId="313FCAF5" w14:textId="3F40FEEC" w:rsidR="004F426E" w:rsidRPr="003A0C5C" w:rsidRDefault="004F426E" w:rsidP="00133AD7">
            <w:pPr>
              <w:keepNext/>
              <w:pBdr>
                <w:bottom w:val="single" w:sz="4" w:space="1" w:color="auto"/>
              </w:pBdr>
              <w:spacing w:before="60" w:after="60"/>
              <w:ind w:left="540" w:hanging="540"/>
              <w:rPr>
                <w:rFonts w:ascii="Arial" w:hAnsi="Arial" w:cs="Arial"/>
                <w:b/>
                <w:i/>
                <w:sz w:val="14"/>
                <w:szCs w:val="16"/>
              </w:rPr>
            </w:pPr>
            <w:r w:rsidRPr="003A0C5C">
              <w:rPr>
                <w:rFonts w:ascii="Arial" w:hAnsi="Arial" w:cs="Arial"/>
                <w:b/>
                <w:i/>
                <w:sz w:val="14"/>
                <w:szCs w:val="16"/>
              </w:rPr>
              <w:t>Issues (and Supporting Information Sour</w:t>
            </w:r>
            <w:r w:rsidR="00D429CF" w:rsidRPr="003A0C5C">
              <w:rPr>
                <w:rFonts w:ascii="Arial" w:hAnsi="Arial" w:cs="Arial"/>
                <w:b/>
                <w:i/>
                <w:sz w:val="14"/>
                <w:szCs w:val="16"/>
              </w:rPr>
              <w:t>ces)</w:t>
            </w:r>
          </w:p>
        </w:tc>
        <w:tc>
          <w:tcPr>
            <w:tcW w:w="0" w:type="auto"/>
            <w:vAlign w:val="bottom"/>
          </w:tcPr>
          <w:p w14:paraId="7759F17E" w14:textId="3BF7D753" w:rsidR="004F426E" w:rsidRPr="003A0C5C" w:rsidRDefault="004F426E" w:rsidP="00D429CF">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Potentially</w:t>
            </w:r>
            <w:r w:rsidR="00D429CF" w:rsidRPr="003A0C5C">
              <w:rPr>
                <w:rFonts w:ascii="Arial" w:hAnsi="Arial" w:cs="Arial"/>
                <w:b/>
                <w:i/>
                <w:sz w:val="14"/>
                <w:szCs w:val="16"/>
              </w:rPr>
              <w:br/>
            </w:r>
            <w:r w:rsidRPr="003A0C5C">
              <w:rPr>
                <w:rFonts w:ascii="Arial" w:hAnsi="Arial" w:cs="Arial"/>
                <w:b/>
                <w:i/>
                <w:sz w:val="14"/>
                <w:szCs w:val="16"/>
              </w:rPr>
              <w:t>Significant</w:t>
            </w:r>
            <w:r w:rsidR="00D429CF" w:rsidRPr="003A0C5C">
              <w:rPr>
                <w:rFonts w:ascii="Arial" w:hAnsi="Arial" w:cs="Arial"/>
                <w:b/>
                <w:i/>
                <w:sz w:val="14"/>
                <w:szCs w:val="16"/>
              </w:rPr>
              <w:br/>
            </w:r>
            <w:r w:rsidRPr="003A0C5C">
              <w:rPr>
                <w:rFonts w:ascii="Arial" w:hAnsi="Arial" w:cs="Arial"/>
                <w:b/>
                <w:i/>
                <w:sz w:val="14"/>
                <w:szCs w:val="16"/>
              </w:rPr>
              <w:t>Impact</w:t>
            </w:r>
          </w:p>
        </w:tc>
        <w:tc>
          <w:tcPr>
            <w:tcW w:w="0" w:type="auto"/>
            <w:vAlign w:val="bottom"/>
          </w:tcPr>
          <w:p w14:paraId="50925C78" w14:textId="27EF86F3" w:rsidR="004F426E" w:rsidRPr="003A0C5C" w:rsidRDefault="004F426E" w:rsidP="00D429CF">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Less</w:t>
            </w:r>
            <w:r w:rsidR="00D429CF" w:rsidRPr="003A0C5C">
              <w:rPr>
                <w:rFonts w:ascii="Arial" w:hAnsi="Arial" w:cs="Arial"/>
                <w:b/>
                <w:i/>
                <w:sz w:val="14"/>
                <w:szCs w:val="16"/>
              </w:rPr>
              <w:t xml:space="preserve"> t</w:t>
            </w:r>
            <w:r w:rsidRPr="003A0C5C">
              <w:rPr>
                <w:rFonts w:ascii="Arial" w:hAnsi="Arial" w:cs="Arial"/>
                <w:b/>
                <w:i/>
                <w:sz w:val="14"/>
                <w:szCs w:val="16"/>
              </w:rPr>
              <w:t>han</w:t>
            </w:r>
            <w:r w:rsidR="00D429CF" w:rsidRPr="003A0C5C">
              <w:rPr>
                <w:rFonts w:ascii="Arial" w:hAnsi="Arial" w:cs="Arial"/>
                <w:b/>
                <w:i/>
                <w:sz w:val="14"/>
                <w:szCs w:val="16"/>
              </w:rPr>
              <w:br/>
            </w:r>
            <w:r w:rsidRPr="003A0C5C">
              <w:rPr>
                <w:rFonts w:ascii="Arial" w:hAnsi="Arial" w:cs="Arial"/>
                <w:b/>
                <w:i/>
                <w:sz w:val="14"/>
                <w:szCs w:val="16"/>
              </w:rPr>
              <w:t>Significant</w:t>
            </w:r>
            <w:r w:rsidR="00D429CF" w:rsidRPr="003A0C5C">
              <w:rPr>
                <w:rFonts w:ascii="Arial" w:hAnsi="Arial" w:cs="Arial"/>
                <w:b/>
                <w:i/>
                <w:sz w:val="14"/>
                <w:szCs w:val="16"/>
              </w:rPr>
              <w:br/>
            </w:r>
            <w:r w:rsidRPr="003A0C5C">
              <w:rPr>
                <w:rFonts w:ascii="Arial" w:hAnsi="Arial" w:cs="Arial"/>
                <w:b/>
                <w:i/>
                <w:sz w:val="14"/>
                <w:szCs w:val="16"/>
              </w:rPr>
              <w:t>with</w:t>
            </w:r>
            <w:r w:rsidR="00D429CF" w:rsidRPr="003A0C5C">
              <w:rPr>
                <w:rFonts w:ascii="Arial" w:hAnsi="Arial" w:cs="Arial"/>
                <w:b/>
                <w:i/>
                <w:sz w:val="14"/>
                <w:szCs w:val="16"/>
              </w:rPr>
              <w:t> </w:t>
            </w:r>
            <w:r w:rsidRPr="003A0C5C">
              <w:rPr>
                <w:rFonts w:ascii="Arial" w:hAnsi="Arial" w:cs="Arial"/>
                <w:b/>
                <w:i/>
                <w:sz w:val="14"/>
                <w:szCs w:val="16"/>
              </w:rPr>
              <w:t>Mitigation</w:t>
            </w:r>
            <w:r w:rsidR="00D429CF" w:rsidRPr="003A0C5C">
              <w:rPr>
                <w:rFonts w:ascii="Arial" w:hAnsi="Arial" w:cs="Arial"/>
                <w:b/>
                <w:i/>
                <w:sz w:val="14"/>
                <w:szCs w:val="16"/>
              </w:rPr>
              <w:br/>
            </w:r>
            <w:r w:rsidRPr="003A0C5C">
              <w:rPr>
                <w:rFonts w:ascii="Arial" w:hAnsi="Arial" w:cs="Arial"/>
                <w:b/>
                <w:i/>
                <w:sz w:val="14"/>
                <w:szCs w:val="16"/>
              </w:rPr>
              <w:t>Incorporated</w:t>
            </w:r>
          </w:p>
        </w:tc>
        <w:tc>
          <w:tcPr>
            <w:tcW w:w="0" w:type="auto"/>
            <w:vAlign w:val="bottom"/>
          </w:tcPr>
          <w:p w14:paraId="19F23E70" w14:textId="37BE18DC" w:rsidR="004F426E" w:rsidRPr="003A0C5C" w:rsidRDefault="004F426E" w:rsidP="00D429CF">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Less</w:t>
            </w:r>
            <w:r w:rsidR="00D429CF" w:rsidRPr="003A0C5C">
              <w:rPr>
                <w:rFonts w:ascii="Arial" w:hAnsi="Arial" w:cs="Arial"/>
                <w:b/>
                <w:i/>
                <w:sz w:val="14"/>
                <w:szCs w:val="16"/>
              </w:rPr>
              <w:t>-t</w:t>
            </w:r>
            <w:r w:rsidRPr="003A0C5C">
              <w:rPr>
                <w:rFonts w:ascii="Arial" w:hAnsi="Arial" w:cs="Arial"/>
                <w:b/>
                <w:i/>
                <w:sz w:val="14"/>
                <w:szCs w:val="16"/>
              </w:rPr>
              <w:t>han</w:t>
            </w:r>
            <w:r w:rsidR="00D429CF" w:rsidRPr="003A0C5C">
              <w:rPr>
                <w:rFonts w:ascii="Arial" w:hAnsi="Arial" w:cs="Arial"/>
                <w:b/>
                <w:i/>
                <w:sz w:val="14"/>
                <w:szCs w:val="16"/>
              </w:rPr>
              <w:t>-</w:t>
            </w:r>
            <w:r w:rsidR="00D429CF" w:rsidRPr="003A0C5C">
              <w:rPr>
                <w:rFonts w:ascii="Arial" w:hAnsi="Arial" w:cs="Arial"/>
                <w:b/>
                <w:i/>
                <w:sz w:val="14"/>
                <w:szCs w:val="16"/>
              </w:rPr>
              <w:br/>
            </w:r>
            <w:r w:rsidRPr="003A0C5C">
              <w:rPr>
                <w:rFonts w:ascii="Arial" w:hAnsi="Arial" w:cs="Arial"/>
                <w:b/>
                <w:i/>
                <w:sz w:val="14"/>
                <w:szCs w:val="16"/>
              </w:rPr>
              <w:t>Significant</w:t>
            </w:r>
            <w:r w:rsidR="00D429CF" w:rsidRPr="003A0C5C">
              <w:rPr>
                <w:rFonts w:ascii="Arial" w:hAnsi="Arial" w:cs="Arial"/>
                <w:b/>
                <w:i/>
                <w:sz w:val="14"/>
                <w:szCs w:val="16"/>
              </w:rPr>
              <w:br/>
            </w:r>
            <w:r w:rsidRPr="003A0C5C">
              <w:rPr>
                <w:rFonts w:ascii="Arial" w:hAnsi="Arial" w:cs="Arial"/>
                <w:b/>
                <w:i/>
                <w:sz w:val="14"/>
                <w:szCs w:val="16"/>
              </w:rPr>
              <w:t>Impact</w:t>
            </w:r>
          </w:p>
        </w:tc>
        <w:tc>
          <w:tcPr>
            <w:tcW w:w="0" w:type="auto"/>
            <w:vAlign w:val="bottom"/>
          </w:tcPr>
          <w:p w14:paraId="7D52162A" w14:textId="67749308" w:rsidR="004F426E" w:rsidRPr="003A0C5C" w:rsidRDefault="004F426E" w:rsidP="00D429CF">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No</w:t>
            </w:r>
            <w:r w:rsidR="00D429CF" w:rsidRPr="003A0C5C">
              <w:rPr>
                <w:rFonts w:ascii="Arial" w:hAnsi="Arial" w:cs="Arial"/>
                <w:b/>
                <w:i/>
                <w:sz w:val="14"/>
                <w:szCs w:val="16"/>
              </w:rPr>
              <w:br/>
            </w:r>
            <w:r w:rsidRPr="003A0C5C">
              <w:rPr>
                <w:rFonts w:ascii="Arial" w:hAnsi="Arial" w:cs="Arial"/>
                <w:b/>
                <w:i/>
                <w:sz w:val="14"/>
                <w:szCs w:val="16"/>
              </w:rPr>
              <w:t>Impact</w:t>
            </w:r>
          </w:p>
        </w:tc>
      </w:tr>
      <w:tr w:rsidR="003A0C5C" w:rsidRPr="003A0C5C" w14:paraId="5114EE3A" w14:textId="77777777" w:rsidTr="00A23B76">
        <w:trPr>
          <w:cantSplit/>
        </w:trPr>
        <w:tc>
          <w:tcPr>
            <w:tcW w:w="0" w:type="auto"/>
            <w:shd w:val="clear" w:color="auto" w:fill="auto"/>
          </w:tcPr>
          <w:p w14:paraId="3997B2BC" w14:textId="039F00EE" w:rsidR="004F426E" w:rsidRPr="003A0C5C" w:rsidRDefault="004F426E" w:rsidP="005C0B7A">
            <w:pPr>
              <w:pStyle w:val="Tabletextnumber"/>
              <w:keepNext/>
              <w:ind w:left="504" w:hanging="504"/>
              <w:rPr>
                <w:rStyle w:val="Bold"/>
              </w:rPr>
            </w:pPr>
            <w:r w:rsidRPr="003A0C5C">
              <w:rPr>
                <w:rStyle w:val="Bold"/>
              </w:rPr>
              <w:t>I.</w:t>
            </w:r>
            <w:r w:rsidRPr="003A0C5C">
              <w:rPr>
                <w:rStyle w:val="Bold"/>
              </w:rPr>
              <w:tab/>
              <w:t>AESTHETICS</w:t>
            </w:r>
            <w:r w:rsidR="00D429CF" w:rsidRPr="003A0C5C">
              <w:t>—</w:t>
            </w:r>
            <w:r w:rsidRPr="003A0C5C">
              <w:t xml:space="preserve">Except as provided in Public Resources Code </w:t>
            </w:r>
            <w:r w:rsidR="00CC791E" w:rsidRPr="003A0C5C">
              <w:t>Section </w:t>
            </w:r>
            <w:r w:rsidRPr="003A0C5C">
              <w:t>21099, would the project:</w:t>
            </w:r>
          </w:p>
        </w:tc>
        <w:tc>
          <w:tcPr>
            <w:tcW w:w="0" w:type="auto"/>
            <w:shd w:val="clear" w:color="auto" w:fill="auto"/>
          </w:tcPr>
          <w:p w14:paraId="0BB09C6F" w14:textId="77777777" w:rsidR="004F426E" w:rsidRPr="003A0C5C" w:rsidRDefault="004F426E" w:rsidP="00D429CF">
            <w:pPr>
              <w:pStyle w:val="Checklist"/>
            </w:pPr>
          </w:p>
        </w:tc>
        <w:tc>
          <w:tcPr>
            <w:tcW w:w="0" w:type="auto"/>
            <w:shd w:val="clear" w:color="auto" w:fill="auto"/>
          </w:tcPr>
          <w:p w14:paraId="116E0267" w14:textId="77777777" w:rsidR="004F426E" w:rsidRPr="003A0C5C" w:rsidRDefault="004F426E" w:rsidP="00D429CF">
            <w:pPr>
              <w:pStyle w:val="Checklist"/>
            </w:pPr>
          </w:p>
        </w:tc>
        <w:tc>
          <w:tcPr>
            <w:tcW w:w="0" w:type="auto"/>
            <w:shd w:val="clear" w:color="auto" w:fill="auto"/>
          </w:tcPr>
          <w:p w14:paraId="445EE61C" w14:textId="77777777" w:rsidR="004F426E" w:rsidRPr="003A0C5C" w:rsidRDefault="004F426E" w:rsidP="00D429CF">
            <w:pPr>
              <w:pStyle w:val="Checklist"/>
            </w:pPr>
          </w:p>
        </w:tc>
        <w:tc>
          <w:tcPr>
            <w:tcW w:w="0" w:type="auto"/>
            <w:shd w:val="clear" w:color="auto" w:fill="auto"/>
          </w:tcPr>
          <w:p w14:paraId="07AE9EF6" w14:textId="77777777" w:rsidR="004F426E" w:rsidRPr="003A0C5C" w:rsidRDefault="004F426E" w:rsidP="00D429CF">
            <w:pPr>
              <w:pStyle w:val="Checklist"/>
            </w:pPr>
          </w:p>
        </w:tc>
      </w:tr>
      <w:tr w:rsidR="003A0C5C" w:rsidRPr="003A0C5C" w14:paraId="33545194" w14:textId="77777777" w:rsidTr="00A23B76">
        <w:trPr>
          <w:cantSplit/>
        </w:trPr>
        <w:tc>
          <w:tcPr>
            <w:tcW w:w="0" w:type="auto"/>
            <w:shd w:val="clear" w:color="auto" w:fill="auto"/>
          </w:tcPr>
          <w:p w14:paraId="2B03FD04" w14:textId="77777777" w:rsidR="005C0B7A" w:rsidRPr="003A0C5C" w:rsidRDefault="005C0B7A" w:rsidP="005C0B7A">
            <w:pPr>
              <w:pStyle w:val="Tabletextnumber"/>
            </w:pPr>
            <w:r w:rsidRPr="003A0C5C">
              <w:t>a)</w:t>
            </w:r>
            <w:r w:rsidRPr="003A0C5C">
              <w:tab/>
              <w:t>Have a substantial adverse effect on a scenic vista?</w:t>
            </w:r>
          </w:p>
        </w:tc>
        <w:tc>
          <w:tcPr>
            <w:tcW w:w="0" w:type="auto"/>
            <w:shd w:val="clear" w:color="auto" w:fill="auto"/>
          </w:tcPr>
          <w:p w14:paraId="530E430A" w14:textId="14BAC79A" w:rsidR="005C0B7A" w:rsidRPr="003A0C5C" w:rsidRDefault="002348BC" w:rsidP="005C0B7A">
            <w:pPr>
              <w:pStyle w:val="Checklist"/>
            </w:pPr>
            <w:sdt>
              <w:sdtPr>
                <w:id w:val="-201317437"/>
                <w14:checkbox>
                  <w14:checked w14:val="0"/>
                  <w14:checkedState w14:val="2612" w14:font="MS Gothic"/>
                  <w14:uncheckedState w14:val="2610" w14:font="MS Gothic"/>
                </w14:checkbox>
              </w:sdtPr>
              <w:sdtEndPr/>
              <w:sdtContent>
                <w:r w:rsidR="005C0B7A" w:rsidRPr="003A0C5C">
                  <w:t>☐</w:t>
                </w:r>
              </w:sdtContent>
            </w:sdt>
          </w:p>
        </w:tc>
        <w:tc>
          <w:tcPr>
            <w:tcW w:w="0" w:type="auto"/>
            <w:shd w:val="clear" w:color="auto" w:fill="auto"/>
          </w:tcPr>
          <w:p w14:paraId="652EC680" w14:textId="6A7CCA50" w:rsidR="005C0B7A" w:rsidRPr="003A0C5C" w:rsidRDefault="002348BC" w:rsidP="005C0B7A">
            <w:pPr>
              <w:pStyle w:val="Checklist"/>
              <w:rPr>
                <w:sz w:val="20"/>
              </w:rPr>
            </w:pPr>
            <w:sdt>
              <w:sdtPr>
                <w:id w:val="1056039824"/>
                <w14:checkbox>
                  <w14:checked w14:val="0"/>
                  <w14:checkedState w14:val="2612" w14:font="MS Gothic"/>
                  <w14:uncheckedState w14:val="2610" w14:font="MS Gothic"/>
                </w14:checkbox>
              </w:sdtPr>
              <w:sdtEndPr/>
              <w:sdtContent>
                <w:r w:rsidR="005C0B7A" w:rsidRPr="003A0C5C">
                  <w:t>☐</w:t>
                </w:r>
              </w:sdtContent>
            </w:sdt>
          </w:p>
        </w:tc>
        <w:tc>
          <w:tcPr>
            <w:tcW w:w="0" w:type="auto"/>
            <w:shd w:val="clear" w:color="auto" w:fill="auto"/>
          </w:tcPr>
          <w:p w14:paraId="4E81FD9B" w14:textId="1A4E96F7" w:rsidR="005C0B7A" w:rsidRPr="003A0C5C" w:rsidRDefault="002348BC" w:rsidP="005C0B7A">
            <w:pPr>
              <w:pStyle w:val="Checklist"/>
              <w:rPr>
                <w:sz w:val="20"/>
              </w:rPr>
            </w:pPr>
            <w:sdt>
              <w:sdtPr>
                <w:id w:val="2004703811"/>
                <w14:checkbox>
                  <w14:checked w14:val="0"/>
                  <w14:checkedState w14:val="2612" w14:font="MS Gothic"/>
                  <w14:uncheckedState w14:val="2610" w14:font="MS Gothic"/>
                </w14:checkbox>
              </w:sdtPr>
              <w:sdtEndPr/>
              <w:sdtContent>
                <w:r w:rsidR="005C0B7A" w:rsidRPr="003A0C5C">
                  <w:t>☐</w:t>
                </w:r>
              </w:sdtContent>
            </w:sdt>
          </w:p>
        </w:tc>
        <w:tc>
          <w:tcPr>
            <w:tcW w:w="0" w:type="auto"/>
            <w:shd w:val="clear" w:color="auto" w:fill="auto"/>
          </w:tcPr>
          <w:p w14:paraId="6BEB0CBB" w14:textId="65E7CF3E" w:rsidR="005C0B7A" w:rsidRPr="003A0C5C" w:rsidRDefault="002348BC" w:rsidP="005C0B7A">
            <w:pPr>
              <w:pStyle w:val="Checklist"/>
              <w:rPr>
                <w:sz w:val="20"/>
              </w:rPr>
            </w:pPr>
            <w:sdt>
              <w:sdtPr>
                <w:id w:val="232587105"/>
                <w14:checkbox>
                  <w14:checked w14:val="1"/>
                  <w14:checkedState w14:val="2612" w14:font="MS Gothic"/>
                  <w14:uncheckedState w14:val="2610" w14:font="MS Gothic"/>
                </w14:checkbox>
              </w:sdtPr>
              <w:sdtEndPr/>
              <w:sdtContent>
                <w:r w:rsidR="005C0B7A" w:rsidRPr="003A0C5C">
                  <w:t>☒</w:t>
                </w:r>
              </w:sdtContent>
            </w:sdt>
          </w:p>
        </w:tc>
      </w:tr>
      <w:tr w:rsidR="003A0C5C" w:rsidRPr="003A0C5C" w14:paraId="6EDEB157" w14:textId="77777777" w:rsidTr="00A23B76">
        <w:trPr>
          <w:cantSplit/>
        </w:trPr>
        <w:tc>
          <w:tcPr>
            <w:tcW w:w="0" w:type="auto"/>
            <w:shd w:val="clear" w:color="auto" w:fill="auto"/>
          </w:tcPr>
          <w:p w14:paraId="44CA671E" w14:textId="603B7441" w:rsidR="005C0B7A" w:rsidRPr="003A0C5C" w:rsidRDefault="005C0B7A" w:rsidP="005C0B7A">
            <w:pPr>
              <w:pStyle w:val="Tabletextnumber"/>
            </w:pPr>
            <w:r w:rsidRPr="003A0C5C">
              <w:t>b)</w:t>
            </w:r>
            <w:r w:rsidRPr="003A0C5C">
              <w:tab/>
              <w:t xml:space="preserve">Substantially damage scenic resources, including, but not limited to, trees, rock outcroppings, and historic buildings within a </w:t>
            </w:r>
            <w:r w:rsidR="00E51793" w:rsidRPr="003A0C5C">
              <w:t>State</w:t>
            </w:r>
            <w:r w:rsidRPr="003A0C5C">
              <w:t xml:space="preserve"> scenic highway?</w:t>
            </w:r>
          </w:p>
        </w:tc>
        <w:tc>
          <w:tcPr>
            <w:tcW w:w="0" w:type="auto"/>
            <w:shd w:val="clear" w:color="auto" w:fill="auto"/>
          </w:tcPr>
          <w:p w14:paraId="23E2C743" w14:textId="5A056647" w:rsidR="005C0B7A" w:rsidRPr="003A0C5C" w:rsidRDefault="002348BC" w:rsidP="005C0B7A">
            <w:pPr>
              <w:pStyle w:val="Checklist"/>
              <w:rPr>
                <w:sz w:val="20"/>
              </w:rPr>
            </w:pPr>
            <w:sdt>
              <w:sdtPr>
                <w:id w:val="-144671268"/>
                <w14:checkbox>
                  <w14:checked w14:val="0"/>
                  <w14:checkedState w14:val="2612" w14:font="MS Gothic"/>
                  <w14:uncheckedState w14:val="2610" w14:font="MS Gothic"/>
                </w14:checkbox>
              </w:sdtPr>
              <w:sdtEndPr/>
              <w:sdtContent>
                <w:r w:rsidR="005C0B7A" w:rsidRPr="003A0C5C">
                  <w:t>☐</w:t>
                </w:r>
              </w:sdtContent>
            </w:sdt>
          </w:p>
        </w:tc>
        <w:tc>
          <w:tcPr>
            <w:tcW w:w="0" w:type="auto"/>
            <w:shd w:val="clear" w:color="auto" w:fill="auto"/>
          </w:tcPr>
          <w:p w14:paraId="4E031541" w14:textId="27A70B76" w:rsidR="005C0B7A" w:rsidRPr="003A0C5C" w:rsidRDefault="002348BC" w:rsidP="005C0B7A">
            <w:pPr>
              <w:pStyle w:val="Checklist"/>
              <w:rPr>
                <w:sz w:val="20"/>
              </w:rPr>
            </w:pPr>
            <w:sdt>
              <w:sdtPr>
                <w:id w:val="1777596475"/>
                <w14:checkbox>
                  <w14:checked w14:val="0"/>
                  <w14:checkedState w14:val="2612" w14:font="MS Gothic"/>
                  <w14:uncheckedState w14:val="2610" w14:font="MS Gothic"/>
                </w14:checkbox>
              </w:sdtPr>
              <w:sdtEndPr/>
              <w:sdtContent>
                <w:r w:rsidR="005C0B7A" w:rsidRPr="003A0C5C">
                  <w:t>☐</w:t>
                </w:r>
              </w:sdtContent>
            </w:sdt>
          </w:p>
        </w:tc>
        <w:tc>
          <w:tcPr>
            <w:tcW w:w="0" w:type="auto"/>
            <w:shd w:val="clear" w:color="auto" w:fill="auto"/>
          </w:tcPr>
          <w:p w14:paraId="67533621" w14:textId="19F136AC" w:rsidR="005C0B7A" w:rsidRPr="003A0C5C" w:rsidRDefault="002348BC" w:rsidP="005C0B7A">
            <w:pPr>
              <w:pStyle w:val="Checklist"/>
              <w:rPr>
                <w:sz w:val="20"/>
              </w:rPr>
            </w:pPr>
            <w:sdt>
              <w:sdtPr>
                <w:id w:val="1296261747"/>
                <w14:checkbox>
                  <w14:checked w14:val="0"/>
                  <w14:checkedState w14:val="2612" w14:font="MS Gothic"/>
                  <w14:uncheckedState w14:val="2610" w14:font="MS Gothic"/>
                </w14:checkbox>
              </w:sdtPr>
              <w:sdtEndPr/>
              <w:sdtContent>
                <w:r w:rsidR="005C0B7A" w:rsidRPr="003A0C5C">
                  <w:t>☐</w:t>
                </w:r>
              </w:sdtContent>
            </w:sdt>
          </w:p>
        </w:tc>
        <w:tc>
          <w:tcPr>
            <w:tcW w:w="0" w:type="auto"/>
            <w:shd w:val="clear" w:color="auto" w:fill="auto"/>
          </w:tcPr>
          <w:p w14:paraId="7E506FD1" w14:textId="7ADE1BAB" w:rsidR="005C0B7A" w:rsidRPr="003A0C5C" w:rsidRDefault="002348BC" w:rsidP="005C0B7A">
            <w:pPr>
              <w:pStyle w:val="Checklist"/>
              <w:rPr>
                <w:sz w:val="20"/>
              </w:rPr>
            </w:pPr>
            <w:sdt>
              <w:sdtPr>
                <w:id w:val="-605876106"/>
                <w14:checkbox>
                  <w14:checked w14:val="1"/>
                  <w14:checkedState w14:val="2612" w14:font="MS Gothic"/>
                  <w14:uncheckedState w14:val="2610" w14:font="MS Gothic"/>
                </w14:checkbox>
              </w:sdtPr>
              <w:sdtEndPr/>
              <w:sdtContent>
                <w:r w:rsidR="005C0B7A" w:rsidRPr="003A0C5C">
                  <w:t>☒</w:t>
                </w:r>
              </w:sdtContent>
            </w:sdt>
          </w:p>
        </w:tc>
      </w:tr>
      <w:tr w:rsidR="003A0C5C" w:rsidRPr="003A0C5C" w14:paraId="74D0FF07" w14:textId="77777777" w:rsidTr="00D429CF">
        <w:trPr>
          <w:cantSplit/>
        </w:trPr>
        <w:tc>
          <w:tcPr>
            <w:tcW w:w="0" w:type="auto"/>
          </w:tcPr>
          <w:p w14:paraId="70463FBA" w14:textId="77777777" w:rsidR="005C0B7A" w:rsidRPr="003A0C5C" w:rsidRDefault="005C0B7A" w:rsidP="005C0B7A">
            <w:pPr>
              <w:pStyle w:val="Tabletextnumber"/>
            </w:pPr>
            <w:r w:rsidRPr="003A0C5C">
              <w:t>c)</w:t>
            </w:r>
            <w:r w:rsidRPr="003A0C5C">
              <w:tab/>
              <w:t>In non-urbanized areas, substantially degrade the existing visual character or quality of public views of the site and its surroundings? (Public views are those that are experienced from publicly accessible vantage point). If the project is in an urbanized area, would the project conflict with applicable zoning and other regulations governing scenic quality?</w:t>
            </w:r>
          </w:p>
        </w:tc>
        <w:tc>
          <w:tcPr>
            <w:tcW w:w="0" w:type="auto"/>
          </w:tcPr>
          <w:p w14:paraId="5207BCC7" w14:textId="5194E86C" w:rsidR="005C0B7A" w:rsidRPr="003A0C5C" w:rsidRDefault="002348BC" w:rsidP="005C0B7A">
            <w:pPr>
              <w:pStyle w:val="Checklist"/>
              <w:rPr>
                <w:sz w:val="20"/>
              </w:rPr>
            </w:pPr>
            <w:sdt>
              <w:sdtPr>
                <w:id w:val="823089515"/>
                <w14:checkbox>
                  <w14:checked w14:val="0"/>
                  <w14:checkedState w14:val="2612" w14:font="MS Gothic"/>
                  <w14:uncheckedState w14:val="2610" w14:font="MS Gothic"/>
                </w14:checkbox>
              </w:sdtPr>
              <w:sdtEndPr/>
              <w:sdtContent>
                <w:r w:rsidR="005C0B7A" w:rsidRPr="003A0C5C">
                  <w:t>☐</w:t>
                </w:r>
              </w:sdtContent>
            </w:sdt>
          </w:p>
        </w:tc>
        <w:tc>
          <w:tcPr>
            <w:tcW w:w="0" w:type="auto"/>
          </w:tcPr>
          <w:p w14:paraId="0DE20207" w14:textId="3210F6A5" w:rsidR="005C0B7A" w:rsidRPr="003A0C5C" w:rsidRDefault="002348BC" w:rsidP="005C0B7A">
            <w:pPr>
              <w:pStyle w:val="Checklist"/>
              <w:rPr>
                <w:sz w:val="20"/>
              </w:rPr>
            </w:pPr>
            <w:sdt>
              <w:sdtPr>
                <w:id w:val="-1294517486"/>
                <w14:checkbox>
                  <w14:checked w14:val="0"/>
                  <w14:checkedState w14:val="2612" w14:font="MS Gothic"/>
                  <w14:uncheckedState w14:val="2610" w14:font="MS Gothic"/>
                </w14:checkbox>
              </w:sdtPr>
              <w:sdtEndPr/>
              <w:sdtContent>
                <w:r w:rsidR="00E806A0" w:rsidRPr="003A0C5C">
                  <w:rPr>
                    <w:rFonts w:hint="eastAsia"/>
                  </w:rPr>
                  <w:t>☐</w:t>
                </w:r>
              </w:sdtContent>
            </w:sdt>
          </w:p>
        </w:tc>
        <w:tc>
          <w:tcPr>
            <w:tcW w:w="0" w:type="auto"/>
          </w:tcPr>
          <w:p w14:paraId="327470F4" w14:textId="67F2A533" w:rsidR="005C0B7A" w:rsidRPr="003A0C5C" w:rsidRDefault="002348BC" w:rsidP="005C0B7A">
            <w:pPr>
              <w:pStyle w:val="Checklist"/>
              <w:rPr>
                <w:sz w:val="20"/>
              </w:rPr>
            </w:pPr>
            <w:sdt>
              <w:sdtPr>
                <w:id w:val="-1414472839"/>
                <w14:checkbox>
                  <w14:checked w14:val="1"/>
                  <w14:checkedState w14:val="2612" w14:font="MS Gothic"/>
                  <w14:uncheckedState w14:val="2610" w14:font="MS Gothic"/>
                </w14:checkbox>
              </w:sdtPr>
              <w:sdtEndPr/>
              <w:sdtContent>
                <w:r w:rsidR="004F220F" w:rsidRPr="003A0C5C">
                  <w:rPr>
                    <w:rFonts w:hint="eastAsia"/>
                  </w:rPr>
                  <w:t>☒</w:t>
                </w:r>
              </w:sdtContent>
            </w:sdt>
          </w:p>
        </w:tc>
        <w:tc>
          <w:tcPr>
            <w:tcW w:w="0" w:type="auto"/>
          </w:tcPr>
          <w:p w14:paraId="381E1323" w14:textId="150E0F24" w:rsidR="005C0B7A" w:rsidRPr="003A0C5C" w:rsidRDefault="002348BC" w:rsidP="005C0B7A">
            <w:pPr>
              <w:pStyle w:val="Checklist"/>
              <w:rPr>
                <w:sz w:val="20"/>
              </w:rPr>
            </w:pPr>
            <w:sdt>
              <w:sdtPr>
                <w:id w:val="1225342449"/>
                <w14:checkbox>
                  <w14:checked w14:val="0"/>
                  <w14:checkedState w14:val="2612" w14:font="MS Gothic"/>
                  <w14:uncheckedState w14:val="2610" w14:font="MS Gothic"/>
                </w14:checkbox>
              </w:sdtPr>
              <w:sdtEndPr/>
              <w:sdtContent>
                <w:r w:rsidR="00E806A0" w:rsidRPr="003A0C5C">
                  <w:rPr>
                    <w:rFonts w:hint="eastAsia"/>
                  </w:rPr>
                  <w:t>☐</w:t>
                </w:r>
              </w:sdtContent>
            </w:sdt>
          </w:p>
        </w:tc>
      </w:tr>
      <w:tr w:rsidR="005C0B7A" w:rsidRPr="003A0C5C" w14:paraId="79B4F366" w14:textId="77777777" w:rsidTr="00D429CF">
        <w:trPr>
          <w:cantSplit/>
        </w:trPr>
        <w:tc>
          <w:tcPr>
            <w:tcW w:w="0" w:type="auto"/>
          </w:tcPr>
          <w:p w14:paraId="10D49D2B" w14:textId="77777777" w:rsidR="005C0B7A" w:rsidRPr="003A0C5C" w:rsidRDefault="005C0B7A" w:rsidP="005C0B7A">
            <w:pPr>
              <w:pStyle w:val="Tabletextnumber"/>
            </w:pPr>
            <w:r w:rsidRPr="003A0C5C">
              <w:t>d)</w:t>
            </w:r>
            <w:r w:rsidRPr="003A0C5C">
              <w:tab/>
              <w:t>Create a new source of substantial light or glare which would adversely affect daytime or nighttime views in the area?</w:t>
            </w:r>
          </w:p>
        </w:tc>
        <w:tc>
          <w:tcPr>
            <w:tcW w:w="0" w:type="auto"/>
          </w:tcPr>
          <w:p w14:paraId="479E2435" w14:textId="4025ABBA" w:rsidR="005C0B7A" w:rsidRPr="003A0C5C" w:rsidRDefault="002348BC" w:rsidP="005C0B7A">
            <w:pPr>
              <w:pStyle w:val="Checklist"/>
              <w:rPr>
                <w:sz w:val="20"/>
              </w:rPr>
            </w:pPr>
            <w:sdt>
              <w:sdtPr>
                <w:id w:val="-108740979"/>
                <w14:checkbox>
                  <w14:checked w14:val="0"/>
                  <w14:checkedState w14:val="2612" w14:font="MS Gothic"/>
                  <w14:uncheckedState w14:val="2610" w14:font="MS Gothic"/>
                </w14:checkbox>
              </w:sdtPr>
              <w:sdtEndPr/>
              <w:sdtContent>
                <w:r w:rsidR="005C0B7A" w:rsidRPr="003A0C5C">
                  <w:t>☐</w:t>
                </w:r>
              </w:sdtContent>
            </w:sdt>
          </w:p>
        </w:tc>
        <w:tc>
          <w:tcPr>
            <w:tcW w:w="0" w:type="auto"/>
          </w:tcPr>
          <w:p w14:paraId="18DFD7D4" w14:textId="34278310" w:rsidR="005C0B7A" w:rsidRPr="003A0C5C" w:rsidRDefault="002348BC" w:rsidP="005C0B7A">
            <w:pPr>
              <w:pStyle w:val="Checklist"/>
              <w:rPr>
                <w:sz w:val="20"/>
              </w:rPr>
            </w:pPr>
            <w:sdt>
              <w:sdtPr>
                <w:id w:val="-2045747165"/>
                <w14:checkbox>
                  <w14:checked w14:val="0"/>
                  <w14:checkedState w14:val="2612" w14:font="MS Gothic"/>
                  <w14:uncheckedState w14:val="2610" w14:font="MS Gothic"/>
                </w14:checkbox>
              </w:sdtPr>
              <w:sdtEndPr/>
              <w:sdtContent>
                <w:r w:rsidR="005C0B7A" w:rsidRPr="003A0C5C">
                  <w:t>☐</w:t>
                </w:r>
              </w:sdtContent>
            </w:sdt>
          </w:p>
        </w:tc>
        <w:tc>
          <w:tcPr>
            <w:tcW w:w="0" w:type="auto"/>
          </w:tcPr>
          <w:p w14:paraId="5E6799EF" w14:textId="7B260318" w:rsidR="005C0B7A" w:rsidRPr="003A0C5C" w:rsidRDefault="002348BC" w:rsidP="005C0B7A">
            <w:pPr>
              <w:pStyle w:val="Checklist"/>
              <w:rPr>
                <w:sz w:val="20"/>
              </w:rPr>
            </w:pPr>
            <w:sdt>
              <w:sdtPr>
                <w:id w:val="361256609"/>
                <w14:checkbox>
                  <w14:checked w14:val="1"/>
                  <w14:checkedState w14:val="2612" w14:font="MS Gothic"/>
                  <w14:uncheckedState w14:val="2610" w14:font="MS Gothic"/>
                </w14:checkbox>
              </w:sdtPr>
              <w:sdtEndPr/>
              <w:sdtContent>
                <w:r w:rsidR="005C0B7A" w:rsidRPr="003A0C5C">
                  <w:rPr>
                    <w:rFonts w:hint="eastAsia"/>
                  </w:rPr>
                  <w:t>☒</w:t>
                </w:r>
              </w:sdtContent>
            </w:sdt>
          </w:p>
        </w:tc>
        <w:tc>
          <w:tcPr>
            <w:tcW w:w="0" w:type="auto"/>
          </w:tcPr>
          <w:p w14:paraId="47894F53" w14:textId="42FFDD45" w:rsidR="005C0B7A" w:rsidRPr="003A0C5C" w:rsidRDefault="002348BC" w:rsidP="005C0B7A">
            <w:pPr>
              <w:pStyle w:val="Checklist"/>
              <w:rPr>
                <w:sz w:val="20"/>
              </w:rPr>
            </w:pPr>
            <w:sdt>
              <w:sdtPr>
                <w:id w:val="728656460"/>
                <w14:checkbox>
                  <w14:checked w14:val="0"/>
                  <w14:checkedState w14:val="2612" w14:font="MS Gothic"/>
                  <w14:uncheckedState w14:val="2610" w14:font="MS Gothic"/>
                </w14:checkbox>
              </w:sdtPr>
              <w:sdtEndPr/>
              <w:sdtContent>
                <w:r w:rsidR="00035494" w:rsidRPr="003A0C5C">
                  <w:rPr>
                    <w:rFonts w:hint="eastAsia"/>
                  </w:rPr>
                  <w:t>☐</w:t>
                </w:r>
              </w:sdtContent>
            </w:sdt>
          </w:p>
        </w:tc>
      </w:tr>
    </w:tbl>
    <w:p w14:paraId="1F042CE6" w14:textId="77777777" w:rsidR="00957C8B" w:rsidRPr="003A0C5C" w:rsidRDefault="00957C8B" w:rsidP="00957C8B">
      <w:pPr>
        <w:pStyle w:val="TableNotes"/>
      </w:pPr>
    </w:p>
    <w:p w14:paraId="2DEA7E80" w14:textId="16859DD2" w:rsidR="004F426E" w:rsidRPr="003A0C5C" w:rsidRDefault="004F426E" w:rsidP="00957C8B">
      <w:pPr>
        <w:pStyle w:val="Heading5"/>
      </w:pPr>
      <w:r w:rsidRPr="003A0C5C">
        <w:t>Discussion</w:t>
      </w:r>
    </w:p>
    <w:p w14:paraId="1803C474" w14:textId="1EE7A78A" w:rsidR="004F426E" w:rsidRPr="003A0C5C" w:rsidRDefault="004F426E" w:rsidP="00542D27">
      <w:pPr>
        <w:pStyle w:val="12spaceindent"/>
      </w:pPr>
      <w:r w:rsidRPr="003A0C5C">
        <w:t>a)</w:t>
      </w:r>
      <w:r w:rsidRPr="003A0C5C">
        <w:tab/>
      </w:r>
      <w:r w:rsidR="00EB435F" w:rsidRPr="003A0C5C">
        <w:t xml:space="preserve">The project site is </w:t>
      </w:r>
      <w:r w:rsidR="00C85C05" w:rsidRPr="003A0C5C">
        <w:t xml:space="preserve">located </w:t>
      </w:r>
      <w:r w:rsidR="00EB435F" w:rsidRPr="003A0C5C">
        <w:t>on two parcels which are currently vacant and undeveloped</w:t>
      </w:r>
      <w:r w:rsidR="00332322" w:rsidRPr="003A0C5C">
        <w:t>.</w:t>
      </w:r>
      <w:r w:rsidR="00EB435F" w:rsidRPr="003A0C5C" w:rsidDel="00EB435F">
        <w:t xml:space="preserve"> </w:t>
      </w:r>
      <w:r w:rsidR="002B70F1" w:rsidRPr="003A0C5C">
        <w:t xml:space="preserve">According to the City of Carson General Plan EIR, there are no officially designated scenic vistas within Carson </w:t>
      </w:r>
      <w:r w:rsidR="00852967" w:rsidRPr="003A0C5C">
        <w:t>(City of Carson</w:t>
      </w:r>
      <w:r w:rsidR="002B70F1" w:rsidRPr="003A0C5C">
        <w:t xml:space="preserve"> 2002). </w:t>
      </w:r>
      <w:r w:rsidR="00C85C05" w:rsidRPr="003A0C5C">
        <w:t>In addition</w:t>
      </w:r>
      <w:r w:rsidR="002B70F1" w:rsidRPr="003A0C5C">
        <w:t>, t</w:t>
      </w:r>
      <w:r w:rsidRPr="003A0C5C">
        <w:t>he project site is w</w:t>
      </w:r>
      <w:r w:rsidR="002B70F1" w:rsidRPr="003A0C5C">
        <w:t xml:space="preserve">ithin an established </w:t>
      </w:r>
      <w:r w:rsidR="00315AA1" w:rsidRPr="003A0C5C">
        <w:t>a neighborhood characterized by a mix of residential and commercial uses</w:t>
      </w:r>
      <w:r w:rsidR="00A944E7" w:rsidRPr="003A0C5C">
        <w:t>.</w:t>
      </w:r>
      <w:r w:rsidR="00D86EA1" w:rsidRPr="003A0C5C">
        <w:t xml:space="preserve"> </w:t>
      </w:r>
      <w:r w:rsidR="00C85C05" w:rsidRPr="003A0C5C">
        <w:t xml:space="preserve">While the proposed project would develop a currently vacant site, </w:t>
      </w:r>
      <w:r w:rsidR="002B70F1" w:rsidRPr="003A0C5C">
        <w:t xml:space="preserve">the proposed project would </w:t>
      </w:r>
      <w:r w:rsidR="00270DD2" w:rsidRPr="003A0C5C">
        <w:t>develop</w:t>
      </w:r>
      <w:r w:rsidR="002B70F1" w:rsidRPr="003A0C5C">
        <w:t xml:space="preserve"> similar uses to </w:t>
      </w:r>
      <w:r w:rsidR="00270DD2" w:rsidRPr="003A0C5C">
        <w:t xml:space="preserve">those </w:t>
      </w:r>
      <w:r w:rsidR="00C85C05" w:rsidRPr="003A0C5C">
        <w:t>in the surrounding area</w:t>
      </w:r>
      <w:r w:rsidR="002B70F1" w:rsidRPr="003A0C5C">
        <w:t xml:space="preserve">. Therefore, </w:t>
      </w:r>
      <w:r w:rsidRPr="003A0C5C">
        <w:t>no impact</w:t>
      </w:r>
      <w:r w:rsidR="00542D27" w:rsidRPr="003A0C5C">
        <w:t>s to a scenic vista</w:t>
      </w:r>
      <w:r w:rsidRPr="003A0C5C">
        <w:t xml:space="preserve"> would occur.</w:t>
      </w:r>
    </w:p>
    <w:p w14:paraId="63944259" w14:textId="1DC1D145" w:rsidR="004F426E" w:rsidRPr="003A0C5C" w:rsidRDefault="004F426E" w:rsidP="00542D27">
      <w:pPr>
        <w:pStyle w:val="12spaceindent"/>
      </w:pPr>
      <w:r w:rsidRPr="003A0C5C">
        <w:t>b)</w:t>
      </w:r>
      <w:r w:rsidRPr="003A0C5C">
        <w:tab/>
        <w:t xml:space="preserve">According to the California Department of Transportation (Caltrans), there are no Officially Designated State or County Scenic Highways as defined by Caltrans, the County of Los Angeles, or any other local governing body adjacent to or within the vicinity of </w:t>
      </w:r>
      <w:r w:rsidR="00D531E5" w:rsidRPr="003A0C5C">
        <w:t xml:space="preserve">the project site </w:t>
      </w:r>
      <w:r w:rsidR="00852967" w:rsidRPr="003A0C5C">
        <w:t>(Caltrans</w:t>
      </w:r>
      <w:r w:rsidR="00D531E5" w:rsidRPr="003A0C5C">
        <w:t xml:space="preserve"> </w:t>
      </w:r>
      <w:r w:rsidR="00D700CF" w:rsidRPr="003A0C5C">
        <w:t>2021</w:t>
      </w:r>
      <w:r w:rsidRPr="003A0C5C">
        <w:t xml:space="preserve">). </w:t>
      </w:r>
      <w:r w:rsidR="008243C6" w:rsidRPr="003A0C5C">
        <w:t xml:space="preserve">Furthermore, according to the City of Carson General Plan EIR, there are no officially designated scenic vistas or scenic highways within Carson </w:t>
      </w:r>
      <w:r w:rsidR="00852967" w:rsidRPr="003A0C5C">
        <w:t>(City of Carson</w:t>
      </w:r>
      <w:r w:rsidR="008243C6" w:rsidRPr="003A0C5C">
        <w:t xml:space="preserve"> 2002).</w:t>
      </w:r>
      <w:r w:rsidR="00470C54" w:rsidRPr="003A0C5C">
        <w:t xml:space="preserve"> </w:t>
      </w:r>
      <w:r w:rsidRPr="003A0C5C">
        <w:t xml:space="preserve">Therefore, no impact to scenic resources </w:t>
      </w:r>
      <w:r w:rsidR="00D531E5" w:rsidRPr="003A0C5C">
        <w:t xml:space="preserve">within a </w:t>
      </w:r>
      <w:r w:rsidR="001C20F9" w:rsidRPr="003A0C5C">
        <w:t>State</w:t>
      </w:r>
      <w:r w:rsidR="00D531E5" w:rsidRPr="003A0C5C">
        <w:t xml:space="preserve"> scenic highway </w:t>
      </w:r>
      <w:r w:rsidRPr="003A0C5C">
        <w:t>would occur.</w:t>
      </w:r>
    </w:p>
    <w:p w14:paraId="45E46DD0" w14:textId="44B23BEC" w:rsidR="00C32D18" w:rsidRPr="003A0C5C" w:rsidRDefault="004F426E" w:rsidP="009F6FE8">
      <w:pPr>
        <w:pStyle w:val="12spaceindent"/>
      </w:pPr>
      <w:r w:rsidRPr="003A0C5C">
        <w:t>c)</w:t>
      </w:r>
      <w:r w:rsidRPr="003A0C5C">
        <w:tab/>
      </w:r>
      <w:r w:rsidR="009E554F" w:rsidRPr="003A0C5C">
        <w:t xml:space="preserve">The project site is considered to be located in an urbanized area. </w:t>
      </w:r>
      <w:r w:rsidR="007703E0" w:rsidRPr="003A0C5C">
        <w:t xml:space="preserve">The project site is surrounded by urbanized uses. </w:t>
      </w:r>
      <w:r w:rsidR="009E554F" w:rsidRPr="003A0C5C">
        <w:t xml:space="preserve">The project site is located in a neighborhood characterized by a mix of residential and commercial uses. A truck dealer is located on south of the project site across East Carson Street. An auto repair facility and </w:t>
      </w:r>
      <w:r w:rsidR="000A0861" w:rsidRPr="003A0C5C">
        <w:t>two</w:t>
      </w:r>
      <w:r w:rsidR="009E554F" w:rsidRPr="003A0C5C">
        <w:t xml:space="preserve">- and </w:t>
      </w:r>
      <w:r w:rsidR="000A0861" w:rsidRPr="003A0C5C">
        <w:t>three</w:t>
      </w:r>
      <w:r w:rsidR="009E554F" w:rsidRPr="003A0C5C">
        <w:t xml:space="preserve">-story </w:t>
      </w:r>
      <w:r w:rsidR="009E554F" w:rsidRPr="003A0C5C">
        <w:lastRenderedPageBreak/>
        <w:t xml:space="preserve">multi-family residential units are located directly across South Perry Street to the east with the Perry Mini-Park and single-family homes located to the north and northeast of the project site. Additional single-family residential units are located southeast of the project site across East Carson Street. The Dominguez Channel, a 15.7-mile-long drainage channel that runs north-south through the City of Carson, is located to the west of the project site and a flood control easement separates the Dominguez Channel from the project site. </w:t>
      </w:r>
      <w:r w:rsidR="008243C6" w:rsidRPr="003A0C5C">
        <w:t>Given the</w:t>
      </w:r>
      <w:r w:rsidR="00800E0F" w:rsidRPr="003A0C5C">
        <w:t xml:space="preserve"> proposed</w:t>
      </w:r>
      <w:r w:rsidR="008243C6" w:rsidRPr="003A0C5C">
        <w:t xml:space="preserve"> project</w:t>
      </w:r>
      <w:r w:rsidR="00D678AB" w:rsidRPr="003A0C5C">
        <w:t>’</w:t>
      </w:r>
      <w:r w:rsidR="008243C6" w:rsidRPr="003A0C5C">
        <w:t>s location in an urbanized area, p</w:t>
      </w:r>
      <w:r w:rsidRPr="003A0C5C">
        <w:t xml:space="preserve">roject implementation </w:t>
      </w:r>
      <w:r w:rsidR="00D61C3C" w:rsidRPr="003A0C5C">
        <w:t xml:space="preserve">may </w:t>
      </w:r>
      <w:r w:rsidRPr="003A0C5C">
        <w:t xml:space="preserve">result in a significant impact if the proposed </w:t>
      </w:r>
      <w:r w:rsidR="003D083F" w:rsidRPr="003A0C5C">
        <w:t xml:space="preserve">project </w:t>
      </w:r>
      <w:r w:rsidRPr="003A0C5C">
        <w:t xml:space="preserve">would </w:t>
      </w:r>
      <w:r w:rsidR="0006500A" w:rsidRPr="003A0C5C">
        <w:t>conflict with applicable zoning and other regulations governing scenic quality</w:t>
      </w:r>
      <w:r w:rsidR="00D531E5" w:rsidRPr="003A0C5C">
        <w:t xml:space="preserve">. </w:t>
      </w:r>
    </w:p>
    <w:p w14:paraId="64F0D6E2" w14:textId="1D43E50E" w:rsidR="003E2641" w:rsidRPr="003A0C5C" w:rsidRDefault="00D531E5" w:rsidP="00DD5380">
      <w:pPr>
        <w:pStyle w:val="12spaceindentcontinue"/>
      </w:pPr>
      <w:r w:rsidRPr="003A0C5C">
        <w:t xml:space="preserve">The project site </w:t>
      </w:r>
      <w:r w:rsidR="00A41D2E" w:rsidRPr="003A0C5C">
        <w:t xml:space="preserve">is designated as Light Industrial land use and zoned as </w:t>
      </w:r>
      <w:r w:rsidR="00C83733" w:rsidRPr="003A0C5C">
        <w:t>ML-D (</w:t>
      </w:r>
      <w:r w:rsidR="00A41D2E" w:rsidRPr="003A0C5C">
        <w:t>Manufacturing</w:t>
      </w:r>
      <w:r w:rsidR="00C83733" w:rsidRPr="003A0C5C">
        <w:t>, Light – with Site Plan and Design Review</w:t>
      </w:r>
      <w:r w:rsidR="00073749" w:rsidRPr="003A0C5C">
        <w:t xml:space="preserve"> Overlay</w:t>
      </w:r>
      <w:r w:rsidR="00A41D2E" w:rsidRPr="003A0C5C">
        <w:t xml:space="preserve">). </w:t>
      </w:r>
      <w:r w:rsidR="00012A0B" w:rsidRPr="003A0C5C">
        <w:t xml:space="preserve">The proposed project would require a zone change </w:t>
      </w:r>
      <w:r w:rsidR="009E554F" w:rsidRPr="003A0C5C">
        <w:t xml:space="preserve">and adoption of a specific plan </w:t>
      </w:r>
      <w:r w:rsidR="00012A0B" w:rsidRPr="003A0C5C">
        <w:t xml:space="preserve">to allow implementation of </w:t>
      </w:r>
      <w:r w:rsidR="00E806A0" w:rsidRPr="003A0C5C">
        <w:t xml:space="preserve">the proposed self-storage facility. </w:t>
      </w:r>
      <w:r w:rsidR="00C32D18" w:rsidRPr="003A0C5C">
        <w:t xml:space="preserve">Approval of the proposed project would require Site Plan and Design review to ensure that the proposed project does not conflict with applicable zoning and other regulations governing scenic quality. </w:t>
      </w:r>
      <w:r w:rsidR="00E806A0" w:rsidRPr="003A0C5C">
        <w:t>The proposed</w:t>
      </w:r>
      <w:r w:rsidR="008F62D9" w:rsidRPr="003A0C5C">
        <w:t xml:space="preserve"> project would be required to comply with City</w:t>
      </w:r>
      <w:r w:rsidR="00D678AB" w:rsidRPr="003A0C5C">
        <w:t>’</w:t>
      </w:r>
      <w:r w:rsidR="008F62D9" w:rsidRPr="003A0C5C">
        <w:t>s Industrial Zone Site Development Standards (</w:t>
      </w:r>
      <w:r w:rsidR="00E806A0" w:rsidRPr="003A0C5C">
        <w:t xml:space="preserve">City of Carson </w:t>
      </w:r>
      <w:r w:rsidR="008F62D9" w:rsidRPr="003A0C5C">
        <w:t xml:space="preserve">Municipal Code </w:t>
      </w:r>
      <w:r w:rsidR="00E806A0" w:rsidRPr="003A0C5C">
        <w:t>[CMC] S</w:t>
      </w:r>
      <w:r w:rsidR="00CD2E2E" w:rsidRPr="003A0C5C">
        <w:t>ection </w:t>
      </w:r>
      <w:r w:rsidR="008F62D9" w:rsidRPr="003A0C5C">
        <w:t>9146)</w:t>
      </w:r>
      <w:r w:rsidR="00E97DE7" w:rsidRPr="003A0C5C">
        <w:t>,</w:t>
      </w:r>
      <w:r w:rsidR="008F62D9" w:rsidRPr="003A0C5C">
        <w:t xml:space="preserve"> which contains building requirements for structures, frontages, and landscaping. As a result, </w:t>
      </w:r>
      <w:r w:rsidR="00CB232A" w:rsidRPr="003A0C5C">
        <w:t>t</w:t>
      </w:r>
      <w:r w:rsidR="00AE36AB" w:rsidRPr="003A0C5C">
        <w:t xml:space="preserve">he proposed project would be consistent with </w:t>
      </w:r>
      <w:r w:rsidR="009F3A45" w:rsidRPr="003A0C5C">
        <w:t xml:space="preserve">the </w:t>
      </w:r>
      <w:r w:rsidR="00E806A0" w:rsidRPr="003A0C5C">
        <w:t>CMC</w:t>
      </w:r>
      <w:r w:rsidR="00CB232A" w:rsidRPr="003A0C5C">
        <w:t>.</w:t>
      </w:r>
    </w:p>
    <w:p w14:paraId="073EAB25" w14:textId="6A2070CD" w:rsidR="009E554F" w:rsidRPr="003A0C5C" w:rsidRDefault="00E97DE7" w:rsidP="009F6FE8">
      <w:pPr>
        <w:pStyle w:val="12spaceindentcontinue"/>
      </w:pPr>
      <w:r w:rsidRPr="003A0C5C">
        <w:t>The</w:t>
      </w:r>
      <w:r w:rsidR="00CB232A" w:rsidRPr="003A0C5C">
        <w:t xml:space="preserve"> City</w:t>
      </w:r>
      <w:r w:rsidRPr="003A0C5C">
        <w:t xml:space="preserve"> of Carson</w:t>
      </w:r>
      <w:r w:rsidR="00D678AB" w:rsidRPr="003A0C5C">
        <w:t>’</w:t>
      </w:r>
      <w:r w:rsidR="00CB232A" w:rsidRPr="003A0C5C">
        <w:t xml:space="preserve">s General Plan Land Use Element contains policies and regulations governing scenic quality and visual aesthetics for the City. </w:t>
      </w:r>
      <w:bookmarkStart w:id="43" w:name="hit19"/>
      <w:bookmarkStart w:id="44" w:name="hit20"/>
      <w:bookmarkEnd w:id="43"/>
      <w:bookmarkEnd w:id="44"/>
      <w:r w:rsidR="006B4B23" w:rsidRPr="003A0C5C">
        <w:t>However, there</w:t>
      </w:r>
      <w:r w:rsidR="00CB232A" w:rsidRPr="003A0C5C">
        <w:t xml:space="preserve"> are no </w:t>
      </w:r>
      <w:r w:rsidR="005655DF" w:rsidRPr="003A0C5C">
        <w:t xml:space="preserve">aesthetic related </w:t>
      </w:r>
      <w:r w:rsidR="00CB232A" w:rsidRPr="003A0C5C">
        <w:t xml:space="preserve">regulations </w:t>
      </w:r>
      <w:r w:rsidR="005655DF" w:rsidRPr="003A0C5C">
        <w:t xml:space="preserve">regarding industrial development </w:t>
      </w:r>
      <w:r w:rsidR="00CB232A" w:rsidRPr="003A0C5C">
        <w:t>within the General Plan</w:t>
      </w:r>
      <w:r w:rsidR="006B4B23" w:rsidRPr="003A0C5C">
        <w:t xml:space="preserve">. </w:t>
      </w:r>
      <w:r w:rsidR="001460E0" w:rsidRPr="003A0C5C">
        <w:t xml:space="preserve">The </w:t>
      </w:r>
      <w:r w:rsidR="006B4B23" w:rsidRPr="003A0C5C">
        <w:t xml:space="preserve">proposed </w:t>
      </w:r>
      <w:r w:rsidR="001460E0" w:rsidRPr="003A0C5C">
        <w:t xml:space="preserve">project would be </w:t>
      </w:r>
      <w:r w:rsidR="009E554F" w:rsidRPr="003A0C5C">
        <w:t xml:space="preserve">designed to be </w:t>
      </w:r>
      <w:r w:rsidR="001460E0" w:rsidRPr="003A0C5C">
        <w:t xml:space="preserve">compatible with zoning and design </w:t>
      </w:r>
      <w:r w:rsidR="009E554F" w:rsidRPr="003A0C5C">
        <w:t xml:space="preserve">regulations as detailed in the specific plan </w:t>
      </w:r>
      <w:r w:rsidR="001460E0" w:rsidRPr="003A0C5C">
        <w:t xml:space="preserve">and would adhere to all height, frontage, and zoning requirements that may be required to maintain aesthetic compatibility. </w:t>
      </w:r>
    </w:p>
    <w:p w14:paraId="42708B65" w14:textId="1D83166E" w:rsidR="009E554F" w:rsidRPr="003A0C5C" w:rsidRDefault="001460E0" w:rsidP="009E554F">
      <w:pPr>
        <w:pStyle w:val="12spaceindentcontinue"/>
      </w:pPr>
      <w:r w:rsidRPr="003A0C5C">
        <w:t xml:space="preserve">As discussed above, </w:t>
      </w:r>
      <w:r w:rsidR="009E554F" w:rsidRPr="003A0C5C">
        <w:t xml:space="preserve">the proposed project would consist of neutral-toned building materials in Spanish styled architecture, which include Spanish accents, Spanish tile roof, spandrel glazing, and landscaping. The proposed design would largely resemble a multi‐family residential building in its aesthetics and massing. The proposed project would include approximately </w:t>
      </w:r>
      <w:r w:rsidR="00EF0E06" w:rsidRPr="003A0C5C">
        <w:t>12,134</w:t>
      </w:r>
      <w:r w:rsidR="00A334FD" w:rsidRPr="003A0C5C">
        <w:t xml:space="preserve"> </w:t>
      </w:r>
      <w:r w:rsidR="009E554F" w:rsidRPr="003A0C5C">
        <w:t>square feet of landscaping around the perimeter of the project site. The proposed design of the self-storage facility and landscaping would</w:t>
      </w:r>
      <w:r w:rsidRPr="003A0C5C">
        <w:t xml:space="preserve"> provide visual continuity within the area. </w:t>
      </w:r>
    </w:p>
    <w:p w14:paraId="7396AB01" w14:textId="11A7DF0D" w:rsidR="00F92AE1" w:rsidRPr="003A0C5C" w:rsidRDefault="00807C16" w:rsidP="009E554F">
      <w:pPr>
        <w:pStyle w:val="12spaceindentcontinue"/>
      </w:pPr>
      <w:r w:rsidRPr="003A0C5C">
        <w:rPr>
          <w:rFonts w:cs="Times"/>
        </w:rPr>
        <w:t>Therefore</w:t>
      </w:r>
      <w:r w:rsidR="004F426E" w:rsidRPr="003A0C5C">
        <w:t xml:space="preserve">, </w:t>
      </w:r>
      <w:r w:rsidR="009E554F" w:rsidRPr="003A0C5C">
        <w:t xml:space="preserve">based on the above, </w:t>
      </w:r>
      <w:r w:rsidR="00AC5C1F" w:rsidRPr="003A0C5C">
        <w:t xml:space="preserve">the </w:t>
      </w:r>
      <w:r w:rsidR="00800E0F" w:rsidRPr="003A0C5C">
        <w:t xml:space="preserve">proposed </w:t>
      </w:r>
      <w:r w:rsidR="00AC5C1F" w:rsidRPr="003A0C5C">
        <w:t xml:space="preserve">project would not conflict with zoning or regulations governing scenic quality and </w:t>
      </w:r>
      <w:r w:rsidR="00E806A0" w:rsidRPr="003A0C5C">
        <w:t>impacts would be less than significant</w:t>
      </w:r>
      <w:r w:rsidR="00AC5C1F" w:rsidRPr="003A0C5C">
        <w:t>.</w:t>
      </w:r>
    </w:p>
    <w:p w14:paraId="0743C118" w14:textId="04B1A887" w:rsidR="002B6967" w:rsidRPr="003A0C5C" w:rsidRDefault="001460E0" w:rsidP="009F6FE8">
      <w:pPr>
        <w:pStyle w:val="12spaceindent"/>
        <w:tabs>
          <w:tab w:val="left" w:pos="0"/>
        </w:tabs>
      </w:pPr>
      <w:r w:rsidRPr="003A0C5C">
        <w:t>d)</w:t>
      </w:r>
      <w:r w:rsidR="00973293" w:rsidRPr="003A0C5C">
        <w:tab/>
      </w:r>
      <w:r w:rsidR="004F426E" w:rsidRPr="003A0C5C">
        <w:t xml:space="preserve">The project site is located within an </w:t>
      </w:r>
      <w:r w:rsidR="00EB005C" w:rsidRPr="003A0C5C">
        <w:t>urbanized area</w:t>
      </w:r>
      <w:r w:rsidR="004F426E" w:rsidRPr="003A0C5C">
        <w:t xml:space="preserve"> </w:t>
      </w:r>
      <w:r w:rsidR="00EB005C" w:rsidRPr="003A0C5C">
        <w:t xml:space="preserve">where typical </w:t>
      </w:r>
      <w:r w:rsidR="00132BB7" w:rsidRPr="003A0C5C">
        <w:t xml:space="preserve">sources from glare are caused by the reflection of sunlight or artificial light by highly polished surfaces such as window glass or reflective materials. In addition, existing </w:t>
      </w:r>
      <w:r w:rsidR="009F6FE8" w:rsidRPr="003A0C5C">
        <w:t xml:space="preserve">residential and commercial </w:t>
      </w:r>
      <w:r w:rsidR="00064009" w:rsidRPr="003A0C5C">
        <w:t xml:space="preserve">uses </w:t>
      </w:r>
      <w:r w:rsidR="00132BB7" w:rsidRPr="003A0C5C">
        <w:t xml:space="preserve">surrounding the project site typically include </w:t>
      </w:r>
      <w:r w:rsidR="00EB005C" w:rsidRPr="003A0C5C">
        <w:t>nighttime security and wayfinding lighting</w:t>
      </w:r>
      <w:r w:rsidR="00132BB7" w:rsidRPr="003A0C5C">
        <w:t xml:space="preserve"> such that typically emanate from building interiors, passes through windows, and light from outdoor sources, such as street lighting, parking lot lighting, building illumination, </w:t>
      </w:r>
      <w:r w:rsidR="00132BB7" w:rsidRPr="003A0C5C">
        <w:lastRenderedPageBreak/>
        <w:t xml:space="preserve">and </w:t>
      </w:r>
      <w:r w:rsidR="000A6B28" w:rsidRPr="003A0C5C">
        <w:t>vehicles.</w:t>
      </w:r>
      <w:r w:rsidR="00D531E5" w:rsidRPr="003A0C5C">
        <w:t xml:space="preserve"> </w:t>
      </w:r>
      <w:r w:rsidR="00EB005C" w:rsidRPr="003A0C5C">
        <w:t>Light-sensitive residential uses are located</w:t>
      </w:r>
      <w:r w:rsidR="009F6FE8" w:rsidRPr="003A0C5C">
        <w:t xml:space="preserve"> directly across South Perry Street to the east and to the north and northeast of the project site. Additional light sensitive residential uses are located southeast of the project site across East Carson Street.</w:t>
      </w:r>
      <w:r w:rsidR="00EB005C" w:rsidRPr="003A0C5C">
        <w:t xml:space="preserve"> </w:t>
      </w:r>
      <w:r w:rsidR="00807C16" w:rsidRPr="003A0C5C">
        <w:t>Implementation of the</w:t>
      </w:r>
      <w:r w:rsidR="009F6FE8" w:rsidRPr="003A0C5C">
        <w:t xml:space="preserve"> proposed</w:t>
      </w:r>
      <w:r w:rsidR="00807C16" w:rsidRPr="003A0C5C">
        <w:t xml:space="preserve"> </w:t>
      </w:r>
      <w:r w:rsidR="00EB005C" w:rsidRPr="003A0C5C">
        <w:t>p</w:t>
      </w:r>
      <w:r w:rsidR="00807C16" w:rsidRPr="003A0C5C">
        <w:t xml:space="preserve">roject would </w:t>
      </w:r>
      <w:r w:rsidR="009F6FE8" w:rsidRPr="003A0C5C">
        <w:t>introduce new</w:t>
      </w:r>
      <w:r w:rsidR="00807C16" w:rsidRPr="003A0C5C">
        <w:t xml:space="preserve"> sources of nighttime lighting onto the project site as a result of installation</w:t>
      </w:r>
      <w:r w:rsidR="00470C54" w:rsidRPr="003A0C5C">
        <w:t xml:space="preserve"> </w:t>
      </w:r>
      <w:r w:rsidR="00807C16" w:rsidRPr="003A0C5C">
        <w:t>of new exterior light fixtures that are generally required for security,</w:t>
      </w:r>
      <w:r w:rsidR="00E97DE7" w:rsidRPr="003A0C5C">
        <w:t xml:space="preserve"> wayfinding,</w:t>
      </w:r>
      <w:r w:rsidR="00807C16" w:rsidRPr="003A0C5C">
        <w:t xml:space="preserve"> and aesthetic purposes. </w:t>
      </w:r>
      <w:r w:rsidR="009F6FE8" w:rsidRPr="003A0C5C">
        <w:t xml:space="preserve">Specifically, low emittance lighting would be provided on the walls of the buildings facing the internal drive aisles and mounted at a height of 12 to 13 feet. Pedestrian areas including entryways into the proposed project would be well-lit for security </w:t>
      </w:r>
      <w:r w:rsidR="00B36D1D" w:rsidRPr="003A0C5C">
        <w:t xml:space="preserve">using </w:t>
      </w:r>
      <w:r w:rsidR="009F6FE8" w:rsidRPr="003A0C5C">
        <w:t>ground-mounted</w:t>
      </w:r>
      <w:r w:rsidR="00B36D1D" w:rsidRPr="003A0C5C">
        <w:t xml:space="preserve"> fixtures</w:t>
      </w:r>
      <w:r w:rsidR="009F6FE8" w:rsidRPr="003A0C5C">
        <w:t xml:space="preserve">. </w:t>
      </w:r>
      <w:r w:rsidR="00807C16" w:rsidRPr="003A0C5C">
        <w:t xml:space="preserve">Pursuant to </w:t>
      </w:r>
      <w:r w:rsidR="007367E7" w:rsidRPr="003A0C5C">
        <w:t>CMC</w:t>
      </w:r>
      <w:r w:rsidR="00807C16" w:rsidRPr="003A0C5C">
        <w:t xml:space="preserve"> </w:t>
      </w:r>
      <w:r w:rsidR="00356D58" w:rsidRPr="003A0C5C">
        <w:t>Section </w:t>
      </w:r>
      <w:r w:rsidR="00807C16" w:rsidRPr="003A0C5C">
        <w:t xml:space="preserve">9127.1, all exterior lighting installed on the project site must be directed away from all adjoining and nearby residential </w:t>
      </w:r>
      <w:r w:rsidR="005F352E" w:rsidRPr="003A0C5C">
        <w:t>property and</w:t>
      </w:r>
      <w:r w:rsidR="00807C16" w:rsidRPr="003A0C5C">
        <w:t xml:space="preserve"> arranged and controlled so it would not create a nuisance or hazard to traffic or to the living environment. As such, all exterior lighting would be shielded and/or recessed to reduce light trespass (i.e., excessive or unwanted light generated on one property illuminating another property). </w:t>
      </w:r>
      <w:r w:rsidR="00A944E7" w:rsidRPr="003A0C5C">
        <w:t>Therefore</w:t>
      </w:r>
      <w:r w:rsidR="00807C16" w:rsidRPr="003A0C5C">
        <w:t>, based on compliance with local requirements, impacts associated with light and nighttime glare would be less than significant.</w:t>
      </w:r>
    </w:p>
    <w:p w14:paraId="28090A45" w14:textId="77777777" w:rsidR="009956B9" w:rsidRPr="003A0C5C" w:rsidRDefault="009956B9" w:rsidP="009956B9">
      <w:pPr>
        <w:pStyle w:val="12spaceindent"/>
        <w:keepNext/>
        <w:spacing w:after="120"/>
        <w:ind w:left="0" w:firstLine="0"/>
        <w:rPr>
          <w:highlight w:val="yellow"/>
        </w:rPr>
      </w:pPr>
    </w:p>
    <w:p w14:paraId="7DDBCDBB" w14:textId="77777777" w:rsidR="009956B9" w:rsidRPr="003A0C5C" w:rsidRDefault="009956B9" w:rsidP="009956B9">
      <w:pPr>
        <w:pStyle w:val="ImpactSectionEnd"/>
        <w:rPr>
          <w:highlight w:val="yellow"/>
        </w:rPr>
      </w:pPr>
    </w:p>
    <w:p w14:paraId="747088E0" w14:textId="77777777" w:rsidR="009956B9" w:rsidRPr="003A0C5C" w:rsidRDefault="009956B9" w:rsidP="009956B9">
      <w:pPr>
        <w:rPr>
          <w:highlight w:val="yellow"/>
        </w:rPr>
      </w:pPr>
      <w:r w:rsidRPr="003A0C5C">
        <w:rPr>
          <w:highlight w:val="yellow"/>
        </w:rPr>
        <w:br w:type="page"/>
      </w:r>
    </w:p>
    <w:p w14:paraId="655D896F" w14:textId="6E1A6FE6" w:rsidR="004F426E" w:rsidRPr="003A0C5C" w:rsidRDefault="008B0DDC" w:rsidP="008B0DDC">
      <w:pPr>
        <w:pStyle w:val="Heading4"/>
      </w:pPr>
      <w:bookmarkStart w:id="45" w:name="_Toc101791981"/>
      <w:r w:rsidRPr="003A0C5C">
        <w:lastRenderedPageBreak/>
        <w:t>II.</w:t>
      </w:r>
      <w:r w:rsidRPr="003A0C5C">
        <w:tab/>
      </w:r>
      <w:r w:rsidR="004F426E" w:rsidRPr="003A0C5C">
        <w:t>Agriculture and Forestry Resources</w:t>
      </w:r>
      <w:bookmarkEnd w:id="45"/>
    </w:p>
    <w:tbl>
      <w:tblPr>
        <w:tblW w:w="0" w:type="auto"/>
        <w:tblCellMar>
          <w:left w:w="86" w:type="dxa"/>
          <w:right w:w="86" w:type="dxa"/>
        </w:tblCellMar>
        <w:tblLook w:val="0000" w:firstRow="0" w:lastRow="0" w:firstColumn="0" w:lastColumn="0" w:noHBand="0" w:noVBand="0"/>
      </w:tblPr>
      <w:tblGrid>
        <w:gridCol w:w="4949"/>
        <w:gridCol w:w="923"/>
        <w:gridCol w:w="1197"/>
        <w:gridCol w:w="923"/>
        <w:gridCol w:w="648"/>
      </w:tblGrid>
      <w:tr w:rsidR="003A0C5C" w:rsidRPr="003A0C5C" w14:paraId="35C673C2" w14:textId="77777777" w:rsidTr="005C0B7A">
        <w:trPr>
          <w:cantSplit/>
          <w:tblHeader/>
        </w:trPr>
        <w:tc>
          <w:tcPr>
            <w:tcW w:w="0" w:type="auto"/>
            <w:vAlign w:val="bottom"/>
          </w:tcPr>
          <w:p w14:paraId="08AB1D86" w14:textId="77777777" w:rsidR="00D429CF" w:rsidRPr="003A0C5C" w:rsidRDefault="00D429CF" w:rsidP="005C0B7A">
            <w:pPr>
              <w:keepNext/>
              <w:pBdr>
                <w:bottom w:val="single" w:sz="4" w:space="1" w:color="auto"/>
              </w:pBdr>
              <w:spacing w:before="60" w:after="60"/>
              <w:ind w:left="540" w:hanging="540"/>
              <w:rPr>
                <w:rFonts w:ascii="Arial" w:hAnsi="Arial" w:cs="Arial"/>
                <w:b/>
                <w:i/>
                <w:sz w:val="14"/>
                <w:szCs w:val="16"/>
              </w:rPr>
            </w:pPr>
            <w:r w:rsidRPr="003A0C5C">
              <w:rPr>
                <w:rFonts w:ascii="Arial" w:hAnsi="Arial" w:cs="Arial"/>
                <w:b/>
                <w:i/>
                <w:sz w:val="14"/>
                <w:szCs w:val="16"/>
              </w:rPr>
              <w:t>Issues (and Supporting Information Sources)</w:t>
            </w:r>
          </w:p>
        </w:tc>
        <w:tc>
          <w:tcPr>
            <w:tcW w:w="0" w:type="auto"/>
            <w:vAlign w:val="bottom"/>
          </w:tcPr>
          <w:p w14:paraId="27985581" w14:textId="77777777" w:rsidR="00D429CF" w:rsidRPr="003A0C5C" w:rsidRDefault="00D429CF" w:rsidP="005C0B7A">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Potentially</w:t>
            </w:r>
            <w:r w:rsidRPr="003A0C5C">
              <w:rPr>
                <w:rFonts w:ascii="Arial" w:hAnsi="Arial" w:cs="Arial"/>
                <w:b/>
                <w:i/>
                <w:sz w:val="14"/>
                <w:szCs w:val="16"/>
              </w:rPr>
              <w:br/>
              <w:t>Significant</w:t>
            </w:r>
            <w:r w:rsidRPr="003A0C5C">
              <w:rPr>
                <w:rFonts w:ascii="Arial" w:hAnsi="Arial" w:cs="Arial"/>
                <w:b/>
                <w:i/>
                <w:sz w:val="14"/>
                <w:szCs w:val="16"/>
              </w:rPr>
              <w:br/>
              <w:t>Impact</w:t>
            </w:r>
          </w:p>
        </w:tc>
        <w:tc>
          <w:tcPr>
            <w:tcW w:w="0" w:type="auto"/>
            <w:vAlign w:val="bottom"/>
          </w:tcPr>
          <w:p w14:paraId="1A14F5B4" w14:textId="77777777" w:rsidR="00D429CF" w:rsidRPr="003A0C5C" w:rsidRDefault="00D429CF" w:rsidP="005C0B7A">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Less than</w:t>
            </w:r>
            <w:r w:rsidRPr="003A0C5C">
              <w:rPr>
                <w:rFonts w:ascii="Arial" w:hAnsi="Arial" w:cs="Arial"/>
                <w:b/>
                <w:i/>
                <w:sz w:val="14"/>
                <w:szCs w:val="16"/>
              </w:rPr>
              <w:br/>
              <w:t>Significant</w:t>
            </w:r>
            <w:r w:rsidRPr="003A0C5C">
              <w:rPr>
                <w:rFonts w:ascii="Arial" w:hAnsi="Arial" w:cs="Arial"/>
                <w:b/>
                <w:i/>
                <w:sz w:val="14"/>
                <w:szCs w:val="16"/>
              </w:rPr>
              <w:br/>
              <w:t>with Mitigation</w:t>
            </w:r>
            <w:r w:rsidRPr="003A0C5C">
              <w:rPr>
                <w:rFonts w:ascii="Arial" w:hAnsi="Arial" w:cs="Arial"/>
                <w:b/>
                <w:i/>
                <w:sz w:val="14"/>
                <w:szCs w:val="16"/>
              </w:rPr>
              <w:br/>
              <w:t>Incorporated</w:t>
            </w:r>
          </w:p>
        </w:tc>
        <w:tc>
          <w:tcPr>
            <w:tcW w:w="0" w:type="auto"/>
            <w:vAlign w:val="bottom"/>
          </w:tcPr>
          <w:p w14:paraId="3122CAF1" w14:textId="77777777" w:rsidR="00D429CF" w:rsidRPr="003A0C5C" w:rsidRDefault="00D429CF" w:rsidP="005C0B7A">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Less-than-</w:t>
            </w:r>
            <w:r w:rsidRPr="003A0C5C">
              <w:rPr>
                <w:rFonts w:ascii="Arial" w:hAnsi="Arial" w:cs="Arial"/>
                <w:b/>
                <w:i/>
                <w:sz w:val="14"/>
                <w:szCs w:val="16"/>
              </w:rPr>
              <w:br/>
              <w:t>Significant</w:t>
            </w:r>
            <w:r w:rsidRPr="003A0C5C">
              <w:rPr>
                <w:rFonts w:ascii="Arial" w:hAnsi="Arial" w:cs="Arial"/>
                <w:b/>
                <w:i/>
                <w:sz w:val="14"/>
                <w:szCs w:val="16"/>
              </w:rPr>
              <w:br/>
              <w:t>Impact</w:t>
            </w:r>
          </w:p>
        </w:tc>
        <w:tc>
          <w:tcPr>
            <w:tcW w:w="0" w:type="auto"/>
            <w:vAlign w:val="bottom"/>
          </w:tcPr>
          <w:p w14:paraId="1ED03D25" w14:textId="77777777" w:rsidR="00D429CF" w:rsidRPr="003A0C5C" w:rsidRDefault="00D429CF" w:rsidP="005C0B7A">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No</w:t>
            </w:r>
            <w:r w:rsidRPr="003A0C5C">
              <w:rPr>
                <w:rFonts w:ascii="Arial" w:hAnsi="Arial" w:cs="Arial"/>
                <w:b/>
                <w:i/>
                <w:sz w:val="14"/>
                <w:szCs w:val="16"/>
              </w:rPr>
              <w:br/>
              <w:t>Impact</w:t>
            </w:r>
          </w:p>
        </w:tc>
      </w:tr>
      <w:tr w:rsidR="003A0C5C" w:rsidRPr="003A0C5C" w14:paraId="5887B699" w14:textId="77777777" w:rsidTr="005C0B7A">
        <w:trPr>
          <w:cantSplit/>
        </w:trPr>
        <w:tc>
          <w:tcPr>
            <w:tcW w:w="0" w:type="auto"/>
            <w:gridSpan w:val="5"/>
          </w:tcPr>
          <w:p w14:paraId="563208C8" w14:textId="7879CB52" w:rsidR="005C0B7A" w:rsidRPr="003A0C5C" w:rsidRDefault="005C0B7A" w:rsidP="005C0B7A">
            <w:pPr>
              <w:pStyle w:val="Tabletextnumber"/>
              <w:keepNext/>
              <w:ind w:left="504" w:hanging="504"/>
            </w:pPr>
            <w:r w:rsidRPr="003A0C5C">
              <w:rPr>
                <w:rStyle w:val="Bold"/>
              </w:rPr>
              <w:t>II.</w:t>
            </w:r>
            <w:r w:rsidRPr="003A0C5C">
              <w:rPr>
                <w:rStyle w:val="Bold"/>
              </w:rPr>
              <w:tab/>
              <w:t>AGRICULTURE AND FORESTRY RESOURCES</w:t>
            </w:r>
            <w:r w:rsidRPr="003A0C5C">
              <w:t>—</w:t>
            </w:r>
            <w:r w:rsidRPr="003A0C5C">
              <w:rPr>
                <w:rFonts w:cs="Arial"/>
                <w:szCs w:val="16"/>
              </w:rPr>
              <w:t xml:space="preserve">In determining whether impacts to agricultural resources are significant environmental effects, lead agencies may refer to the California Agricultural Land Evaluation and Site Assessment Model (1997) prepared by the California Department of Conservation as an optional model to use in assessing impacts on agriculture and farmland. In determining whether impacts to forest resources, including timberland, are significant environmental effects, lead agencies may refer to information compiled by the California Department of </w:t>
            </w:r>
            <w:r w:rsidRPr="003A0C5C">
              <w:t>Forestry</w:t>
            </w:r>
            <w:r w:rsidRPr="003A0C5C">
              <w:rPr>
                <w:rFonts w:cs="Arial"/>
                <w:szCs w:val="16"/>
              </w:rPr>
              <w:t xml:space="preserve"> and Fire Protection regarding the state</w:t>
            </w:r>
            <w:r w:rsidR="00D678AB" w:rsidRPr="003A0C5C">
              <w:rPr>
                <w:rFonts w:cs="Arial"/>
                <w:szCs w:val="16"/>
              </w:rPr>
              <w:t>’</w:t>
            </w:r>
            <w:r w:rsidRPr="003A0C5C">
              <w:rPr>
                <w:rFonts w:cs="Arial"/>
                <w:szCs w:val="16"/>
              </w:rPr>
              <w:t>s inventory of forest land, including the Forest and Range Assessment Project and the Forest Legacy Assessment project; and forest carbon measurement methodology provided in Forest Protocols adopted by the California Air Resources Boar</w:t>
            </w:r>
            <w:r w:rsidRPr="003A0C5C">
              <w:t>d.</w:t>
            </w:r>
            <w:r w:rsidRPr="003A0C5C">
              <w:br/>
              <w:t>Would the project:</w:t>
            </w:r>
          </w:p>
        </w:tc>
      </w:tr>
      <w:tr w:rsidR="003A0C5C" w:rsidRPr="003A0C5C" w14:paraId="305F669E" w14:textId="77777777" w:rsidTr="005C0B7A">
        <w:trPr>
          <w:cantSplit/>
        </w:trPr>
        <w:tc>
          <w:tcPr>
            <w:tcW w:w="0" w:type="auto"/>
          </w:tcPr>
          <w:p w14:paraId="6974F288" w14:textId="3BA8D5F1" w:rsidR="005C0B7A" w:rsidRPr="003A0C5C" w:rsidRDefault="005C0B7A" w:rsidP="005C0B7A">
            <w:pPr>
              <w:pStyle w:val="Tabletextnumber"/>
            </w:pPr>
            <w:r w:rsidRPr="003A0C5C">
              <w:rPr>
                <w:rFonts w:cs="Arial"/>
                <w:szCs w:val="16"/>
              </w:rPr>
              <w:t>a)</w:t>
            </w:r>
            <w:r w:rsidRPr="003A0C5C">
              <w:rPr>
                <w:rFonts w:cs="Arial"/>
                <w:szCs w:val="16"/>
              </w:rPr>
              <w:tab/>
              <w:t>Convert Prime Farmland, Unique Farmland, or Farmland of Statewide Importance (Farmland), as shown on the maps prepared pursuant to the Farmland Mapping and Monitoring Program of the California Resources Agency, to non-agricultural use?</w:t>
            </w:r>
          </w:p>
        </w:tc>
        <w:tc>
          <w:tcPr>
            <w:tcW w:w="0" w:type="auto"/>
          </w:tcPr>
          <w:p w14:paraId="46893B46" w14:textId="063269AE" w:rsidR="005C0B7A" w:rsidRPr="003A0C5C" w:rsidRDefault="002348BC" w:rsidP="005C0B7A">
            <w:pPr>
              <w:pStyle w:val="Checklist"/>
            </w:pPr>
            <w:sdt>
              <w:sdtPr>
                <w:id w:val="428709154"/>
                <w14:checkbox>
                  <w14:checked w14:val="0"/>
                  <w14:checkedState w14:val="2612" w14:font="MS Gothic"/>
                  <w14:uncheckedState w14:val="2610" w14:font="MS Gothic"/>
                </w14:checkbox>
              </w:sdtPr>
              <w:sdtEndPr/>
              <w:sdtContent>
                <w:r w:rsidR="005C0B7A" w:rsidRPr="003A0C5C">
                  <w:t>☐</w:t>
                </w:r>
              </w:sdtContent>
            </w:sdt>
          </w:p>
        </w:tc>
        <w:tc>
          <w:tcPr>
            <w:tcW w:w="0" w:type="auto"/>
          </w:tcPr>
          <w:p w14:paraId="19B3CD8A" w14:textId="28A30F1E" w:rsidR="005C0B7A" w:rsidRPr="003A0C5C" w:rsidRDefault="002348BC" w:rsidP="005C0B7A">
            <w:pPr>
              <w:pStyle w:val="Checklist"/>
              <w:rPr>
                <w:sz w:val="20"/>
              </w:rPr>
            </w:pPr>
            <w:sdt>
              <w:sdtPr>
                <w:id w:val="1780671247"/>
                <w14:checkbox>
                  <w14:checked w14:val="0"/>
                  <w14:checkedState w14:val="2612" w14:font="MS Gothic"/>
                  <w14:uncheckedState w14:val="2610" w14:font="MS Gothic"/>
                </w14:checkbox>
              </w:sdtPr>
              <w:sdtEndPr/>
              <w:sdtContent>
                <w:r w:rsidR="005C0B7A" w:rsidRPr="003A0C5C">
                  <w:t>☐</w:t>
                </w:r>
              </w:sdtContent>
            </w:sdt>
          </w:p>
        </w:tc>
        <w:tc>
          <w:tcPr>
            <w:tcW w:w="0" w:type="auto"/>
          </w:tcPr>
          <w:p w14:paraId="21E0EA32" w14:textId="21602E33" w:rsidR="005C0B7A" w:rsidRPr="003A0C5C" w:rsidRDefault="002348BC" w:rsidP="005C0B7A">
            <w:pPr>
              <w:pStyle w:val="Checklist"/>
              <w:rPr>
                <w:sz w:val="20"/>
              </w:rPr>
            </w:pPr>
            <w:sdt>
              <w:sdtPr>
                <w:id w:val="-1340545299"/>
                <w14:checkbox>
                  <w14:checked w14:val="0"/>
                  <w14:checkedState w14:val="2612" w14:font="MS Gothic"/>
                  <w14:uncheckedState w14:val="2610" w14:font="MS Gothic"/>
                </w14:checkbox>
              </w:sdtPr>
              <w:sdtEndPr/>
              <w:sdtContent>
                <w:r w:rsidR="005C0B7A" w:rsidRPr="003A0C5C">
                  <w:t>☐</w:t>
                </w:r>
              </w:sdtContent>
            </w:sdt>
          </w:p>
        </w:tc>
        <w:tc>
          <w:tcPr>
            <w:tcW w:w="0" w:type="auto"/>
          </w:tcPr>
          <w:p w14:paraId="4C854972" w14:textId="1DB910F5" w:rsidR="005C0B7A" w:rsidRPr="003A0C5C" w:rsidRDefault="002348BC" w:rsidP="005C0B7A">
            <w:pPr>
              <w:pStyle w:val="Checklist"/>
              <w:rPr>
                <w:sz w:val="20"/>
              </w:rPr>
            </w:pPr>
            <w:sdt>
              <w:sdtPr>
                <w:id w:val="-194691701"/>
                <w14:checkbox>
                  <w14:checked w14:val="1"/>
                  <w14:checkedState w14:val="2612" w14:font="MS Gothic"/>
                  <w14:uncheckedState w14:val="2610" w14:font="MS Gothic"/>
                </w14:checkbox>
              </w:sdtPr>
              <w:sdtEndPr/>
              <w:sdtContent>
                <w:r w:rsidR="005C0B7A" w:rsidRPr="003A0C5C">
                  <w:t>☒</w:t>
                </w:r>
              </w:sdtContent>
            </w:sdt>
          </w:p>
        </w:tc>
      </w:tr>
      <w:tr w:rsidR="003A0C5C" w:rsidRPr="003A0C5C" w14:paraId="249E967C" w14:textId="77777777" w:rsidTr="005C0B7A">
        <w:trPr>
          <w:cantSplit/>
        </w:trPr>
        <w:tc>
          <w:tcPr>
            <w:tcW w:w="0" w:type="auto"/>
          </w:tcPr>
          <w:p w14:paraId="56F08AD2" w14:textId="4CCCE8B0" w:rsidR="005C0B7A" w:rsidRPr="003A0C5C" w:rsidRDefault="005C0B7A" w:rsidP="005C0B7A">
            <w:pPr>
              <w:pStyle w:val="Tabletextnumber"/>
            </w:pPr>
            <w:r w:rsidRPr="003A0C5C">
              <w:rPr>
                <w:rFonts w:cs="Arial"/>
                <w:szCs w:val="16"/>
              </w:rPr>
              <w:t>b)</w:t>
            </w:r>
            <w:r w:rsidRPr="003A0C5C">
              <w:rPr>
                <w:rFonts w:cs="Arial"/>
                <w:szCs w:val="16"/>
              </w:rPr>
              <w:tab/>
              <w:t>Conflict with existing zoning for agricultural use, or a Williamson Act contract?</w:t>
            </w:r>
          </w:p>
        </w:tc>
        <w:tc>
          <w:tcPr>
            <w:tcW w:w="0" w:type="auto"/>
          </w:tcPr>
          <w:p w14:paraId="650A88CE" w14:textId="448F777C" w:rsidR="005C0B7A" w:rsidRPr="003A0C5C" w:rsidRDefault="002348BC" w:rsidP="005C0B7A">
            <w:pPr>
              <w:pStyle w:val="Checklist"/>
              <w:rPr>
                <w:sz w:val="20"/>
              </w:rPr>
            </w:pPr>
            <w:sdt>
              <w:sdtPr>
                <w:id w:val="-1606024807"/>
                <w14:checkbox>
                  <w14:checked w14:val="0"/>
                  <w14:checkedState w14:val="2612" w14:font="MS Gothic"/>
                  <w14:uncheckedState w14:val="2610" w14:font="MS Gothic"/>
                </w14:checkbox>
              </w:sdtPr>
              <w:sdtEndPr/>
              <w:sdtContent>
                <w:r w:rsidR="005C0B7A" w:rsidRPr="003A0C5C">
                  <w:t>☐</w:t>
                </w:r>
              </w:sdtContent>
            </w:sdt>
          </w:p>
        </w:tc>
        <w:tc>
          <w:tcPr>
            <w:tcW w:w="0" w:type="auto"/>
          </w:tcPr>
          <w:p w14:paraId="602F43F7" w14:textId="6F262F0F" w:rsidR="005C0B7A" w:rsidRPr="003A0C5C" w:rsidRDefault="002348BC" w:rsidP="005C0B7A">
            <w:pPr>
              <w:pStyle w:val="Checklist"/>
              <w:rPr>
                <w:sz w:val="20"/>
              </w:rPr>
            </w:pPr>
            <w:sdt>
              <w:sdtPr>
                <w:id w:val="1268664903"/>
                <w14:checkbox>
                  <w14:checked w14:val="0"/>
                  <w14:checkedState w14:val="2612" w14:font="MS Gothic"/>
                  <w14:uncheckedState w14:val="2610" w14:font="MS Gothic"/>
                </w14:checkbox>
              </w:sdtPr>
              <w:sdtEndPr/>
              <w:sdtContent>
                <w:r w:rsidR="005C0B7A" w:rsidRPr="003A0C5C">
                  <w:t>☐</w:t>
                </w:r>
              </w:sdtContent>
            </w:sdt>
          </w:p>
        </w:tc>
        <w:tc>
          <w:tcPr>
            <w:tcW w:w="0" w:type="auto"/>
          </w:tcPr>
          <w:p w14:paraId="104F419C" w14:textId="1377BD2C" w:rsidR="005C0B7A" w:rsidRPr="003A0C5C" w:rsidRDefault="002348BC" w:rsidP="005C0B7A">
            <w:pPr>
              <w:pStyle w:val="Checklist"/>
              <w:rPr>
                <w:sz w:val="20"/>
              </w:rPr>
            </w:pPr>
            <w:sdt>
              <w:sdtPr>
                <w:id w:val="1843200336"/>
                <w14:checkbox>
                  <w14:checked w14:val="0"/>
                  <w14:checkedState w14:val="2612" w14:font="MS Gothic"/>
                  <w14:uncheckedState w14:val="2610" w14:font="MS Gothic"/>
                </w14:checkbox>
              </w:sdtPr>
              <w:sdtEndPr/>
              <w:sdtContent>
                <w:r w:rsidR="005C0B7A" w:rsidRPr="003A0C5C">
                  <w:t>☐</w:t>
                </w:r>
              </w:sdtContent>
            </w:sdt>
          </w:p>
        </w:tc>
        <w:tc>
          <w:tcPr>
            <w:tcW w:w="0" w:type="auto"/>
          </w:tcPr>
          <w:p w14:paraId="4B94C035" w14:textId="6E2E41EC" w:rsidR="005C0B7A" w:rsidRPr="003A0C5C" w:rsidRDefault="002348BC" w:rsidP="005C0B7A">
            <w:pPr>
              <w:pStyle w:val="Checklist"/>
              <w:rPr>
                <w:sz w:val="20"/>
              </w:rPr>
            </w:pPr>
            <w:sdt>
              <w:sdtPr>
                <w:id w:val="-295068446"/>
                <w14:checkbox>
                  <w14:checked w14:val="1"/>
                  <w14:checkedState w14:val="2612" w14:font="MS Gothic"/>
                  <w14:uncheckedState w14:val="2610" w14:font="MS Gothic"/>
                </w14:checkbox>
              </w:sdtPr>
              <w:sdtEndPr/>
              <w:sdtContent>
                <w:r w:rsidR="005C0B7A" w:rsidRPr="003A0C5C">
                  <w:t>☒</w:t>
                </w:r>
              </w:sdtContent>
            </w:sdt>
          </w:p>
        </w:tc>
      </w:tr>
      <w:tr w:rsidR="003A0C5C" w:rsidRPr="003A0C5C" w14:paraId="0B688559" w14:textId="77777777" w:rsidTr="005C0B7A">
        <w:trPr>
          <w:cantSplit/>
        </w:trPr>
        <w:tc>
          <w:tcPr>
            <w:tcW w:w="0" w:type="auto"/>
          </w:tcPr>
          <w:p w14:paraId="72FFD5BB" w14:textId="2E9967B5" w:rsidR="005C0B7A" w:rsidRPr="003A0C5C" w:rsidRDefault="005C0B7A" w:rsidP="005C0B7A">
            <w:pPr>
              <w:pStyle w:val="Tabletextnumber"/>
            </w:pPr>
            <w:r w:rsidRPr="003A0C5C">
              <w:rPr>
                <w:rFonts w:cs="Arial"/>
                <w:szCs w:val="16"/>
              </w:rPr>
              <w:t>c)</w:t>
            </w:r>
            <w:r w:rsidRPr="003A0C5C">
              <w:rPr>
                <w:rFonts w:cs="Arial"/>
                <w:szCs w:val="16"/>
              </w:rPr>
              <w:tab/>
              <w:t xml:space="preserve">Conflict with existing zoning for, or cause rezoning of, forest land (as defined in Public Resources Code </w:t>
            </w:r>
            <w:r w:rsidR="00356D58" w:rsidRPr="003A0C5C">
              <w:rPr>
                <w:rFonts w:cs="Arial"/>
                <w:szCs w:val="16"/>
              </w:rPr>
              <w:t>Section </w:t>
            </w:r>
            <w:r w:rsidRPr="003A0C5C">
              <w:rPr>
                <w:rFonts w:cs="Arial"/>
                <w:szCs w:val="16"/>
              </w:rPr>
              <w:t xml:space="preserve">12220(g)), timberland (as defined by Public Resources Code </w:t>
            </w:r>
            <w:r w:rsidR="00356D58" w:rsidRPr="003A0C5C">
              <w:rPr>
                <w:rFonts w:cs="Arial"/>
                <w:szCs w:val="16"/>
              </w:rPr>
              <w:t>Section </w:t>
            </w:r>
            <w:r w:rsidRPr="003A0C5C">
              <w:rPr>
                <w:rFonts w:cs="Arial"/>
                <w:szCs w:val="16"/>
              </w:rPr>
              <w:t xml:space="preserve">4526), or timberland zoned Timberland Production (as defined by Government Code </w:t>
            </w:r>
            <w:r w:rsidR="00356D58" w:rsidRPr="003A0C5C">
              <w:rPr>
                <w:rFonts w:cs="Arial"/>
                <w:szCs w:val="16"/>
              </w:rPr>
              <w:t>Section </w:t>
            </w:r>
            <w:r w:rsidRPr="003A0C5C">
              <w:rPr>
                <w:rFonts w:cs="Arial"/>
                <w:szCs w:val="16"/>
              </w:rPr>
              <w:t>51104(g))?</w:t>
            </w:r>
          </w:p>
        </w:tc>
        <w:tc>
          <w:tcPr>
            <w:tcW w:w="0" w:type="auto"/>
          </w:tcPr>
          <w:p w14:paraId="5BB75A19" w14:textId="7D47CF97" w:rsidR="005C0B7A" w:rsidRPr="003A0C5C" w:rsidRDefault="002348BC" w:rsidP="005C0B7A">
            <w:pPr>
              <w:pStyle w:val="Checklist"/>
              <w:rPr>
                <w:sz w:val="20"/>
              </w:rPr>
            </w:pPr>
            <w:sdt>
              <w:sdtPr>
                <w:id w:val="801734190"/>
                <w14:checkbox>
                  <w14:checked w14:val="0"/>
                  <w14:checkedState w14:val="2612" w14:font="MS Gothic"/>
                  <w14:uncheckedState w14:val="2610" w14:font="MS Gothic"/>
                </w14:checkbox>
              </w:sdtPr>
              <w:sdtEndPr/>
              <w:sdtContent>
                <w:r w:rsidR="005C0B7A" w:rsidRPr="003A0C5C">
                  <w:t>☐</w:t>
                </w:r>
              </w:sdtContent>
            </w:sdt>
          </w:p>
        </w:tc>
        <w:tc>
          <w:tcPr>
            <w:tcW w:w="0" w:type="auto"/>
          </w:tcPr>
          <w:p w14:paraId="240851F7" w14:textId="56001A4F" w:rsidR="005C0B7A" w:rsidRPr="003A0C5C" w:rsidRDefault="002348BC" w:rsidP="005C0B7A">
            <w:pPr>
              <w:pStyle w:val="Checklist"/>
              <w:rPr>
                <w:sz w:val="20"/>
              </w:rPr>
            </w:pPr>
            <w:sdt>
              <w:sdtPr>
                <w:id w:val="615803184"/>
                <w14:checkbox>
                  <w14:checked w14:val="0"/>
                  <w14:checkedState w14:val="2612" w14:font="MS Gothic"/>
                  <w14:uncheckedState w14:val="2610" w14:font="MS Gothic"/>
                </w14:checkbox>
              </w:sdtPr>
              <w:sdtEndPr/>
              <w:sdtContent>
                <w:r w:rsidR="005C0B7A" w:rsidRPr="003A0C5C">
                  <w:t>☐</w:t>
                </w:r>
              </w:sdtContent>
            </w:sdt>
          </w:p>
        </w:tc>
        <w:tc>
          <w:tcPr>
            <w:tcW w:w="0" w:type="auto"/>
          </w:tcPr>
          <w:p w14:paraId="6E3D453F" w14:textId="6D925261" w:rsidR="005C0B7A" w:rsidRPr="003A0C5C" w:rsidRDefault="002348BC" w:rsidP="005C0B7A">
            <w:pPr>
              <w:pStyle w:val="Checklist"/>
              <w:rPr>
                <w:sz w:val="20"/>
              </w:rPr>
            </w:pPr>
            <w:sdt>
              <w:sdtPr>
                <w:id w:val="914439831"/>
                <w14:checkbox>
                  <w14:checked w14:val="0"/>
                  <w14:checkedState w14:val="2612" w14:font="MS Gothic"/>
                  <w14:uncheckedState w14:val="2610" w14:font="MS Gothic"/>
                </w14:checkbox>
              </w:sdtPr>
              <w:sdtEndPr/>
              <w:sdtContent>
                <w:r w:rsidR="005C0B7A" w:rsidRPr="003A0C5C">
                  <w:t>☐</w:t>
                </w:r>
              </w:sdtContent>
            </w:sdt>
          </w:p>
        </w:tc>
        <w:tc>
          <w:tcPr>
            <w:tcW w:w="0" w:type="auto"/>
          </w:tcPr>
          <w:p w14:paraId="3F967DE5" w14:textId="4EB14C9B" w:rsidR="005C0B7A" w:rsidRPr="003A0C5C" w:rsidRDefault="002348BC" w:rsidP="005C0B7A">
            <w:pPr>
              <w:pStyle w:val="Checklist"/>
              <w:rPr>
                <w:sz w:val="20"/>
              </w:rPr>
            </w:pPr>
            <w:sdt>
              <w:sdtPr>
                <w:id w:val="1793626317"/>
                <w14:checkbox>
                  <w14:checked w14:val="1"/>
                  <w14:checkedState w14:val="2612" w14:font="MS Gothic"/>
                  <w14:uncheckedState w14:val="2610" w14:font="MS Gothic"/>
                </w14:checkbox>
              </w:sdtPr>
              <w:sdtEndPr/>
              <w:sdtContent>
                <w:r w:rsidR="005C0B7A" w:rsidRPr="003A0C5C">
                  <w:t>☒</w:t>
                </w:r>
              </w:sdtContent>
            </w:sdt>
          </w:p>
        </w:tc>
      </w:tr>
      <w:tr w:rsidR="003A0C5C" w:rsidRPr="003A0C5C" w14:paraId="4D94DEC1" w14:textId="77777777" w:rsidTr="005C0B7A">
        <w:trPr>
          <w:cantSplit/>
        </w:trPr>
        <w:tc>
          <w:tcPr>
            <w:tcW w:w="0" w:type="auto"/>
          </w:tcPr>
          <w:p w14:paraId="43D061ED" w14:textId="7A4C1B75" w:rsidR="005C0B7A" w:rsidRPr="003A0C5C" w:rsidRDefault="005C0B7A" w:rsidP="005C0B7A">
            <w:pPr>
              <w:pStyle w:val="Tabletextnumber"/>
            </w:pPr>
            <w:r w:rsidRPr="003A0C5C">
              <w:rPr>
                <w:rFonts w:cs="Arial"/>
                <w:szCs w:val="16"/>
              </w:rPr>
              <w:t>d)</w:t>
            </w:r>
            <w:r w:rsidRPr="003A0C5C">
              <w:rPr>
                <w:rFonts w:cs="Arial"/>
                <w:szCs w:val="16"/>
              </w:rPr>
              <w:tab/>
              <w:t>Result in the loss of forest land or conversion of forest land to non-forest use?</w:t>
            </w:r>
          </w:p>
        </w:tc>
        <w:tc>
          <w:tcPr>
            <w:tcW w:w="0" w:type="auto"/>
          </w:tcPr>
          <w:p w14:paraId="2C499C96" w14:textId="6EE5AFFC" w:rsidR="005C0B7A" w:rsidRPr="003A0C5C" w:rsidRDefault="002348BC" w:rsidP="005C0B7A">
            <w:pPr>
              <w:pStyle w:val="Checklist"/>
              <w:rPr>
                <w:sz w:val="20"/>
              </w:rPr>
            </w:pPr>
            <w:sdt>
              <w:sdtPr>
                <w:id w:val="508024298"/>
                <w14:checkbox>
                  <w14:checked w14:val="0"/>
                  <w14:checkedState w14:val="2612" w14:font="MS Gothic"/>
                  <w14:uncheckedState w14:val="2610" w14:font="MS Gothic"/>
                </w14:checkbox>
              </w:sdtPr>
              <w:sdtEndPr/>
              <w:sdtContent>
                <w:r w:rsidR="005C0B7A" w:rsidRPr="003A0C5C">
                  <w:t>☐</w:t>
                </w:r>
              </w:sdtContent>
            </w:sdt>
          </w:p>
        </w:tc>
        <w:tc>
          <w:tcPr>
            <w:tcW w:w="0" w:type="auto"/>
          </w:tcPr>
          <w:p w14:paraId="1F08F804" w14:textId="3103715C" w:rsidR="005C0B7A" w:rsidRPr="003A0C5C" w:rsidRDefault="002348BC" w:rsidP="005C0B7A">
            <w:pPr>
              <w:pStyle w:val="Checklist"/>
              <w:rPr>
                <w:sz w:val="20"/>
              </w:rPr>
            </w:pPr>
            <w:sdt>
              <w:sdtPr>
                <w:id w:val="1852916251"/>
                <w14:checkbox>
                  <w14:checked w14:val="0"/>
                  <w14:checkedState w14:val="2612" w14:font="MS Gothic"/>
                  <w14:uncheckedState w14:val="2610" w14:font="MS Gothic"/>
                </w14:checkbox>
              </w:sdtPr>
              <w:sdtEndPr/>
              <w:sdtContent>
                <w:r w:rsidR="005C0B7A" w:rsidRPr="003A0C5C">
                  <w:t>☐</w:t>
                </w:r>
              </w:sdtContent>
            </w:sdt>
          </w:p>
        </w:tc>
        <w:tc>
          <w:tcPr>
            <w:tcW w:w="0" w:type="auto"/>
          </w:tcPr>
          <w:p w14:paraId="361F7CE8" w14:textId="513D657F" w:rsidR="005C0B7A" w:rsidRPr="003A0C5C" w:rsidRDefault="002348BC" w:rsidP="005C0B7A">
            <w:pPr>
              <w:pStyle w:val="Checklist"/>
              <w:rPr>
                <w:sz w:val="20"/>
              </w:rPr>
            </w:pPr>
            <w:sdt>
              <w:sdtPr>
                <w:id w:val="2071614754"/>
                <w14:checkbox>
                  <w14:checked w14:val="0"/>
                  <w14:checkedState w14:val="2612" w14:font="MS Gothic"/>
                  <w14:uncheckedState w14:val="2610" w14:font="MS Gothic"/>
                </w14:checkbox>
              </w:sdtPr>
              <w:sdtEndPr/>
              <w:sdtContent>
                <w:r w:rsidR="005C0B7A" w:rsidRPr="003A0C5C">
                  <w:t>☐</w:t>
                </w:r>
              </w:sdtContent>
            </w:sdt>
          </w:p>
        </w:tc>
        <w:tc>
          <w:tcPr>
            <w:tcW w:w="0" w:type="auto"/>
          </w:tcPr>
          <w:p w14:paraId="7107A6BF" w14:textId="1032A3F0" w:rsidR="005C0B7A" w:rsidRPr="003A0C5C" w:rsidRDefault="002348BC" w:rsidP="005C0B7A">
            <w:pPr>
              <w:pStyle w:val="Checklist"/>
              <w:rPr>
                <w:sz w:val="20"/>
              </w:rPr>
            </w:pPr>
            <w:sdt>
              <w:sdtPr>
                <w:id w:val="1636452218"/>
                <w14:checkbox>
                  <w14:checked w14:val="1"/>
                  <w14:checkedState w14:val="2612" w14:font="MS Gothic"/>
                  <w14:uncheckedState w14:val="2610" w14:font="MS Gothic"/>
                </w14:checkbox>
              </w:sdtPr>
              <w:sdtEndPr/>
              <w:sdtContent>
                <w:r w:rsidR="005C0B7A" w:rsidRPr="003A0C5C">
                  <w:t>☒</w:t>
                </w:r>
              </w:sdtContent>
            </w:sdt>
          </w:p>
        </w:tc>
      </w:tr>
      <w:tr w:rsidR="005C0B7A" w:rsidRPr="003A0C5C" w14:paraId="3ABD6728" w14:textId="77777777" w:rsidTr="005C0B7A">
        <w:trPr>
          <w:cantSplit/>
        </w:trPr>
        <w:tc>
          <w:tcPr>
            <w:tcW w:w="0" w:type="auto"/>
          </w:tcPr>
          <w:p w14:paraId="1BF6D9BE" w14:textId="54C65169" w:rsidR="005C0B7A" w:rsidRPr="003A0C5C" w:rsidRDefault="005C0B7A" w:rsidP="005C0B7A">
            <w:pPr>
              <w:pStyle w:val="Tabletextnumber"/>
            </w:pPr>
            <w:r w:rsidRPr="003A0C5C">
              <w:rPr>
                <w:rFonts w:cs="Arial"/>
                <w:szCs w:val="16"/>
              </w:rPr>
              <w:t>e)</w:t>
            </w:r>
            <w:r w:rsidRPr="003A0C5C">
              <w:rPr>
                <w:rFonts w:cs="Arial"/>
                <w:szCs w:val="16"/>
              </w:rPr>
              <w:tab/>
              <w:t>Involve other changes in the existing environment which, due to their location or nature, could result in conversion of Farmland, to non-agricultural use or conversion of forest land to non-forest use?</w:t>
            </w:r>
          </w:p>
        </w:tc>
        <w:tc>
          <w:tcPr>
            <w:tcW w:w="0" w:type="auto"/>
          </w:tcPr>
          <w:p w14:paraId="680C1E1F" w14:textId="2501809B" w:rsidR="005C0B7A" w:rsidRPr="003A0C5C" w:rsidRDefault="002348BC" w:rsidP="005C0B7A">
            <w:pPr>
              <w:pStyle w:val="Checklist"/>
            </w:pPr>
            <w:sdt>
              <w:sdtPr>
                <w:id w:val="-576598287"/>
                <w14:checkbox>
                  <w14:checked w14:val="0"/>
                  <w14:checkedState w14:val="2612" w14:font="MS Gothic"/>
                  <w14:uncheckedState w14:val="2610" w14:font="MS Gothic"/>
                </w14:checkbox>
              </w:sdtPr>
              <w:sdtEndPr/>
              <w:sdtContent>
                <w:r w:rsidR="005C0B7A" w:rsidRPr="003A0C5C">
                  <w:t>☐</w:t>
                </w:r>
              </w:sdtContent>
            </w:sdt>
          </w:p>
        </w:tc>
        <w:tc>
          <w:tcPr>
            <w:tcW w:w="0" w:type="auto"/>
          </w:tcPr>
          <w:p w14:paraId="33EC6BC5" w14:textId="7D87F28F" w:rsidR="005C0B7A" w:rsidRPr="003A0C5C" w:rsidRDefault="002348BC" w:rsidP="005C0B7A">
            <w:pPr>
              <w:pStyle w:val="Checklist"/>
            </w:pPr>
            <w:sdt>
              <w:sdtPr>
                <w:id w:val="-1956711324"/>
                <w14:checkbox>
                  <w14:checked w14:val="0"/>
                  <w14:checkedState w14:val="2612" w14:font="MS Gothic"/>
                  <w14:uncheckedState w14:val="2610" w14:font="MS Gothic"/>
                </w14:checkbox>
              </w:sdtPr>
              <w:sdtEndPr/>
              <w:sdtContent>
                <w:r w:rsidR="005C0B7A" w:rsidRPr="003A0C5C">
                  <w:t>☐</w:t>
                </w:r>
              </w:sdtContent>
            </w:sdt>
          </w:p>
        </w:tc>
        <w:tc>
          <w:tcPr>
            <w:tcW w:w="0" w:type="auto"/>
          </w:tcPr>
          <w:p w14:paraId="0FEF3C9C" w14:textId="26A2047B" w:rsidR="005C0B7A" w:rsidRPr="003A0C5C" w:rsidRDefault="002348BC" w:rsidP="005C0B7A">
            <w:pPr>
              <w:pStyle w:val="Checklist"/>
            </w:pPr>
            <w:sdt>
              <w:sdtPr>
                <w:id w:val="-958324774"/>
                <w14:checkbox>
                  <w14:checked w14:val="0"/>
                  <w14:checkedState w14:val="2612" w14:font="MS Gothic"/>
                  <w14:uncheckedState w14:val="2610" w14:font="MS Gothic"/>
                </w14:checkbox>
              </w:sdtPr>
              <w:sdtEndPr/>
              <w:sdtContent>
                <w:r w:rsidR="005C0B7A" w:rsidRPr="003A0C5C">
                  <w:t>☐</w:t>
                </w:r>
              </w:sdtContent>
            </w:sdt>
          </w:p>
        </w:tc>
        <w:tc>
          <w:tcPr>
            <w:tcW w:w="0" w:type="auto"/>
          </w:tcPr>
          <w:p w14:paraId="67F4F08E" w14:textId="30328046" w:rsidR="005C0B7A" w:rsidRPr="003A0C5C" w:rsidRDefault="002348BC" w:rsidP="005C0B7A">
            <w:pPr>
              <w:pStyle w:val="Checklist"/>
            </w:pPr>
            <w:sdt>
              <w:sdtPr>
                <w:id w:val="859164916"/>
                <w14:checkbox>
                  <w14:checked w14:val="1"/>
                  <w14:checkedState w14:val="2612" w14:font="MS Gothic"/>
                  <w14:uncheckedState w14:val="2610" w14:font="MS Gothic"/>
                </w14:checkbox>
              </w:sdtPr>
              <w:sdtEndPr/>
              <w:sdtContent>
                <w:r w:rsidR="005C0B7A" w:rsidRPr="003A0C5C">
                  <w:t>☒</w:t>
                </w:r>
              </w:sdtContent>
            </w:sdt>
          </w:p>
        </w:tc>
      </w:tr>
    </w:tbl>
    <w:p w14:paraId="3859BEEC" w14:textId="77777777" w:rsidR="00957C8B" w:rsidRPr="003A0C5C" w:rsidRDefault="00957C8B" w:rsidP="00957C8B">
      <w:pPr>
        <w:pStyle w:val="TableNotes"/>
        <w:rPr>
          <w:highlight w:val="yellow"/>
        </w:rPr>
      </w:pPr>
    </w:p>
    <w:p w14:paraId="65FE2D16" w14:textId="77777777" w:rsidR="00957C8B" w:rsidRPr="003A0C5C" w:rsidRDefault="00957C8B" w:rsidP="00957C8B">
      <w:pPr>
        <w:pStyle w:val="Heading5"/>
      </w:pPr>
      <w:r w:rsidRPr="003A0C5C">
        <w:t>Discussion</w:t>
      </w:r>
    </w:p>
    <w:p w14:paraId="227A3301" w14:textId="631E0401" w:rsidR="00F92AE1" w:rsidRPr="003A0C5C" w:rsidRDefault="004F426E" w:rsidP="00B82477">
      <w:pPr>
        <w:pStyle w:val="12spaceindent"/>
        <w:numPr>
          <w:ilvl w:val="0"/>
          <w:numId w:val="7"/>
        </w:numPr>
        <w:ind w:left="720"/>
      </w:pPr>
      <w:r w:rsidRPr="003A0C5C">
        <w:t xml:space="preserve">The project site is located within the City of Carson </w:t>
      </w:r>
      <w:r w:rsidR="00EB435F" w:rsidRPr="003A0C5C">
        <w:t xml:space="preserve">on two parcels </w:t>
      </w:r>
      <w:r w:rsidR="007C574C" w:rsidRPr="003A0C5C">
        <w:t xml:space="preserve">that </w:t>
      </w:r>
      <w:r w:rsidR="00EB435F" w:rsidRPr="003A0C5C">
        <w:t xml:space="preserve">are </w:t>
      </w:r>
      <w:r w:rsidRPr="003A0C5C">
        <w:t>currently</w:t>
      </w:r>
      <w:r w:rsidR="00613444" w:rsidRPr="003A0C5C">
        <w:t xml:space="preserve"> vacant and undeveloped. </w:t>
      </w:r>
      <w:r w:rsidR="00EB005C" w:rsidRPr="003A0C5C">
        <w:t>The project site is not zoned for agricultural uses and n</w:t>
      </w:r>
      <w:r w:rsidRPr="003A0C5C">
        <w:t xml:space="preserve">o agricultural uses or related operations are present on the project site or in the surrounding urbanized area. </w:t>
      </w:r>
      <w:r w:rsidR="00F21106" w:rsidRPr="003A0C5C">
        <w:t>T</w:t>
      </w:r>
      <w:r w:rsidRPr="003A0C5C">
        <w:t>he project site is not located on designated Prime Farmland, Unique Farmland, or Farmland of Statewide Importance (Farmland)</w:t>
      </w:r>
      <w:r w:rsidR="0008535B" w:rsidRPr="003A0C5C">
        <w:t xml:space="preserve"> </w:t>
      </w:r>
      <w:r w:rsidRPr="003A0C5C">
        <w:t>as shown on the maps prepared pursuant to the Farmland Mapping and Monitoring Program (CD</w:t>
      </w:r>
      <w:r w:rsidR="00C62470" w:rsidRPr="003A0C5C">
        <w:t>C 202</w:t>
      </w:r>
      <w:r w:rsidR="00984366" w:rsidRPr="003A0C5C">
        <w:t>1</w:t>
      </w:r>
      <w:r w:rsidRPr="003A0C5C">
        <w:t xml:space="preserve">). Therefore, no impact would occur from conversion of </w:t>
      </w:r>
      <w:r w:rsidR="004872EB" w:rsidRPr="003A0C5C">
        <w:t>F</w:t>
      </w:r>
      <w:r w:rsidRPr="003A0C5C">
        <w:t>armland to non-agricultural uses.</w:t>
      </w:r>
    </w:p>
    <w:p w14:paraId="2F72D516" w14:textId="283A80A2" w:rsidR="00F92AE1" w:rsidRPr="003A0C5C" w:rsidRDefault="004F426E" w:rsidP="00DA1F5D">
      <w:pPr>
        <w:pStyle w:val="12spaceindent"/>
      </w:pPr>
      <w:r w:rsidRPr="003A0C5C">
        <w:t>b)</w:t>
      </w:r>
      <w:r w:rsidR="007C1A4E" w:rsidRPr="003A0C5C">
        <w:tab/>
      </w:r>
      <w:r w:rsidRPr="003A0C5C">
        <w:t xml:space="preserve">The project site is </w:t>
      </w:r>
      <w:r w:rsidR="007C1A4E" w:rsidRPr="003A0C5C">
        <w:t xml:space="preserve">located in </w:t>
      </w:r>
      <w:r w:rsidR="005F352E" w:rsidRPr="003A0C5C">
        <w:t>an</w:t>
      </w:r>
      <w:r w:rsidR="007C1A4E" w:rsidRPr="003A0C5C">
        <w:t xml:space="preserve"> urbanized area </w:t>
      </w:r>
      <w:r w:rsidRPr="003A0C5C">
        <w:t xml:space="preserve">designated as </w:t>
      </w:r>
      <w:r w:rsidR="00C62470" w:rsidRPr="003A0C5C">
        <w:t>Light</w:t>
      </w:r>
      <w:r w:rsidRPr="003A0C5C">
        <w:t xml:space="preserve"> Industrial in the City of Carson</w:t>
      </w:r>
      <w:r w:rsidR="00D678AB" w:rsidRPr="003A0C5C">
        <w:t>’</w:t>
      </w:r>
      <w:r w:rsidRPr="003A0C5C">
        <w:t>s General Plan Land Use Map w</w:t>
      </w:r>
      <w:r w:rsidR="00C62470" w:rsidRPr="003A0C5C">
        <w:t>ith a corresponding zoning of ML</w:t>
      </w:r>
      <w:r w:rsidR="0046270C" w:rsidRPr="003A0C5C">
        <w:t>-D</w:t>
      </w:r>
      <w:r w:rsidRPr="003A0C5C">
        <w:t xml:space="preserve"> (</w:t>
      </w:r>
      <w:r w:rsidR="0046270C" w:rsidRPr="003A0C5C">
        <w:t>Manufacturing, Light – with Site Plan and Design Overlay</w:t>
      </w:r>
      <w:r w:rsidRPr="003A0C5C">
        <w:t xml:space="preserve">) </w:t>
      </w:r>
      <w:r w:rsidR="00852967" w:rsidRPr="003A0C5C">
        <w:t>(City of Carson</w:t>
      </w:r>
      <w:r w:rsidRPr="003A0C5C">
        <w:t xml:space="preserve"> </w:t>
      </w:r>
      <w:r w:rsidR="00C62470" w:rsidRPr="003A0C5C">
        <w:t>2004</w:t>
      </w:r>
      <w:r w:rsidRPr="003A0C5C">
        <w:t xml:space="preserve">). No agricultural zoning is present in the </w:t>
      </w:r>
      <w:r w:rsidR="003028CD" w:rsidRPr="003A0C5C">
        <w:t>p</w:t>
      </w:r>
      <w:r w:rsidRPr="003A0C5C">
        <w:t xml:space="preserve">roject vicinity, and no nearby lands are enrolled under the Williamson Act (CDC 2016). </w:t>
      </w:r>
      <w:r w:rsidR="00734308" w:rsidRPr="003A0C5C">
        <w:t xml:space="preserve">The California Department of Conservation, Division of Conservation, Division of Land Resource Protection does not identify the project site as being protected by the Williamson Act (CDC 2017). </w:t>
      </w:r>
      <w:r w:rsidRPr="003A0C5C">
        <w:t xml:space="preserve">As such, the </w:t>
      </w:r>
      <w:r w:rsidR="00800E0F" w:rsidRPr="003A0C5C">
        <w:t xml:space="preserve">proposed </w:t>
      </w:r>
      <w:r w:rsidR="001460E0" w:rsidRPr="003A0C5C">
        <w:t>p</w:t>
      </w:r>
      <w:r w:rsidRPr="003A0C5C">
        <w:t xml:space="preserve">roject would not conflict with existing zoning for agricultural </w:t>
      </w:r>
      <w:r w:rsidR="009E6FAE" w:rsidRPr="003A0C5C">
        <w:t>uses,</w:t>
      </w:r>
      <w:r w:rsidRPr="003A0C5C">
        <w:t xml:space="preserve"> or a Williamson </w:t>
      </w:r>
      <w:r w:rsidR="00DA1F5D" w:rsidRPr="003A0C5C">
        <w:t xml:space="preserve">Act </w:t>
      </w:r>
      <w:r w:rsidRPr="003A0C5C">
        <w:t>contract</w:t>
      </w:r>
      <w:r w:rsidR="003028CD" w:rsidRPr="003A0C5C">
        <w:t xml:space="preserve"> and</w:t>
      </w:r>
      <w:r w:rsidR="00777CA1" w:rsidRPr="003A0C5C">
        <w:t xml:space="preserve"> no impact would occur.</w:t>
      </w:r>
    </w:p>
    <w:p w14:paraId="53401728" w14:textId="33972AC9" w:rsidR="004F426E" w:rsidRPr="003A0C5C" w:rsidRDefault="004F426E" w:rsidP="0046270C">
      <w:pPr>
        <w:pStyle w:val="12spaceindent"/>
      </w:pPr>
      <w:r w:rsidRPr="003A0C5C">
        <w:lastRenderedPageBreak/>
        <w:t>c</w:t>
      </w:r>
      <w:r w:rsidRPr="003A0C5C">
        <w:rPr>
          <w:szCs w:val="22"/>
        </w:rPr>
        <w:t>)</w:t>
      </w:r>
      <w:r w:rsidRPr="003A0C5C">
        <w:rPr>
          <w:szCs w:val="22"/>
        </w:rPr>
        <w:tab/>
      </w:r>
      <w:r w:rsidRPr="003A0C5C">
        <w:rPr>
          <w:rFonts w:cs="Times New Roman"/>
          <w:szCs w:val="22"/>
        </w:rPr>
        <w:t xml:space="preserve">As discussed previously, the project site is </w:t>
      </w:r>
      <w:r w:rsidR="0046270C" w:rsidRPr="003A0C5C">
        <w:rPr>
          <w:rFonts w:cs="Times New Roman"/>
          <w:szCs w:val="22"/>
        </w:rPr>
        <w:t xml:space="preserve">designated as Light Industrial on the City of Carson’s General Land Plan Land Use Map </w:t>
      </w:r>
      <w:r w:rsidRPr="003A0C5C">
        <w:rPr>
          <w:rFonts w:cs="Times New Roman"/>
          <w:szCs w:val="22"/>
        </w:rPr>
        <w:t xml:space="preserve">and is </w:t>
      </w:r>
      <w:r w:rsidR="0046270C" w:rsidRPr="003A0C5C">
        <w:rPr>
          <w:rFonts w:cs="Times New Roman"/>
          <w:szCs w:val="22"/>
        </w:rPr>
        <w:t>zoned ML-D (</w:t>
      </w:r>
      <w:r w:rsidR="0046270C" w:rsidRPr="003A0C5C">
        <w:t xml:space="preserve">Manufacturing, Light – with Site Plan and Design </w:t>
      </w:r>
      <w:r w:rsidR="00073749" w:rsidRPr="003A0C5C">
        <w:t xml:space="preserve">Review </w:t>
      </w:r>
      <w:r w:rsidR="0046270C" w:rsidRPr="003A0C5C">
        <w:t xml:space="preserve">Overlay) </w:t>
      </w:r>
      <w:r w:rsidR="00852967" w:rsidRPr="003A0C5C">
        <w:rPr>
          <w:rFonts w:cs="Times New Roman"/>
          <w:szCs w:val="22"/>
        </w:rPr>
        <w:t>(City of Carson</w:t>
      </w:r>
      <w:r w:rsidRPr="003A0C5C">
        <w:rPr>
          <w:rFonts w:cs="Times New Roman"/>
          <w:szCs w:val="22"/>
        </w:rPr>
        <w:t xml:space="preserve"> 2004). The project site</w:t>
      </w:r>
      <w:r w:rsidR="00523DC8" w:rsidRPr="003A0C5C">
        <w:rPr>
          <w:rFonts w:cs="Times New Roman"/>
          <w:szCs w:val="22"/>
        </w:rPr>
        <w:t xml:space="preserve"> </w:t>
      </w:r>
      <w:r w:rsidR="008C0AAC" w:rsidRPr="003A0C5C">
        <w:rPr>
          <w:rFonts w:cs="Times New Roman"/>
          <w:szCs w:val="22"/>
        </w:rPr>
        <w:t xml:space="preserve">includes two parcels </w:t>
      </w:r>
      <w:r w:rsidR="00523DC8" w:rsidRPr="003A0C5C">
        <w:rPr>
          <w:rFonts w:cs="Times New Roman"/>
          <w:szCs w:val="22"/>
        </w:rPr>
        <w:t>that are</w:t>
      </w:r>
      <w:r w:rsidR="008C0AAC" w:rsidRPr="003A0C5C">
        <w:rPr>
          <w:rFonts w:cs="Times New Roman"/>
          <w:szCs w:val="22"/>
        </w:rPr>
        <w:t xml:space="preserve"> currently vacant and undeveloped</w:t>
      </w:r>
      <w:r w:rsidR="001F7E24" w:rsidRPr="003A0C5C">
        <w:rPr>
          <w:rFonts w:cs="Times New Roman"/>
          <w:szCs w:val="22"/>
        </w:rPr>
        <w:t xml:space="preserve"> within an urbanized area</w:t>
      </w:r>
      <w:r w:rsidRPr="003A0C5C">
        <w:rPr>
          <w:rFonts w:cs="Times New Roman"/>
          <w:szCs w:val="22"/>
        </w:rPr>
        <w:t>.</w:t>
      </w:r>
      <w:r w:rsidR="00470C54" w:rsidRPr="003A0C5C">
        <w:rPr>
          <w:rFonts w:cs="Times New Roman"/>
          <w:szCs w:val="22"/>
        </w:rPr>
        <w:t xml:space="preserve"> </w:t>
      </w:r>
      <w:r w:rsidRPr="003A0C5C">
        <w:rPr>
          <w:rFonts w:cs="Times New Roman"/>
          <w:szCs w:val="22"/>
        </w:rPr>
        <w:t>No forestland or timberland uses are located in the project site</w:t>
      </w:r>
      <w:r w:rsidR="00D678AB" w:rsidRPr="003A0C5C">
        <w:rPr>
          <w:rFonts w:cs="Times New Roman"/>
          <w:szCs w:val="22"/>
        </w:rPr>
        <w:t>’</w:t>
      </w:r>
      <w:r w:rsidR="00662002" w:rsidRPr="003A0C5C">
        <w:rPr>
          <w:rFonts w:cs="Times New Roman"/>
          <w:szCs w:val="22"/>
        </w:rPr>
        <w:t xml:space="preserve">s urban </w:t>
      </w:r>
      <w:r w:rsidRPr="003A0C5C">
        <w:rPr>
          <w:rFonts w:cs="Times New Roman"/>
          <w:szCs w:val="22"/>
        </w:rPr>
        <w:t>setting</w:t>
      </w:r>
      <w:r w:rsidR="003028CD" w:rsidRPr="003A0C5C">
        <w:rPr>
          <w:rFonts w:cs="Times New Roman"/>
          <w:szCs w:val="22"/>
        </w:rPr>
        <w:t xml:space="preserve"> or vicinity</w:t>
      </w:r>
      <w:r w:rsidRPr="003A0C5C">
        <w:rPr>
          <w:rFonts w:cs="Times New Roman"/>
          <w:szCs w:val="22"/>
        </w:rPr>
        <w:t>.</w:t>
      </w:r>
      <w:r w:rsidR="00470C54" w:rsidRPr="003A0C5C">
        <w:rPr>
          <w:rFonts w:cs="Times New Roman"/>
          <w:szCs w:val="22"/>
        </w:rPr>
        <w:t xml:space="preserve"> </w:t>
      </w:r>
      <w:r w:rsidRPr="003A0C5C">
        <w:rPr>
          <w:rFonts w:cs="Times New Roman"/>
          <w:szCs w:val="22"/>
        </w:rPr>
        <w:t>Therefore, no impact would occur to zoning for forestland or timberland.</w:t>
      </w:r>
    </w:p>
    <w:p w14:paraId="5CC547E6" w14:textId="4C596F43" w:rsidR="004F426E" w:rsidRPr="003A0C5C" w:rsidRDefault="004F426E" w:rsidP="001F7E24">
      <w:pPr>
        <w:pStyle w:val="12spaceindent"/>
      </w:pPr>
      <w:r w:rsidRPr="003A0C5C">
        <w:t>d)</w:t>
      </w:r>
      <w:r w:rsidRPr="003A0C5C">
        <w:tab/>
      </w:r>
      <w:r w:rsidR="003028CD" w:rsidRPr="003A0C5C">
        <w:t xml:space="preserve">As discussed above, </w:t>
      </w:r>
      <w:r w:rsidR="000A6B28" w:rsidRPr="003A0C5C">
        <w:t>the</w:t>
      </w:r>
      <w:r w:rsidRPr="003A0C5C">
        <w:t xml:space="preserve"> project </w:t>
      </w:r>
      <w:r w:rsidR="003028CD" w:rsidRPr="003A0C5C">
        <w:t xml:space="preserve">site </w:t>
      </w:r>
      <w:r w:rsidRPr="003A0C5C">
        <w:t>is zoned for industrial uses</w:t>
      </w:r>
      <w:r w:rsidR="001F7E24" w:rsidRPr="003A0C5C">
        <w:t xml:space="preserve"> and the surrounding areas are zoned for residential and commercial uses</w:t>
      </w:r>
      <w:r w:rsidRPr="003A0C5C">
        <w:t xml:space="preserve">. No forestland or timberland uses are located at the project site or within the </w:t>
      </w:r>
      <w:r w:rsidR="003028CD" w:rsidRPr="003A0C5C">
        <w:t>vicinity</w:t>
      </w:r>
      <w:r w:rsidRPr="003A0C5C">
        <w:t>.</w:t>
      </w:r>
      <w:r w:rsidR="00470C54" w:rsidRPr="003A0C5C">
        <w:t xml:space="preserve"> </w:t>
      </w:r>
      <w:r w:rsidRPr="003A0C5C">
        <w:t>Therefore, no impact would occur to forestland or timberland.</w:t>
      </w:r>
    </w:p>
    <w:p w14:paraId="2E0A7EB9" w14:textId="118C83CB" w:rsidR="000A59A2" w:rsidRPr="003A0C5C" w:rsidRDefault="004F426E" w:rsidP="000A59A2">
      <w:pPr>
        <w:pStyle w:val="12spaceindent"/>
      </w:pPr>
      <w:r w:rsidRPr="003A0C5C">
        <w:t>e)</w:t>
      </w:r>
      <w:r w:rsidRPr="003A0C5C">
        <w:tab/>
        <w:t xml:space="preserve">As discussed above, the proposed project would not involve changes to the existing environment </w:t>
      </w:r>
      <w:r w:rsidR="00C532E4" w:rsidRPr="003A0C5C">
        <w:t xml:space="preserve">that </w:t>
      </w:r>
      <w:r w:rsidRPr="003A0C5C">
        <w:t xml:space="preserve">could result in the conversion of farmland or forestland and there are no farmland uses on or </w:t>
      </w:r>
      <w:r w:rsidR="00777CA1" w:rsidRPr="003A0C5C">
        <w:t>in the vicinity of</w:t>
      </w:r>
      <w:r w:rsidRPr="003A0C5C">
        <w:t xml:space="preserve"> the project site.</w:t>
      </w:r>
      <w:r w:rsidR="00470C54" w:rsidRPr="003A0C5C">
        <w:t xml:space="preserve"> </w:t>
      </w:r>
      <w:r w:rsidRPr="003A0C5C">
        <w:t>Therefore, no impact would occur from a conversion of farmland to a non-agricultural use.</w:t>
      </w:r>
    </w:p>
    <w:p w14:paraId="63AC4962" w14:textId="77777777" w:rsidR="000A59A2" w:rsidRPr="003A0C5C" w:rsidRDefault="000A59A2" w:rsidP="000A59A2">
      <w:pPr>
        <w:pStyle w:val="12spaceindent"/>
        <w:keepNext/>
        <w:spacing w:after="120"/>
        <w:ind w:left="0" w:firstLine="0"/>
        <w:rPr>
          <w:highlight w:val="yellow"/>
        </w:rPr>
      </w:pPr>
    </w:p>
    <w:p w14:paraId="71EFBA9F" w14:textId="04DA3886" w:rsidR="004F426E" w:rsidRPr="003A0C5C" w:rsidRDefault="004F426E" w:rsidP="003953EA">
      <w:pPr>
        <w:pStyle w:val="ImpactSectionEnd"/>
        <w:rPr>
          <w:highlight w:val="yellow"/>
        </w:rPr>
      </w:pPr>
    </w:p>
    <w:p w14:paraId="14D76A8A" w14:textId="77777777" w:rsidR="004F426E" w:rsidRPr="003A0C5C" w:rsidRDefault="004F426E" w:rsidP="003953EA">
      <w:pPr>
        <w:rPr>
          <w:highlight w:val="yellow"/>
        </w:rPr>
      </w:pPr>
      <w:r w:rsidRPr="003A0C5C">
        <w:rPr>
          <w:highlight w:val="yellow"/>
        </w:rPr>
        <w:br w:type="page"/>
      </w:r>
    </w:p>
    <w:p w14:paraId="271EDE84" w14:textId="01618350" w:rsidR="004F426E" w:rsidRPr="003A0C5C" w:rsidRDefault="008B0DDC" w:rsidP="008B0DDC">
      <w:pPr>
        <w:pStyle w:val="Heading4"/>
      </w:pPr>
      <w:bookmarkStart w:id="46" w:name="_Toc101791982"/>
      <w:r w:rsidRPr="003A0C5C">
        <w:lastRenderedPageBreak/>
        <w:t>III.</w:t>
      </w:r>
      <w:r w:rsidRPr="003A0C5C">
        <w:tab/>
      </w:r>
      <w:r w:rsidR="004F426E" w:rsidRPr="003A0C5C">
        <w:t>Air Quality</w:t>
      </w:r>
      <w:bookmarkEnd w:id="46"/>
    </w:p>
    <w:tbl>
      <w:tblPr>
        <w:tblW w:w="0" w:type="auto"/>
        <w:tblCellMar>
          <w:left w:w="86" w:type="dxa"/>
          <w:right w:w="86" w:type="dxa"/>
        </w:tblCellMar>
        <w:tblLook w:val="0000" w:firstRow="0" w:lastRow="0" w:firstColumn="0" w:lastColumn="0" w:noHBand="0" w:noVBand="0"/>
      </w:tblPr>
      <w:tblGrid>
        <w:gridCol w:w="5088"/>
        <w:gridCol w:w="888"/>
        <w:gridCol w:w="1152"/>
        <w:gridCol w:w="888"/>
        <w:gridCol w:w="624"/>
      </w:tblGrid>
      <w:tr w:rsidR="003A0C5C" w:rsidRPr="003A0C5C" w14:paraId="365576CF" w14:textId="77777777" w:rsidTr="005C0B7A">
        <w:trPr>
          <w:cantSplit/>
          <w:tblHeader/>
        </w:trPr>
        <w:tc>
          <w:tcPr>
            <w:tcW w:w="0" w:type="auto"/>
            <w:vAlign w:val="bottom"/>
          </w:tcPr>
          <w:p w14:paraId="612147C6" w14:textId="77777777" w:rsidR="005C0B7A" w:rsidRPr="003A0C5C" w:rsidRDefault="005C0B7A" w:rsidP="005C0B7A">
            <w:pPr>
              <w:keepNext/>
              <w:pBdr>
                <w:bottom w:val="single" w:sz="4" w:space="1" w:color="auto"/>
              </w:pBdr>
              <w:spacing w:before="60" w:after="60"/>
              <w:ind w:left="540" w:hanging="540"/>
              <w:rPr>
                <w:rFonts w:ascii="Arial" w:hAnsi="Arial" w:cs="Arial"/>
                <w:b/>
                <w:i/>
                <w:sz w:val="14"/>
                <w:szCs w:val="16"/>
              </w:rPr>
            </w:pPr>
            <w:r w:rsidRPr="003A0C5C">
              <w:rPr>
                <w:rFonts w:ascii="Arial" w:hAnsi="Arial" w:cs="Arial"/>
                <w:b/>
                <w:i/>
                <w:sz w:val="14"/>
                <w:szCs w:val="16"/>
              </w:rPr>
              <w:t>Issues (and Supporting Information Sources)</w:t>
            </w:r>
          </w:p>
        </w:tc>
        <w:tc>
          <w:tcPr>
            <w:tcW w:w="0" w:type="auto"/>
            <w:vAlign w:val="bottom"/>
          </w:tcPr>
          <w:p w14:paraId="54CB59C2" w14:textId="77777777" w:rsidR="005C0B7A" w:rsidRPr="003A0C5C" w:rsidRDefault="005C0B7A" w:rsidP="005C0B7A">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Potentially</w:t>
            </w:r>
            <w:r w:rsidRPr="003A0C5C">
              <w:rPr>
                <w:rFonts w:ascii="Arial" w:hAnsi="Arial" w:cs="Arial"/>
                <w:b/>
                <w:i/>
                <w:sz w:val="14"/>
                <w:szCs w:val="16"/>
              </w:rPr>
              <w:br/>
              <w:t>Significant</w:t>
            </w:r>
            <w:r w:rsidRPr="003A0C5C">
              <w:rPr>
                <w:rFonts w:ascii="Arial" w:hAnsi="Arial" w:cs="Arial"/>
                <w:b/>
                <w:i/>
                <w:sz w:val="14"/>
                <w:szCs w:val="16"/>
              </w:rPr>
              <w:br/>
              <w:t>Impact</w:t>
            </w:r>
          </w:p>
        </w:tc>
        <w:tc>
          <w:tcPr>
            <w:tcW w:w="0" w:type="auto"/>
            <w:vAlign w:val="bottom"/>
          </w:tcPr>
          <w:p w14:paraId="183F57B9" w14:textId="77777777" w:rsidR="005C0B7A" w:rsidRPr="003A0C5C" w:rsidRDefault="005C0B7A" w:rsidP="005C0B7A">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Less than</w:t>
            </w:r>
            <w:r w:rsidRPr="003A0C5C">
              <w:rPr>
                <w:rFonts w:ascii="Arial" w:hAnsi="Arial" w:cs="Arial"/>
                <w:b/>
                <w:i/>
                <w:sz w:val="14"/>
                <w:szCs w:val="16"/>
              </w:rPr>
              <w:br/>
              <w:t>Significant</w:t>
            </w:r>
            <w:r w:rsidRPr="003A0C5C">
              <w:rPr>
                <w:rFonts w:ascii="Arial" w:hAnsi="Arial" w:cs="Arial"/>
                <w:b/>
                <w:i/>
                <w:sz w:val="14"/>
                <w:szCs w:val="16"/>
              </w:rPr>
              <w:br/>
              <w:t>with Mitigation</w:t>
            </w:r>
            <w:r w:rsidRPr="003A0C5C">
              <w:rPr>
                <w:rFonts w:ascii="Arial" w:hAnsi="Arial" w:cs="Arial"/>
                <w:b/>
                <w:i/>
                <w:sz w:val="14"/>
                <w:szCs w:val="16"/>
              </w:rPr>
              <w:br/>
              <w:t>Incorporated</w:t>
            </w:r>
          </w:p>
        </w:tc>
        <w:tc>
          <w:tcPr>
            <w:tcW w:w="0" w:type="auto"/>
            <w:vAlign w:val="bottom"/>
          </w:tcPr>
          <w:p w14:paraId="51150B6E" w14:textId="77777777" w:rsidR="005C0B7A" w:rsidRPr="003A0C5C" w:rsidRDefault="005C0B7A" w:rsidP="005C0B7A">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Less-than-</w:t>
            </w:r>
            <w:r w:rsidRPr="003A0C5C">
              <w:rPr>
                <w:rFonts w:ascii="Arial" w:hAnsi="Arial" w:cs="Arial"/>
                <w:b/>
                <w:i/>
                <w:sz w:val="14"/>
                <w:szCs w:val="16"/>
              </w:rPr>
              <w:br/>
              <w:t>Significant</w:t>
            </w:r>
            <w:r w:rsidRPr="003A0C5C">
              <w:rPr>
                <w:rFonts w:ascii="Arial" w:hAnsi="Arial" w:cs="Arial"/>
                <w:b/>
                <w:i/>
                <w:sz w:val="14"/>
                <w:szCs w:val="16"/>
              </w:rPr>
              <w:br/>
              <w:t>Impact</w:t>
            </w:r>
          </w:p>
        </w:tc>
        <w:tc>
          <w:tcPr>
            <w:tcW w:w="0" w:type="auto"/>
            <w:vAlign w:val="bottom"/>
          </w:tcPr>
          <w:p w14:paraId="2F644FC8" w14:textId="77777777" w:rsidR="005C0B7A" w:rsidRPr="003A0C5C" w:rsidRDefault="005C0B7A" w:rsidP="005C0B7A">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No</w:t>
            </w:r>
            <w:r w:rsidRPr="003A0C5C">
              <w:rPr>
                <w:rFonts w:ascii="Arial" w:hAnsi="Arial" w:cs="Arial"/>
                <w:b/>
                <w:i/>
                <w:sz w:val="14"/>
                <w:szCs w:val="16"/>
              </w:rPr>
              <w:br/>
              <w:t>Impact</w:t>
            </w:r>
          </w:p>
        </w:tc>
      </w:tr>
      <w:tr w:rsidR="003A0C5C" w:rsidRPr="003A0C5C" w14:paraId="49610E05" w14:textId="77777777" w:rsidTr="005C0B7A">
        <w:trPr>
          <w:cantSplit/>
        </w:trPr>
        <w:tc>
          <w:tcPr>
            <w:tcW w:w="0" w:type="auto"/>
            <w:gridSpan w:val="5"/>
          </w:tcPr>
          <w:p w14:paraId="07BBC429" w14:textId="6BC455D7" w:rsidR="005C0B7A" w:rsidRPr="003A0C5C" w:rsidRDefault="005C0B7A" w:rsidP="005C0B7A">
            <w:pPr>
              <w:pStyle w:val="Tabletextnumber"/>
              <w:keepNext/>
              <w:ind w:left="504" w:hanging="504"/>
            </w:pPr>
            <w:r w:rsidRPr="003A0C5C">
              <w:rPr>
                <w:rStyle w:val="Bold"/>
              </w:rPr>
              <w:t>III.</w:t>
            </w:r>
            <w:r w:rsidRPr="003A0C5C">
              <w:rPr>
                <w:rStyle w:val="Bold"/>
              </w:rPr>
              <w:tab/>
              <w:t>AIR QUALITY</w:t>
            </w:r>
            <w:r w:rsidRPr="003A0C5C">
              <w:t>—</w:t>
            </w:r>
            <w:r w:rsidRPr="003A0C5C">
              <w:rPr>
                <w:rFonts w:cs="Arial"/>
                <w:szCs w:val="16"/>
              </w:rPr>
              <w:t>Where available, the significance criteria established by the applicable air quality management district or air pollution control district may be relied upon to make the following determinations.</w:t>
            </w:r>
            <w:r w:rsidRPr="003A0C5C">
              <w:br/>
              <w:t>Would the project:</w:t>
            </w:r>
          </w:p>
        </w:tc>
      </w:tr>
      <w:tr w:rsidR="003A0C5C" w:rsidRPr="003A0C5C" w14:paraId="657DF0EB" w14:textId="77777777" w:rsidTr="005C0B7A">
        <w:trPr>
          <w:cantSplit/>
        </w:trPr>
        <w:tc>
          <w:tcPr>
            <w:tcW w:w="0" w:type="auto"/>
          </w:tcPr>
          <w:p w14:paraId="2B63A757" w14:textId="71C5FDD1" w:rsidR="005C0B7A" w:rsidRPr="003A0C5C" w:rsidRDefault="005C0B7A" w:rsidP="005C0B7A">
            <w:pPr>
              <w:pStyle w:val="Tabletextnumber"/>
            </w:pPr>
            <w:r w:rsidRPr="003A0C5C">
              <w:rPr>
                <w:rFonts w:cs="Arial"/>
                <w:szCs w:val="16"/>
              </w:rPr>
              <w:t>a)</w:t>
            </w:r>
            <w:r w:rsidRPr="003A0C5C">
              <w:rPr>
                <w:rFonts w:cs="Arial"/>
                <w:szCs w:val="16"/>
              </w:rPr>
              <w:tab/>
              <w:t>Conflict with or obstruct implementation of the applicable air quality plan?</w:t>
            </w:r>
          </w:p>
        </w:tc>
        <w:tc>
          <w:tcPr>
            <w:tcW w:w="0" w:type="auto"/>
          </w:tcPr>
          <w:p w14:paraId="2917800F" w14:textId="67208A2C" w:rsidR="005C0B7A" w:rsidRPr="003A0C5C" w:rsidRDefault="002348BC" w:rsidP="005C0B7A">
            <w:pPr>
              <w:pStyle w:val="Checklist"/>
            </w:pPr>
            <w:sdt>
              <w:sdtPr>
                <w:id w:val="-1831750501"/>
                <w14:checkbox>
                  <w14:checked w14:val="0"/>
                  <w14:checkedState w14:val="2612" w14:font="MS Gothic"/>
                  <w14:uncheckedState w14:val="2610" w14:font="MS Gothic"/>
                </w14:checkbox>
              </w:sdtPr>
              <w:sdtEndPr/>
              <w:sdtContent>
                <w:r w:rsidR="00FF5E9B" w:rsidRPr="003A0C5C">
                  <w:rPr>
                    <w:rFonts w:hint="eastAsia"/>
                  </w:rPr>
                  <w:t>☐</w:t>
                </w:r>
              </w:sdtContent>
            </w:sdt>
          </w:p>
        </w:tc>
        <w:tc>
          <w:tcPr>
            <w:tcW w:w="0" w:type="auto"/>
          </w:tcPr>
          <w:p w14:paraId="059895EC" w14:textId="64143C50" w:rsidR="005C0B7A" w:rsidRPr="003A0C5C" w:rsidRDefault="002348BC" w:rsidP="005C0B7A">
            <w:pPr>
              <w:pStyle w:val="Checklist"/>
              <w:rPr>
                <w:sz w:val="20"/>
              </w:rPr>
            </w:pPr>
            <w:sdt>
              <w:sdtPr>
                <w:id w:val="87204559"/>
                <w14:checkbox>
                  <w14:checked w14:val="0"/>
                  <w14:checkedState w14:val="2612" w14:font="MS Gothic"/>
                  <w14:uncheckedState w14:val="2610" w14:font="MS Gothic"/>
                </w14:checkbox>
              </w:sdtPr>
              <w:sdtEndPr/>
              <w:sdtContent>
                <w:r w:rsidR="00FF5E9B" w:rsidRPr="003A0C5C">
                  <w:rPr>
                    <w:rFonts w:hint="eastAsia"/>
                  </w:rPr>
                  <w:t>☐</w:t>
                </w:r>
              </w:sdtContent>
            </w:sdt>
          </w:p>
        </w:tc>
        <w:tc>
          <w:tcPr>
            <w:tcW w:w="0" w:type="auto"/>
          </w:tcPr>
          <w:p w14:paraId="49BC2360" w14:textId="4857BFD8" w:rsidR="005C0B7A" w:rsidRPr="003A0C5C" w:rsidRDefault="002348BC" w:rsidP="005C0B7A">
            <w:pPr>
              <w:pStyle w:val="Checklist"/>
              <w:rPr>
                <w:sz w:val="20"/>
              </w:rPr>
            </w:pPr>
            <w:sdt>
              <w:sdtPr>
                <w:id w:val="1284765610"/>
                <w14:checkbox>
                  <w14:checked w14:val="1"/>
                  <w14:checkedState w14:val="2612" w14:font="MS Gothic"/>
                  <w14:uncheckedState w14:val="2610" w14:font="MS Gothic"/>
                </w14:checkbox>
              </w:sdtPr>
              <w:sdtEndPr/>
              <w:sdtContent>
                <w:r w:rsidR="005C0B7A" w:rsidRPr="003A0C5C">
                  <w:rPr>
                    <w:rFonts w:hint="eastAsia"/>
                  </w:rPr>
                  <w:t>☒</w:t>
                </w:r>
              </w:sdtContent>
            </w:sdt>
          </w:p>
        </w:tc>
        <w:tc>
          <w:tcPr>
            <w:tcW w:w="0" w:type="auto"/>
          </w:tcPr>
          <w:p w14:paraId="51A5ECE5" w14:textId="12EEF1C4" w:rsidR="005C0B7A" w:rsidRPr="003A0C5C" w:rsidRDefault="002348BC" w:rsidP="005C0B7A">
            <w:pPr>
              <w:pStyle w:val="Checklist"/>
              <w:rPr>
                <w:sz w:val="20"/>
              </w:rPr>
            </w:pPr>
            <w:sdt>
              <w:sdtPr>
                <w:id w:val="-1720427515"/>
                <w14:checkbox>
                  <w14:checked w14:val="0"/>
                  <w14:checkedState w14:val="2612" w14:font="MS Gothic"/>
                  <w14:uncheckedState w14:val="2610" w14:font="MS Gothic"/>
                </w14:checkbox>
              </w:sdtPr>
              <w:sdtEndPr/>
              <w:sdtContent>
                <w:r w:rsidR="005C0B7A" w:rsidRPr="003A0C5C">
                  <w:rPr>
                    <w:rFonts w:hint="eastAsia"/>
                  </w:rPr>
                  <w:t>☐</w:t>
                </w:r>
              </w:sdtContent>
            </w:sdt>
          </w:p>
        </w:tc>
      </w:tr>
      <w:tr w:rsidR="003A0C5C" w:rsidRPr="003A0C5C" w14:paraId="3EB02C6A" w14:textId="77777777" w:rsidTr="005C0B7A">
        <w:trPr>
          <w:cantSplit/>
        </w:trPr>
        <w:tc>
          <w:tcPr>
            <w:tcW w:w="0" w:type="auto"/>
          </w:tcPr>
          <w:p w14:paraId="2B905E82" w14:textId="7FEC0487" w:rsidR="005C0B7A" w:rsidRPr="003A0C5C" w:rsidRDefault="005C0B7A" w:rsidP="005C0B7A">
            <w:pPr>
              <w:pStyle w:val="Tabletextnumber"/>
            </w:pPr>
            <w:r w:rsidRPr="003A0C5C">
              <w:rPr>
                <w:rFonts w:cs="Arial"/>
                <w:szCs w:val="16"/>
              </w:rPr>
              <w:t>b)</w:t>
            </w:r>
            <w:r w:rsidRPr="003A0C5C">
              <w:rPr>
                <w:rFonts w:cs="Arial"/>
                <w:szCs w:val="16"/>
              </w:rPr>
              <w:tab/>
              <w:t xml:space="preserve">Result in a cumulatively considerable net increase of any criteria pollutant for which the project region is non-attainment under an applicable </w:t>
            </w:r>
            <w:r w:rsidR="00462CFB" w:rsidRPr="003A0C5C">
              <w:rPr>
                <w:rFonts w:cs="Arial"/>
                <w:szCs w:val="16"/>
              </w:rPr>
              <w:t>f</w:t>
            </w:r>
            <w:r w:rsidR="00E51793" w:rsidRPr="003A0C5C">
              <w:rPr>
                <w:rFonts w:cs="Arial"/>
                <w:szCs w:val="16"/>
              </w:rPr>
              <w:t>ederal</w:t>
            </w:r>
            <w:r w:rsidRPr="003A0C5C">
              <w:rPr>
                <w:rFonts w:cs="Arial"/>
                <w:szCs w:val="16"/>
              </w:rPr>
              <w:t xml:space="preserve"> or </w:t>
            </w:r>
            <w:r w:rsidR="00E51793" w:rsidRPr="003A0C5C">
              <w:rPr>
                <w:rFonts w:cs="Arial"/>
                <w:szCs w:val="16"/>
              </w:rPr>
              <w:t>State</w:t>
            </w:r>
            <w:r w:rsidRPr="003A0C5C">
              <w:rPr>
                <w:rFonts w:cs="Arial"/>
                <w:szCs w:val="16"/>
              </w:rPr>
              <w:t xml:space="preserve"> ambient air quality standard?</w:t>
            </w:r>
          </w:p>
        </w:tc>
        <w:tc>
          <w:tcPr>
            <w:tcW w:w="0" w:type="auto"/>
          </w:tcPr>
          <w:p w14:paraId="5C8673B9" w14:textId="77777777" w:rsidR="005C0B7A" w:rsidRPr="003A0C5C" w:rsidRDefault="002348BC" w:rsidP="005C0B7A">
            <w:pPr>
              <w:pStyle w:val="Checklist"/>
              <w:rPr>
                <w:sz w:val="20"/>
              </w:rPr>
            </w:pPr>
            <w:sdt>
              <w:sdtPr>
                <w:id w:val="-1880612441"/>
                <w14:checkbox>
                  <w14:checked w14:val="0"/>
                  <w14:checkedState w14:val="2612" w14:font="MS Gothic"/>
                  <w14:uncheckedState w14:val="2610" w14:font="MS Gothic"/>
                </w14:checkbox>
              </w:sdtPr>
              <w:sdtEndPr/>
              <w:sdtContent>
                <w:r w:rsidR="005C0B7A" w:rsidRPr="003A0C5C">
                  <w:t>☐</w:t>
                </w:r>
              </w:sdtContent>
            </w:sdt>
          </w:p>
        </w:tc>
        <w:tc>
          <w:tcPr>
            <w:tcW w:w="0" w:type="auto"/>
          </w:tcPr>
          <w:p w14:paraId="2D125986" w14:textId="18C9F313" w:rsidR="005C0B7A" w:rsidRPr="003A0C5C" w:rsidRDefault="002348BC" w:rsidP="005C0B7A">
            <w:pPr>
              <w:pStyle w:val="Checklist"/>
              <w:rPr>
                <w:sz w:val="20"/>
              </w:rPr>
            </w:pPr>
            <w:sdt>
              <w:sdtPr>
                <w:id w:val="1600676260"/>
                <w14:checkbox>
                  <w14:checked w14:val="0"/>
                  <w14:checkedState w14:val="2612" w14:font="MS Gothic"/>
                  <w14:uncheckedState w14:val="2610" w14:font="MS Gothic"/>
                </w14:checkbox>
              </w:sdtPr>
              <w:sdtEndPr/>
              <w:sdtContent>
                <w:r w:rsidR="00FF5E9B" w:rsidRPr="003A0C5C">
                  <w:rPr>
                    <w:rFonts w:hint="eastAsia"/>
                  </w:rPr>
                  <w:t>☐</w:t>
                </w:r>
              </w:sdtContent>
            </w:sdt>
          </w:p>
        </w:tc>
        <w:tc>
          <w:tcPr>
            <w:tcW w:w="0" w:type="auto"/>
          </w:tcPr>
          <w:p w14:paraId="340130F0" w14:textId="1F874BC8" w:rsidR="005C0B7A" w:rsidRPr="003A0C5C" w:rsidRDefault="002348BC" w:rsidP="005C0B7A">
            <w:pPr>
              <w:pStyle w:val="Checklist"/>
              <w:rPr>
                <w:sz w:val="20"/>
              </w:rPr>
            </w:pPr>
            <w:sdt>
              <w:sdtPr>
                <w:id w:val="863021945"/>
                <w14:checkbox>
                  <w14:checked w14:val="1"/>
                  <w14:checkedState w14:val="2612" w14:font="MS Gothic"/>
                  <w14:uncheckedState w14:val="2610" w14:font="MS Gothic"/>
                </w14:checkbox>
              </w:sdtPr>
              <w:sdtEndPr/>
              <w:sdtContent>
                <w:r w:rsidR="005C0B7A" w:rsidRPr="003A0C5C">
                  <w:rPr>
                    <w:rFonts w:hint="eastAsia"/>
                  </w:rPr>
                  <w:t>☒</w:t>
                </w:r>
              </w:sdtContent>
            </w:sdt>
          </w:p>
        </w:tc>
        <w:tc>
          <w:tcPr>
            <w:tcW w:w="0" w:type="auto"/>
          </w:tcPr>
          <w:p w14:paraId="2CBF3710" w14:textId="0464ED7B" w:rsidR="005C0B7A" w:rsidRPr="003A0C5C" w:rsidRDefault="002348BC" w:rsidP="005C0B7A">
            <w:pPr>
              <w:pStyle w:val="Checklist"/>
              <w:rPr>
                <w:sz w:val="20"/>
              </w:rPr>
            </w:pPr>
            <w:sdt>
              <w:sdtPr>
                <w:id w:val="-1444155482"/>
                <w14:checkbox>
                  <w14:checked w14:val="0"/>
                  <w14:checkedState w14:val="2612" w14:font="MS Gothic"/>
                  <w14:uncheckedState w14:val="2610" w14:font="MS Gothic"/>
                </w14:checkbox>
              </w:sdtPr>
              <w:sdtEndPr/>
              <w:sdtContent>
                <w:r w:rsidR="00FF5E9B" w:rsidRPr="003A0C5C">
                  <w:rPr>
                    <w:rFonts w:hint="eastAsia"/>
                  </w:rPr>
                  <w:t>☐</w:t>
                </w:r>
              </w:sdtContent>
            </w:sdt>
          </w:p>
        </w:tc>
      </w:tr>
      <w:tr w:rsidR="003A0C5C" w:rsidRPr="003A0C5C" w14:paraId="2E0FB514" w14:textId="77777777" w:rsidTr="005C0B7A">
        <w:trPr>
          <w:cantSplit/>
        </w:trPr>
        <w:tc>
          <w:tcPr>
            <w:tcW w:w="0" w:type="auto"/>
          </w:tcPr>
          <w:p w14:paraId="07A4C2EA" w14:textId="3477E46F" w:rsidR="005C0B7A" w:rsidRPr="003A0C5C" w:rsidRDefault="005C0B7A" w:rsidP="005C0B7A">
            <w:pPr>
              <w:pStyle w:val="Tabletextnumber"/>
            </w:pPr>
            <w:r w:rsidRPr="003A0C5C">
              <w:rPr>
                <w:rFonts w:cs="Arial"/>
                <w:szCs w:val="16"/>
              </w:rPr>
              <w:t>c)</w:t>
            </w:r>
            <w:r w:rsidRPr="003A0C5C">
              <w:rPr>
                <w:rFonts w:cs="Arial"/>
                <w:szCs w:val="16"/>
              </w:rPr>
              <w:tab/>
              <w:t>Expose sensitive receptors to substantial pollutant concentrations?</w:t>
            </w:r>
          </w:p>
        </w:tc>
        <w:tc>
          <w:tcPr>
            <w:tcW w:w="0" w:type="auto"/>
          </w:tcPr>
          <w:p w14:paraId="56D64DC5" w14:textId="77777777" w:rsidR="005C0B7A" w:rsidRPr="003A0C5C" w:rsidRDefault="002348BC" w:rsidP="005C0B7A">
            <w:pPr>
              <w:pStyle w:val="Checklist"/>
              <w:rPr>
                <w:sz w:val="20"/>
              </w:rPr>
            </w:pPr>
            <w:sdt>
              <w:sdtPr>
                <w:id w:val="395791457"/>
                <w14:checkbox>
                  <w14:checked w14:val="0"/>
                  <w14:checkedState w14:val="2612" w14:font="MS Gothic"/>
                  <w14:uncheckedState w14:val="2610" w14:font="MS Gothic"/>
                </w14:checkbox>
              </w:sdtPr>
              <w:sdtEndPr/>
              <w:sdtContent>
                <w:r w:rsidR="005C0B7A" w:rsidRPr="003A0C5C">
                  <w:t>☐</w:t>
                </w:r>
              </w:sdtContent>
            </w:sdt>
          </w:p>
        </w:tc>
        <w:tc>
          <w:tcPr>
            <w:tcW w:w="0" w:type="auto"/>
          </w:tcPr>
          <w:p w14:paraId="76725255" w14:textId="77777777" w:rsidR="005C0B7A" w:rsidRPr="003A0C5C" w:rsidRDefault="002348BC" w:rsidP="005C0B7A">
            <w:pPr>
              <w:pStyle w:val="Checklist"/>
              <w:rPr>
                <w:sz w:val="20"/>
              </w:rPr>
            </w:pPr>
            <w:sdt>
              <w:sdtPr>
                <w:id w:val="2076546605"/>
                <w14:checkbox>
                  <w14:checked w14:val="0"/>
                  <w14:checkedState w14:val="2612" w14:font="MS Gothic"/>
                  <w14:uncheckedState w14:val="2610" w14:font="MS Gothic"/>
                </w14:checkbox>
              </w:sdtPr>
              <w:sdtEndPr/>
              <w:sdtContent>
                <w:r w:rsidR="005C0B7A" w:rsidRPr="003A0C5C">
                  <w:t>☐</w:t>
                </w:r>
              </w:sdtContent>
            </w:sdt>
          </w:p>
        </w:tc>
        <w:tc>
          <w:tcPr>
            <w:tcW w:w="0" w:type="auto"/>
          </w:tcPr>
          <w:p w14:paraId="1ACD89EE" w14:textId="36A61778" w:rsidR="005C0B7A" w:rsidRPr="003A0C5C" w:rsidRDefault="002348BC" w:rsidP="005C0B7A">
            <w:pPr>
              <w:pStyle w:val="Checklist"/>
              <w:rPr>
                <w:sz w:val="20"/>
              </w:rPr>
            </w:pPr>
            <w:sdt>
              <w:sdtPr>
                <w:id w:val="-1534953309"/>
                <w14:checkbox>
                  <w14:checked w14:val="1"/>
                  <w14:checkedState w14:val="2612" w14:font="MS Gothic"/>
                  <w14:uncheckedState w14:val="2610" w14:font="MS Gothic"/>
                </w14:checkbox>
              </w:sdtPr>
              <w:sdtEndPr/>
              <w:sdtContent>
                <w:r w:rsidR="005C0B7A" w:rsidRPr="003A0C5C">
                  <w:rPr>
                    <w:rFonts w:hint="eastAsia"/>
                  </w:rPr>
                  <w:t>☒</w:t>
                </w:r>
              </w:sdtContent>
            </w:sdt>
          </w:p>
        </w:tc>
        <w:tc>
          <w:tcPr>
            <w:tcW w:w="0" w:type="auto"/>
          </w:tcPr>
          <w:p w14:paraId="5A313D76" w14:textId="303BD116" w:rsidR="005C0B7A" w:rsidRPr="003A0C5C" w:rsidRDefault="002348BC" w:rsidP="005C0B7A">
            <w:pPr>
              <w:pStyle w:val="Checklist"/>
              <w:rPr>
                <w:sz w:val="20"/>
              </w:rPr>
            </w:pPr>
            <w:sdt>
              <w:sdtPr>
                <w:id w:val="1662733208"/>
                <w14:checkbox>
                  <w14:checked w14:val="0"/>
                  <w14:checkedState w14:val="2612" w14:font="MS Gothic"/>
                  <w14:uncheckedState w14:val="2610" w14:font="MS Gothic"/>
                </w14:checkbox>
              </w:sdtPr>
              <w:sdtEndPr/>
              <w:sdtContent>
                <w:r w:rsidR="005C0B7A" w:rsidRPr="003A0C5C">
                  <w:rPr>
                    <w:rFonts w:hint="eastAsia"/>
                  </w:rPr>
                  <w:t>☐</w:t>
                </w:r>
              </w:sdtContent>
            </w:sdt>
          </w:p>
        </w:tc>
      </w:tr>
      <w:tr w:rsidR="005C0B7A" w:rsidRPr="003A0C5C" w14:paraId="1D6D39E0" w14:textId="77777777" w:rsidTr="005C0B7A">
        <w:trPr>
          <w:cantSplit/>
        </w:trPr>
        <w:tc>
          <w:tcPr>
            <w:tcW w:w="0" w:type="auto"/>
          </w:tcPr>
          <w:p w14:paraId="2BA2989C" w14:textId="27ACC12A" w:rsidR="005C0B7A" w:rsidRPr="003A0C5C" w:rsidRDefault="005C0B7A" w:rsidP="005C0B7A">
            <w:pPr>
              <w:pStyle w:val="Tabletextnumber"/>
            </w:pPr>
            <w:r w:rsidRPr="003A0C5C">
              <w:rPr>
                <w:rFonts w:cs="Arial"/>
                <w:szCs w:val="16"/>
              </w:rPr>
              <w:t>d)</w:t>
            </w:r>
            <w:r w:rsidRPr="003A0C5C">
              <w:rPr>
                <w:rFonts w:cs="Arial"/>
                <w:szCs w:val="16"/>
              </w:rPr>
              <w:tab/>
              <w:t>Result in other emissions (such as those leading to odors adversely affecting a substantial number of people?</w:t>
            </w:r>
          </w:p>
        </w:tc>
        <w:tc>
          <w:tcPr>
            <w:tcW w:w="0" w:type="auto"/>
          </w:tcPr>
          <w:p w14:paraId="17C55212" w14:textId="77777777" w:rsidR="005C0B7A" w:rsidRPr="003A0C5C" w:rsidRDefault="002348BC" w:rsidP="005C0B7A">
            <w:pPr>
              <w:pStyle w:val="Checklist"/>
              <w:rPr>
                <w:sz w:val="20"/>
              </w:rPr>
            </w:pPr>
            <w:sdt>
              <w:sdtPr>
                <w:id w:val="1428239902"/>
                <w14:checkbox>
                  <w14:checked w14:val="0"/>
                  <w14:checkedState w14:val="2612" w14:font="MS Gothic"/>
                  <w14:uncheckedState w14:val="2610" w14:font="MS Gothic"/>
                </w14:checkbox>
              </w:sdtPr>
              <w:sdtEndPr/>
              <w:sdtContent>
                <w:r w:rsidR="005C0B7A" w:rsidRPr="003A0C5C">
                  <w:t>☐</w:t>
                </w:r>
              </w:sdtContent>
            </w:sdt>
          </w:p>
        </w:tc>
        <w:tc>
          <w:tcPr>
            <w:tcW w:w="0" w:type="auto"/>
          </w:tcPr>
          <w:p w14:paraId="07EA3543" w14:textId="77777777" w:rsidR="005C0B7A" w:rsidRPr="003A0C5C" w:rsidRDefault="002348BC" w:rsidP="005C0B7A">
            <w:pPr>
              <w:pStyle w:val="Checklist"/>
              <w:rPr>
                <w:sz w:val="20"/>
              </w:rPr>
            </w:pPr>
            <w:sdt>
              <w:sdtPr>
                <w:id w:val="2134903475"/>
                <w14:checkbox>
                  <w14:checked w14:val="0"/>
                  <w14:checkedState w14:val="2612" w14:font="MS Gothic"/>
                  <w14:uncheckedState w14:val="2610" w14:font="MS Gothic"/>
                </w14:checkbox>
              </w:sdtPr>
              <w:sdtEndPr/>
              <w:sdtContent>
                <w:r w:rsidR="005C0B7A" w:rsidRPr="003A0C5C">
                  <w:t>☐</w:t>
                </w:r>
              </w:sdtContent>
            </w:sdt>
          </w:p>
        </w:tc>
        <w:tc>
          <w:tcPr>
            <w:tcW w:w="0" w:type="auto"/>
          </w:tcPr>
          <w:p w14:paraId="3F0A1213" w14:textId="55C6C377" w:rsidR="005C0B7A" w:rsidRPr="003A0C5C" w:rsidRDefault="002348BC" w:rsidP="005C0B7A">
            <w:pPr>
              <w:pStyle w:val="Checklist"/>
              <w:rPr>
                <w:sz w:val="20"/>
              </w:rPr>
            </w:pPr>
            <w:sdt>
              <w:sdtPr>
                <w:id w:val="-1285337803"/>
                <w14:checkbox>
                  <w14:checked w14:val="1"/>
                  <w14:checkedState w14:val="2612" w14:font="MS Gothic"/>
                  <w14:uncheckedState w14:val="2610" w14:font="MS Gothic"/>
                </w14:checkbox>
              </w:sdtPr>
              <w:sdtEndPr/>
              <w:sdtContent>
                <w:r w:rsidR="005C0B7A" w:rsidRPr="003A0C5C">
                  <w:rPr>
                    <w:rFonts w:hint="eastAsia"/>
                  </w:rPr>
                  <w:t>☒</w:t>
                </w:r>
              </w:sdtContent>
            </w:sdt>
          </w:p>
        </w:tc>
        <w:tc>
          <w:tcPr>
            <w:tcW w:w="0" w:type="auto"/>
          </w:tcPr>
          <w:p w14:paraId="0064285D" w14:textId="661138D3" w:rsidR="005C0B7A" w:rsidRPr="003A0C5C" w:rsidRDefault="002348BC" w:rsidP="005C0B7A">
            <w:pPr>
              <w:pStyle w:val="Checklist"/>
              <w:rPr>
                <w:sz w:val="20"/>
              </w:rPr>
            </w:pPr>
            <w:sdt>
              <w:sdtPr>
                <w:id w:val="932710961"/>
                <w14:checkbox>
                  <w14:checked w14:val="0"/>
                  <w14:checkedState w14:val="2612" w14:font="MS Gothic"/>
                  <w14:uncheckedState w14:val="2610" w14:font="MS Gothic"/>
                </w14:checkbox>
              </w:sdtPr>
              <w:sdtEndPr/>
              <w:sdtContent>
                <w:r w:rsidR="00FF5E9B" w:rsidRPr="003A0C5C">
                  <w:rPr>
                    <w:rFonts w:hint="eastAsia"/>
                  </w:rPr>
                  <w:t>☐</w:t>
                </w:r>
              </w:sdtContent>
            </w:sdt>
          </w:p>
        </w:tc>
      </w:tr>
    </w:tbl>
    <w:p w14:paraId="504E8FF1" w14:textId="77777777" w:rsidR="00957C8B" w:rsidRPr="003A0C5C" w:rsidRDefault="00957C8B" w:rsidP="00957C8B">
      <w:pPr>
        <w:pStyle w:val="TableNotes"/>
      </w:pPr>
    </w:p>
    <w:p w14:paraId="70F4F015" w14:textId="77777777" w:rsidR="00957C8B" w:rsidRPr="003A0C5C" w:rsidRDefault="00957C8B" w:rsidP="00957C8B">
      <w:pPr>
        <w:pStyle w:val="Heading5"/>
      </w:pPr>
      <w:r w:rsidRPr="003A0C5C">
        <w:t>Discussion</w:t>
      </w:r>
    </w:p>
    <w:p w14:paraId="15768177" w14:textId="77777777" w:rsidR="00FF5E9B" w:rsidRPr="003A0C5C" w:rsidRDefault="00FF5E9B" w:rsidP="00FF5E9B">
      <w:pPr>
        <w:pStyle w:val="12spaceindent"/>
        <w:keepNext/>
        <w:spacing w:after="120"/>
      </w:pPr>
      <w:r w:rsidRPr="003A0C5C">
        <w:t>a)</w:t>
      </w:r>
      <w:r w:rsidRPr="003A0C5C">
        <w:tab/>
      </w:r>
      <w:r w:rsidRPr="003A0C5C">
        <w:rPr>
          <w:rStyle w:val="Heading6Char"/>
        </w:rPr>
        <w:t>Regulatory Background</w:t>
      </w:r>
    </w:p>
    <w:p w14:paraId="7E517729" w14:textId="2255E71C" w:rsidR="00FF5E9B" w:rsidRPr="003A0C5C" w:rsidRDefault="00FF5E9B" w:rsidP="0020432B">
      <w:pPr>
        <w:pStyle w:val="12spaceindentcontinue"/>
      </w:pPr>
      <w:r w:rsidRPr="003A0C5C">
        <w:t xml:space="preserve">The proposed project is located within the 6,745-square-mile South Coast Air Basin (Basin). Air quality planning for the Basin is under the jurisdiction of the South Coast Air Quality Management District (SCAQMD). SCAQMD is the agency principally responsible for comprehensive air pollution control in the Basin. The Basin is subject to the SCAQMD’s Air Quality Management Plan (AQMP), </w:t>
      </w:r>
      <w:r w:rsidR="003F3477" w:rsidRPr="003A0C5C">
        <w:t xml:space="preserve">which was created to meet the to meet the California Ambient Air Quality Standards (CAAQS) and National Ambient Air Quality Standards (NAAQS) for criteria air pollutants. The AQMP </w:t>
      </w:r>
      <w:r w:rsidRPr="003A0C5C">
        <w:t xml:space="preserve">contains a comprehensive list of pollution control strategies directed at reducing emissions from stationary sources and on-road and off-road mobile </w:t>
      </w:r>
      <w:r w:rsidR="005F352E" w:rsidRPr="003A0C5C">
        <w:t>sources and</w:t>
      </w:r>
      <w:r w:rsidRPr="003A0C5C">
        <w:t xml:space="preserve"> achieving ambient air quality standards. These strategies are developed, in part, based on regional population, housing, and employment projections prepared by the Southern California Association of Governments (SCAG). As part of its air quality planning, SCAG has prepared the Regional Comprehensive Plan (RCP) and Guide and the Regional Transportation Program/Sustainable Communities Strategy (RTP/SCS), these plans provide the basis for the land use and transportation components of the AQMP and are used in the preparation of the air quality forecasts and the consistency analysis included in the AQMP.</w:t>
      </w:r>
      <w:r w:rsidR="00A24DD3" w:rsidRPr="003A0C5C">
        <w:rPr>
          <w:rStyle w:val="FootnoteReference"/>
        </w:rPr>
        <w:footnoteReference w:id="2"/>
      </w:r>
      <w:r w:rsidRPr="003A0C5C">
        <w:t xml:space="preserve"> Both the RCP and AQMP are based, in part, on projections originating with </w:t>
      </w:r>
      <w:r w:rsidR="009F59C9" w:rsidRPr="003A0C5C">
        <w:t xml:space="preserve">County of Los Angeles </w:t>
      </w:r>
      <w:r w:rsidRPr="003A0C5C">
        <w:t xml:space="preserve">and </w:t>
      </w:r>
      <w:r w:rsidR="001C20F9" w:rsidRPr="003A0C5C">
        <w:t>City</w:t>
      </w:r>
      <w:r w:rsidRPr="003A0C5C">
        <w:t xml:space="preserve"> </w:t>
      </w:r>
      <w:r w:rsidR="009F59C9" w:rsidRPr="003A0C5C">
        <w:t xml:space="preserve">of Carson </w:t>
      </w:r>
      <w:r w:rsidRPr="003A0C5C">
        <w:t>general plans. The proposed project would be subject to the SCAQMD’s AQMP.</w:t>
      </w:r>
    </w:p>
    <w:p w14:paraId="1655644C" w14:textId="5F245727" w:rsidR="00FF5E9B" w:rsidRPr="003A0C5C" w:rsidRDefault="00FF5E9B" w:rsidP="0020432B">
      <w:pPr>
        <w:pStyle w:val="12spaceindentcontinue"/>
        <w:rPr>
          <w:lang w:eastAsia="ko-KR"/>
        </w:rPr>
      </w:pPr>
      <w:r w:rsidRPr="003A0C5C">
        <w:t xml:space="preserve">The </w:t>
      </w:r>
      <w:r w:rsidRPr="003A0C5C">
        <w:rPr>
          <w:lang w:eastAsia="ko-KR"/>
        </w:rPr>
        <w:t>SCAQMD’s</w:t>
      </w:r>
      <w:r w:rsidRPr="003A0C5C">
        <w:t xml:space="preserve"> 2016 AQMP was prepared to accommodate growth, reduce the high levels of pollutants within the areas under the jurisdiction of SCAQMD, return clean air to the region, and minimize the impact on the economy (SCAQMD 2016). </w:t>
      </w:r>
      <w:r w:rsidRPr="003A0C5C">
        <w:rPr>
          <w:lang w:eastAsia="ko-KR"/>
        </w:rPr>
        <w:t xml:space="preserve">The SCAQMD is required, pursuant to the Clean Air Act, to reduce emissions of criteria pollutants for which </w:t>
      </w:r>
      <w:r w:rsidRPr="003A0C5C">
        <w:rPr>
          <w:lang w:eastAsia="ko-KR"/>
        </w:rPr>
        <w:lastRenderedPageBreak/>
        <w:t>the Basin is in non-attainment for the NAAQS (e.g., ozone [</w:t>
      </w:r>
      <w:r w:rsidRPr="003A0C5C">
        <w:t>O</w:t>
      </w:r>
      <w:r w:rsidRPr="003A0C5C">
        <w:rPr>
          <w:vertAlign w:val="subscript"/>
        </w:rPr>
        <w:t>3</w:t>
      </w:r>
      <w:r w:rsidRPr="003A0C5C">
        <w:rPr>
          <w:lang w:eastAsia="ko-KR"/>
        </w:rPr>
        <w:t xml:space="preserve">], and </w:t>
      </w:r>
      <w:r w:rsidRPr="003A0C5C">
        <w:t>particulate matter 2.5 microns in diameter or less</w:t>
      </w:r>
      <w:r w:rsidRPr="003A0C5C">
        <w:rPr>
          <w:lang w:eastAsia="ko-KR"/>
        </w:rPr>
        <w:t xml:space="preserve"> [PM2.5]). Projects that are consistent with the assumptions used in the AQMP do not interfere with attainment because the associated growth with the projects are included in the projections utilized in the formulation of the AQMP. </w:t>
      </w:r>
      <w:r w:rsidR="00455F70" w:rsidRPr="003A0C5C">
        <w:rPr>
          <w:lang w:eastAsia="ko-KR"/>
        </w:rPr>
        <w:t xml:space="preserve">Projects that are consistent with the projections of employment and population forecasts identified in the RTP/SCS are considered consistent with the AQMP growth projections, since the RTP/SCS forms the basis of the land use and transportation control portions of the AQMP. </w:t>
      </w:r>
      <w:r w:rsidRPr="003A0C5C">
        <w:rPr>
          <w:lang w:eastAsia="ko-KR"/>
        </w:rPr>
        <w:t xml:space="preserve">The SCAQMD’s 2016 AQMP contains a comprehensive list of pollution control strategies directed at reducing emissions and achieving the NAAQS and includes transportation control strategies designed to reduce vehicle miles traveled (VMT). SCAQMD’s 2016 AQMP control strategies were developed, in part, based on regional growth projections prepared by SCAG through 2040. </w:t>
      </w:r>
      <w:r w:rsidR="00AE27E0" w:rsidRPr="003A0C5C">
        <w:t xml:space="preserve">When determining consistency with AQMP growth assumptions, the projections in the AQMP for achieving air quality goals are based on assumptions in SCAG’s 2016-2040 RTP/SCS regarding population, housing, and growth trends. Determining whether or not a project exceeds the assumptions reflected in the AQMP involves the evaluation of consistency with applicable population, housing, and employment growth projections and appropriate incorporation of AQMP control measures. </w:t>
      </w:r>
      <w:r w:rsidRPr="003A0C5C">
        <w:rPr>
          <w:lang w:eastAsia="ko-KR"/>
        </w:rPr>
        <w:t xml:space="preserve">While SCAG’s Regional Council adopted the 2020–2045 RTP/SCS on September 3, 2020, SCAQMD’s 2016 AQMP is based on growth projections and control strategies from the 2016–2040 RTP/SCS. </w:t>
      </w:r>
      <w:r w:rsidR="00344725" w:rsidRPr="003A0C5C">
        <w:t>The SCAQMD is currently working on a 2022 AQMP, which will base its analyses on the 2020</w:t>
      </w:r>
      <w:r w:rsidR="00B170B1" w:rsidRPr="003A0C5C">
        <w:rPr>
          <w:lang w:eastAsia="ko-KR"/>
        </w:rPr>
        <w:t xml:space="preserve">–2045 </w:t>
      </w:r>
      <w:r w:rsidR="00344725" w:rsidRPr="003A0C5C">
        <w:t>RTP/SCS</w:t>
      </w:r>
      <w:r w:rsidR="00517D74" w:rsidRPr="003A0C5C">
        <w:t>. However</w:t>
      </w:r>
      <w:r w:rsidR="00C146C0" w:rsidRPr="003A0C5C">
        <w:t xml:space="preserve">, </w:t>
      </w:r>
      <w:r w:rsidR="00517D74" w:rsidRPr="003A0C5C">
        <w:t>until the 2022 AQMP is adopted</w:t>
      </w:r>
      <w:r w:rsidR="007E23E7" w:rsidRPr="003A0C5C">
        <w:t>,</w:t>
      </w:r>
      <w:r w:rsidRPr="003A0C5C">
        <w:rPr>
          <w:lang w:eastAsia="ko-KR"/>
        </w:rPr>
        <w:t xml:space="preserve"> consistency with the 2016–2040 SCAG RTP/SCS </w:t>
      </w:r>
      <w:r w:rsidR="00A2541D" w:rsidRPr="003A0C5C">
        <w:rPr>
          <w:lang w:eastAsia="ko-KR"/>
        </w:rPr>
        <w:t xml:space="preserve">is appropriate </w:t>
      </w:r>
      <w:r w:rsidRPr="003A0C5C">
        <w:rPr>
          <w:lang w:eastAsia="ko-KR"/>
        </w:rPr>
        <w:t>when discussing a project’s consistency with the SCAQMD’s 2016 AQMP.</w:t>
      </w:r>
      <w:r w:rsidR="00F237C4" w:rsidRPr="003A0C5C">
        <w:t xml:space="preserve"> </w:t>
      </w:r>
    </w:p>
    <w:p w14:paraId="64F56996" w14:textId="63F9942C" w:rsidR="00FF5E9B" w:rsidRPr="003A0C5C" w:rsidRDefault="00FF5E9B" w:rsidP="0020432B">
      <w:pPr>
        <w:pStyle w:val="12spaceindentcontinue"/>
        <w:keepNext/>
        <w:spacing w:after="180"/>
      </w:pPr>
      <w:r w:rsidRPr="003A0C5C">
        <w:t xml:space="preserve">The </w:t>
      </w:r>
      <w:r w:rsidR="001F340F" w:rsidRPr="003A0C5C">
        <w:t xml:space="preserve">proposed </w:t>
      </w:r>
      <w:r w:rsidRPr="003A0C5C">
        <w:t xml:space="preserve">project’s consistency with applicable air quality plans is provided below. There are no applicable numerical thresholds of significance for this consistency analysis. In accordance with the SCAQMD’s CEQA Air Quality Handbook, the following criteria were used to evaluate the </w:t>
      </w:r>
      <w:r w:rsidR="001F340F" w:rsidRPr="003A0C5C">
        <w:t xml:space="preserve">proposed </w:t>
      </w:r>
      <w:r w:rsidRPr="003A0C5C">
        <w:t>project’s consistency with the SCAQMD’s 2016 AQMP:</w:t>
      </w:r>
    </w:p>
    <w:p w14:paraId="35E07F40" w14:textId="77777777" w:rsidR="00FF5E9B" w:rsidRPr="003A0C5C" w:rsidRDefault="00FF5E9B" w:rsidP="0020432B">
      <w:pPr>
        <w:pStyle w:val="ListBullet"/>
        <w:keepNext/>
        <w:spacing w:after="120"/>
        <w:ind w:left="1080"/>
      </w:pPr>
      <w:r w:rsidRPr="003A0C5C">
        <w:t>Criterion 1: Will the project result in any of the following:</w:t>
      </w:r>
    </w:p>
    <w:p w14:paraId="007E9957" w14:textId="77777777" w:rsidR="00FF5E9B" w:rsidRPr="003A0C5C" w:rsidRDefault="00FF5E9B" w:rsidP="0020432B">
      <w:pPr>
        <w:pStyle w:val="ListBullet2"/>
        <w:spacing w:after="120"/>
        <w:ind w:left="1440"/>
      </w:pPr>
      <w:r w:rsidRPr="003A0C5C">
        <w:t>An increase in the frequency or severity of existing air quality violations; or</w:t>
      </w:r>
    </w:p>
    <w:p w14:paraId="13CD3EFA" w14:textId="77777777" w:rsidR="00FF5E9B" w:rsidRPr="003A0C5C" w:rsidRDefault="00FF5E9B" w:rsidP="0020432B">
      <w:pPr>
        <w:pStyle w:val="ListBullet2"/>
        <w:spacing w:after="120"/>
        <w:ind w:left="1440"/>
      </w:pPr>
      <w:r w:rsidRPr="003A0C5C">
        <w:t>Cause or contribute to new air quality violations; or</w:t>
      </w:r>
    </w:p>
    <w:p w14:paraId="43F5C248" w14:textId="77777777" w:rsidR="00FF5E9B" w:rsidRPr="003A0C5C" w:rsidRDefault="00FF5E9B" w:rsidP="0020432B">
      <w:pPr>
        <w:pStyle w:val="ListBullet2"/>
        <w:spacing w:after="120"/>
        <w:ind w:left="1440"/>
      </w:pPr>
      <w:r w:rsidRPr="003A0C5C">
        <w:t>Delay timely attainment of air quality standards or the interim emission reductions specified in the AQMP.</w:t>
      </w:r>
    </w:p>
    <w:p w14:paraId="462B11BF" w14:textId="77777777" w:rsidR="00FF5E9B" w:rsidRPr="003A0C5C" w:rsidRDefault="00FF5E9B" w:rsidP="0020432B">
      <w:pPr>
        <w:pStyle w:val="ListBullet"/>
        <w:ind w:left="1080"/>
      </w:pPr>
      <w:r w:rsidRPr="003A0C5C">
        <w:t>Criterion 2: Will the project exceed the assumptions utilized in preparing the AQMP?</w:t>
      </w:r>
    </w:p>
    <w:p w14:paraId="7D54966A" w14:textId="6BB48492" w:rsidR="00FF5E9B" w:rsidRPr="003A0C5C" w:rsidRDefault="00FF5E9B" w:rsidP="0020432B">
      <w:pPr>
        <w:pStyle w:val="12spaceindentcontinue"/>
        <w:rPr>
          <w:rFonts w:cs="Times New Roman"/>
          <w:lang w:eastAsia="ko-KR"/>
        </w:rPr>
      </w:pPr>
      <w:r w:rsidRPr="003A0C5C">
        <w:t xml:space="preserve">The </w:t>
      </w:r>
      <w:r w:rsidR="006006E4" w:rsidRPr="003A0C5C">
        <w:t xml:space="preserve">proposed </w:t>
      </w:r>
      <w:r w:rsidRPr="003A0C5C">
        <w:t>project’s potential impacts with respect to these criteria are discussed to assess the consistency with the SCAQMD’s 2016 AQMP.</w:t>
      </w:r>
    </w:p>
    <w:p w14:paraId="311B4C08" w14:textId="77777777" w:rsidR="00FF5E9B" w:rsidRPr="003A0C5C" w:rsidRDefault="00FF5E9B" w:rsidP="00FF5E9B">
      <w:pPr>
        <w:pStyle w:val="Heading6"/>
        <w:ind w:left="720"/>
      </w:pPr>
      <w:r w:rsidRPr="003A0C5C">
        <w:t>Criterion 1</w:t>
      </w:r>
    </w:p>
    <w:p w14:paraId="7F409B8E" w14:textId="548FE7A6" w:rsidR="00FF5E9B" w:rsidRPr="003A0C5C" w:rsidRDefault="00FF5E9B" w:rsidP="00DD5380">
      <w:pPr>
        <w:pStyle w:val="12spaceindentcontinue"/>
      </w:pPr>
      <w:r w:rsidRPr="003A0C5C">
        <w:t xml:space="preserve">Consistent with the first criterion, the </w:t>
      </w:r>
      <w:r w:rsidR="006006E4" w:rsidRPr="003A0C5C">
        <w:t xml:space="preserve">proposed project </w:t>
      </w:r>
      <w:r w:rsidRPr="003A0C5C">
        <w:t xml:space="preserve">would not conflict with the ability of </w:t>
      </w:r>
      <w:r w:rsidR="00462CFB" w:rsidRPr="003A0C5C">
        <w:t>federal</w:t>
      </w:r>
      <w:r w:rsidRPr="003A0C5C">
        <w:t xml:space="preserve">, State, and local agencies to implement fair-share emissions strategies or achieve compliance with criteria pollutant standards or other federal requirements. Specifically, the </w:t>
      </w:r>
      <w:r w:rsidR="006006E4" w:rsidRPr="003A0C5C">
        <w:lastRenderedPageBreak/>
        <w:t xml:space="preserve">proposed project’s </w:t>
      </w:r>
      <w:r w:rsidRPr="003A0C5C">
        <w:t>volatile organic compound (VOC), nitrogen oxides (NO</w:t>
      </w:r>
      <w:r w:rsidRPr="003A0C5C">
        <w:rPr>
          <w:vertAlign w:val="subscript"/>
        </w:rPr>
        <w:t>X</w:t>
      </w:r>
      <w:r w:rsidRPr="003A0C5C">
        <w:t>), carbon monoxide (CO), sulfur dioxide (SO</w:t>
      </w:r>
      <w:r w:rsidRPr="003A0C5C">
        <w:rPr>
          <w:vertAlign w:val="subscript"/>
        </w:rPr>
        <w:t>2</w:t>
      </w:r>
      <w:r w:rsidRPr="003A0C5C">
        <w:t xml:space="preserve">), respirable particulate matter (10 microns or smaller in diameter, PM10), and fine particulate matter (2.5 microns or smaller in diameter, PM2.5) emissions resulting from construction and operation were analyzed to ascertain any potential effects on </w:t>
      </w:r>
      <w:r w:rsidR="00B444E9" w:rsidRPr="003A0C5C">
        <w:t xml:space="preserve">regional </w:t>
      </w:r>
      <w:r w:rsidR="007871C4" w:rsidRPr="003A0C5C">
        <w:t xml:space="preserve">and </w:t>
      </w:r>
      <w:r w:rsidRPr="003A0C5C">
        <w:t xml:space="preserve">localized concentrations and determine the potential for such emissions to cause or contribute to a violation of the ambient air quality standards. As discussed under response to </w:t>
      </w:r>
      <w:r w:rsidR="000273B8" w:rsidRPr="003A0C5C">
        <w:t>Section</w:t>
      </w:r>
      <w:r w:rsidRPr="003A0C5C">
        <w:t xml:space="preserve"> III</w:t>
      </w:r>
      <w:r w:rsidR="000273B8" w:rsidRPr="003A0C5C">
        <w:t xml:space="preserve"> (</w:t>
      </w:r>
      <w:r w:rsidRPr="003A0C5C">
        <w:t>b</w:t>
      </w:r>
      <w:r w:rsidR="000273B8" w:rsidRPr="003A0C5C">
        <w:t>)</w:t>
      </w:r>
      <w:r w:rsidRPr="003A0C5C">
        <w:t xml:space="preserve"> and response to </w:t>
      </w:r>
      <w:r w:rsidR="000273B8" w:rsidRPr="003A0C5C">
        <w:t>Section</w:t>
      </w:r>
      <w:r w:rsidRPr="003A0C5C">
        <w:t xml:space="preserve"> III</w:t>
      </w:r>
      <w:r w:rsidR="000273B8" w:rsidRPr="003A0C5C">
        <w:t xml:space="preserve"> (</w:t>
      </w:r>
      <w:r w:rsidRPr="003A0C5C">
        <w:t>c</w:t>
      </w:r>
      <w:r w:rsidR="000273B8" w:rsidRPr="003A0C5C">
        <w:t>)</w:t>
      </w:r>
      <w:r w:rsidRPr="003A0C5C">
        <w:t xml:space="preserve">, the </w:t>
      </w:r>
      <w:r w:rsidR="006006E4" w:rsidRPr="003A0C5C">
        <w:t xml:space="preserve">proposed project’s </w:t>
      </w:r>
      <w:r w:rsidRPr="003A0C5C">
        <w:t>construction and operational emissions would not exceed the SCAQMD’s regional mass emissions thresholds for VOC, NO</w:t>
      </w:r>
      <w:r w:rsidRPr="003A0C5C">
        <w:rPr>
          <w:vertAlign w:val="subscript"/>
        </w:rPr>
        <w:t>X</w:t>
      </w:r>
      <w:r w:rsidRPr="003A0C5C">
        <w:t>, CO, SO2, PM10 or PM2.5 or the localized significance thresholds (LSTs) for NO</w:t>
      </w:r>
      <w:r w:rsidRPr="003A0C5C">
        <w:rPr>
          <w:vertAlign w:val="subscript"/>
        </w:rPr>
        <w:t>X</w:t>
      </w:r>
      <w:r w:rsidRPr="003A0C5C">
        <w:t xml:space="preserve">, CO, PM10 or PM2.5, or generate roadway traffic congestion at an intersection that would result in a CO hotspot in excess of the ambient air quality standards as a result of </w:t>
      </w:r>
      <w:r w:rsidR="001F340F" w:rsidRPr="003A0C5C">
        <w:t xml:space="preserve">project </w:t>
      </w:r>
      <w:r w:rsidRPr="003A0C5C">
        <w:t xml:space="preserve">motor vehicle operations. The </w:t>
      </w:r>
      <w:r w:rsidR="006006E4" w:rsidRPr="003A0C5C">
        <w:t xml:space="preserve">proposed project’s </w:t>
      </w:r>
      <w:r w:rsidRPr="003A0C5C">
        <w:t xml:space="preserve">emissions would therefore not increase concentrations of criteria pollutants or their precursors in a manner that would conflict with or obstruct SCAQMD’s efforts to achieve attainment of ambient air quality standards for any criteria pollutant for which it is currently not in </w:t>
      </w:r>
      <w:r w:rsidR="005F352E" w:rsidRPr="003A0C5C">
        <w:t>attainment or</w:t>
      </w:r>
      <w:r w:rsidRPr="003A0C5C">
        <w:t xml:space="preserve"> jeopardize the current attainment status of the Basin for other criteria pollutants. Therefore, in response to Criterion 1, the </w:t>
      </w:r>
      <w:r w:rsidR="006006E4" w:rsidRPr="003A0C5C">
        <w:t xml:space="preserve">proposed project </w:t>
      </w:r>
      <w:r w:rsidRPr="003A0C5C">
        <w:t>would not result in an increase in the frequency or severity of existing air quality violations, cause or contribute to new air quality violations, or delay timely attainment of air quality standards or the interim emissions reductions specified in the AQMP.</w:t>
      </w:r>
    </w:p>
    <w:p w14:paraId="4D46413B" w14:textId="77777777" w:rsidR="00FF5E9B" w:rsidRPr="003A0C5C" w:rsidRDefault="00FF5E9B" w:rsidP="00FF5E9B">
      <w:pPr>
        <w:pStyle w:val="Heading6"/>
        <w:ind w:left="720"/>
        <w:rPr>
          <w:bCs/>
        </w:rPr>
      </w:pPr>
      <w:r w:rsidRPr="003A0C5C">
        <w:rPr>
          <w:bCs/>
        </w:rPr>
        <w:t>Criterion 2</w:t>
      </w:r>
    </w:p>
    <w:p w14:paraId="1B415B76" w14:textId="3F63230F" w:rsidR="00FF5E9B" w:rsidRPr="003A0C5C" w:rsidRDefault="00FF5E9B" w:rsidP="0020432B">
      <w:pPr>
        <w:pStyle w:val="12spaceindentcontinue"/>
      </w:pPr>
      <w:r w:rsidRPr="003A0C5C">
        <w:t>With respect to the second criterion for determining consistency with AQMP growth assumptions, the projections in the AQMP for achieving air quality goals are based on assumptions in SCAG’s 2016</w:t>
      </w:r>
      <w:r w:rsidRPr="003A0C5C">
        <w:rPr>
          <w:lang w:eastAsia="ko-KR"/>
        </w:rPr>
        <w:t>–</w:t>
      </w:r>
      <w:r w:rsidRPr="003A0C5C">
        <w:t>2040 RTP/SCS regarding population, housing, and growth trends. Determining whether or not a project exceeds the assumptions reflected in the AQMP involves the evaluation of consistency with applicable population, housing, and employment growth projections and appropriate incorporation of AQMP control measures. The following discussion provides an analysis with respect to these criteria.</w:t>
      </w:r>
    </w:p>
    <w:p w14:paraId="355E8E57" w14:textId="77777777" w:rsidR="00FF5E9B" w:rsidRPr="003A0C5C" w:rsidRDefault="00FF5E9B" w:rsidP="00FF5E9B">
      <w:pPr>
        <w:pStyle w:val="Heading7"/>
        <w:ind w:left="720"/>
      </w:pPr>
      <w:r w:rsidRPr="003A0C5C">
        <w:t>Air Quality Management Plan Consistency</w:t>
      </w:r>
    </w:p>
    <w:p w14:paraId="07877C98" w14:textId="2FB6BA46" w:rsidR="00FF5E9B" w:rsidRPr="003A0C5C" w:rsidRDefault="00FF5E9B" w:rsidP="0020432B">
      <w:pPr>
        <w:pStyle w:val="12spaceindentcontinue"/>
      </w:pPr>
      <w:r w:rsidRPr="003A0C5C">
        <w:t xml:space="preserve">The </w:t>
      </w:r>
      <w:r w:rsidR="00B46129" w:rsidRPr="003A0C5C">
        <w:t xml:space="preserve">proposed </w:t>
      </w:r>
      <w:r w:rsidRPr="003A0C5C">
        <w:t xml:space="preserve">project would not obstruct implementation of the 2016 AQMP for, as discussed below, its construction and operational emissions would be less than significant. The </w:t>
      </w:r>
      <w:r w:rsidR="00B46129" w:rsidRPr="003A0C5C">
        <w:t xml:space="preserve">proposed </w:t>
      </w:r>
      <w:r w:rsidRPr="003A0C5C">
        <w:t xml:space="preserve">project would comply with applicable required fleet rules and control strategies to reduce on-road truck emissions (i.e., 13 </w:t>
      </w:r>
      <w:r w:rsidR="00E653B4" w:rsidRPr="003A0C5C">
        <w:rPr>
          <w:rFonts w:cs="Times New Roman"/>
          <w:szCs w:val="22"/>
          <w:lang w:val="en"/>
        </w:rPr>
        <w:t>California Code of Regulations</w:t>
      </w:r>
      <w:r w:rsidRPr="003A0C5C">
        <w:t xml:space="preserve">, </w:t>
      </w:r>
      <w:r w:rsidR="00356D58" w:rsidRPr="003A0C5C">
        <w:t>Section </w:t>
      </w:r>
      <w:r w:rsidRPr="003A0C5C">
        <w:t>2025</w:t>
      </w:r>
      <w:r w:rsidRPr="003A0C5C">
        <w:rPr>
          <w:lang w:val="en"/>
        </w:rPr>
        <w:t xml:space="preserve"> [</w:t>
      </w:r>
      <w:r w:rsidRPr="003A0C5C">
        <w:t xml:space="preserve">CARB Truck and Bus regulation]), and other applicable SCAQMD rules specified and incorporated in the 2016 AQMP. As discussed above, projects, uses, and activities that are consistent with the applicable growth projections and control strategies used in the development of the AQMP would not jeopardize attainment of the air quality levels identified in the AQMP. As discussed below, compliance with the applicable required fleet rules and control strategies and requirements would render it consistent with, and meet or exceed, the AQMP requirements for control strategies intended to reduce emissions from construction equipment and activities. Thus, the </w:t>
      </w:r>
      <w:r w:rsidR="00B46129" w:rsidRPr="003A0C5C">
        <w:t xml:space="preserve">proposed </w:t>
      </w:r>
      <w:r w:rsidRPr="003A0C5C">
        <w:t xml:space="preserve">project’s criteria pollutant emissions would not cause the Basin’s criteria pollutant emissions to worsen so as to impede the SCAQMD’s efforts to achieve attainment with respect to any criteria </w:t>
      </w:r>
      <w:r w:rsidRPr="003A0C5C">
        <w:lastRenderedPageBreak/>
        <w:t>pollutant for which it is currently not in attainment of the NAAQS and CAAQS (e.g., ozone, PM10, and PM2.5),</w:t>
      </w:r>
      <w:r w:rsidRPr="003A0C5C">
        <w:rPr>
          <w:rStyle w:val="FootnoteReference"/>
        </w:rPr>
        <w:footnoteReference w:id="3"/>
      </w:r>
      <w:r w:rsidRPr="003A0C5C">
        <w:t xml:space="preserve"> or to cause the Basin to deteriorate from its current attainment status with respect to any other criteria pollutant emissions.</w:t>
      </w:r>
    </w:p>
    <w:p w14:paraId="73C396A7" w14:textId="3F6CC6A8" w:rsidR="00FF5E9B" w:rsidRPr="003A0C5C" w:rsidRDefault="00FF5E9B" w:rsidP="0020432B">
      <w:pPr>
        <w:pStyle w:val="12spaceindentcontinue"/>
      </w:pPr>
      <w:r w:rsidRPr="003A0C5C">
        <w:t xml:space="preserve">As further discussed below, the </w:t>
      </w:r>
      <w:r w:rsidR="00B46129" w:rsidRPr="003A0C5C">
        <w:t xml:space="preserve">proposed </w:t>
      </w:r>
      <w:r w:rsidRPr="003A0C5C">
        <w:t>project is also consistent with the 2016 AQMP. The</w:t>
      </w:r>
      <w:r w:rsidR="00B46129" w:rsidRPr="003A0C5C">
        <w:t xml:space="preserve"> proposed</w:t>
      </w:r>
      <w:r w:rsidRPr="003A0C5C">
        <w:t xml:space="preserve"> project incorporates into its design appropriate control strategies set forth in the 2016 AQMP for achieving its emission reduction </w:t>
      </w:r>
      <w:r w:rsidR="005F352E" w:rsidRPr="003A0C5C">
        <w:t>goals and</w:t>
      </w:r>
      <w:r w:rsidRPr="003A0C5C">
        <w:t xml:space="preserve"> would be consistent with the demographic and economic assumptions upon which the plan is based.</w:t>
      </w:r>
    </w:p>
    <w:p w14:paraId="317770CA" w14:textId="77777777" w:rsidR="00FF5E9B" w:rsidRPr="003A0C5C" w:rsidRDefault="00FF5E9B" w:rsidP="00FF5E9B">
      <w:pPr>
        <w:pStyle w:val="Heading7"/>
        <w:ind w:left="720"/>
      </w:pPr>
      <w:bookmarkStart w:id="47" w:name="_Toc23778547"/>
      <w:bookmarkStart w:id="48" w:name="_Toc30787590"/>
      <w:r w:rsidRPr="003A0C5C">
        <w:t>Construction</w:t>
      </w:r>
      <w:bookmarkEnd w:id="47"/>
      <w:bookmarkEnd w:id="48"/>
    </w:p>
    <w:p w14:paraId="4E2ED36B" w14:textId="77777777" w:rsidR="00FF5E9B" w:rsidRPr="003A0C5C" w:rsidRDefault="00FF5E9B" w:rsidP="00FF5E9B">
      <w:pPr>
        <w:pStyle w:val="Heading8"/>
        <w:ind w:left="720"/>
        <w:rPr>
          <w:rStyle w:val="SubtleEmphasis"/>
          <w:color w:val="auto"/>
        </w:rPr>
      </w:pPr>
      <w:r w:rsidRPr="003A0C5C">
        <w:rPr>
          <w:rStyle w:val="SubtleEmphasis"/>
          <w:color w:val="auto"/>
        </w:rPr>
        <w:t>Control Strategies</w:t>
      </w:r>
    </w:p>
    <w:p w14:paraId="75718822" w14:textId="6A39670C" w:rsidR="00FF5E9B" w:rsidRPr="003A0C5C" w:rsidRDefault="00FF5E9B" w:rsidP="0020432B">
      <w:pPr>
        <w:pStyle w:val="12spaceindentcontinue"/>
      </w:pPr>
      <w:r w:rsidRPr="003A0C5C">
        <w:t xml:space="preserve">During its construction phase, the </w:t>
      </w:r>
      <w:r w:rsidR="001F340F" w:rsidRPr="003A0C5C">
        <w:t xml:space="preserve">proposed </w:t>
      </w:r>
      <w:r w:rsidRPr="003A0C5C">
        <w:t xml:space="preserve">project would ensure compliance with CARB’s requirements to minimize short-term emissions from on-road and off-road diesel equipment, and with SCAQMD’s regulations such as </w:t>
      </w:r>
      <w:r w:rsidR="00B550A0" w:rsidRPr="003A0C5C">
        <w:t xml:space="preserve">SCAQMD </w:t>
      </w:r>
      <w:r w:rsidRPr="003A0C5C">
        <w:t xml:space="preserve">Rule 403 for controlling fugitive dust and </w:t>
      </w:r>
      <w:r w:rsidR="00B550A0" w:rsidRPr="003A0C5C">
        <w:t xml:space="preserve">SCAQMD </w:t>
      </w:r>
      <w:r w:rsidRPr="003A0C5C">
        <w:t>Rule 1113 for controlling VOC emissions from architectural coatings. Compliance with these regulatory measures and requirements would be consistent with and meet or exceed the AQMP requirements for control strategies intended to reduce emissions from construction equipment and activities.</w:t>
      </w:r>
    </w:p>
    <w:p w14:paraId="1F807F82" w14:textId="77777777" w:rsidR="00FF5E9B" w:rsidRPr="003A0C5C" w:rsidRDefault="00FF5E9B" w:rsidP="00FF5E9B">
      <w:pPr>
        <w:pStyle w:val="Heading8"/>
        <w:ind w:left="720"/>
        <w:rPr>
          <w:rStyle w:val="SubtleEmphasis"/>
          <w:color w:val="auto"/>
        </w:rPr>
      </w:pPr>
      <w:r w:rsidRPr="003A0C5C">
        <w:rPr>
          <w:rStyle w:val="SubtleEmphasis"/>
          <w:color w:val="auto"/>
        </w:rPr>
        <w:t>Growth Projections</w:t>
      </w:r>
    </w:p>
    <w:p w14:paraId="1FA85B25" w14:textId="6DF85C59" w:rsidR="00FF5E9B" w:rsidRPr="003A0C5C" w:rsidRDefault="00FF5E9B" w:rsidP="0020432B">
      <w:pPr>
        <w:pStyle w:val="12spaceindentcontinue"/>
      </w:pPr>
      <w:r w:rsidRPr="003A0C5C">
        <w:t xml:space="preserve">The </w:t>
      </w:r>
      <w:r w:rsidR="001F340F" w:rsidRPr="003A0C5C">
        <w:t xml:space="preserve">proposed </w:t>
      </w:r>
      <w:r w:rsidRPr="003A0C5C">
        <w:t xml:space="preserve">project would generate short-term construction jobs, but these jobs would not necessarily bring new construction workers or their families into the region, since construction workers are typically drawn from an existing regional pool who travel among construction sites within the region. Construction workers are not typically brought from other regions to work on developments such as the </w:t>
      </w:r>
      <w:r w:rsidR="001F340F" w:rsidRPr="003A0C5C">
        <w:t xml:space="preserve">proposed </w:t>
      </w:r>
      <w:r w:rsidRPr="003A0C5C">
        <w:t xml:space="preserve">project. Moreover, these jobs would be relatively small in number and temporary in nature. Therefore, the </w:t>
      </w:r>
      <w:r w:rsidR="001F340F" w:rsidRPr="003A0C5C">
        <w:t xml:space="preserve">proposed </w:t>
      </w:r>
      <w:r w:rsidRPr="003A0C5C">
        <w:t>project’s construction jobs would not conflict with the long-term employment or population projections upon which the 2016 AQMP is based.</w:t>
      </w:r>
    </w:p>
    <w:p w14:paraId="18BD67C5" w14:textId="77777777" w:rsidR="00FF5E9B" w:rsidRPr="003A0C5C" w:rsidRDefault="00FF5E9B" w:rsidP="00FF5E9B">
      <w:pPr>
        <w:pStyle w:val="Heading7"/>
        <w:ind w:left="720"/>
      </w:pPr>
      <w:bookmarkStart w:id="49" w:name="_Toc23778548"/>
      <w:bookmarkStart w:id="50" w:name="_Toc30787591"/>
      <w:r w:rsidRPr="003A0C5C">
        <w:t>Operations</w:t>
      </w:r>
      <w:bookmarkEnd w:id="49"/>
      <w:bookmarkEnd w:id="50"/>
    </w:p>
    <w:p w14:paraId="3542B56D" w14:textId="77777777" w:rsidR="00FF5E9B" w:rsidRPr="003A0C5C" w:rsidRDefault="00FF5E9B" w:rsidP="00FF5E9B">
      <w:pPr>
        <w:pStyle w:val="Heading8"/>
        <w:ind w:left="720"/>
        <w:rPr>
          <w:rStyle w:val="SubtleEmphasis"/>
          <w:color w:val="auto"/>
        </w:rPr>
      </w:pPr>
      <w:r w:rsidRPr="003A0C5C">
        <w:rPr>
          <w:rStyle w:val="SubtleEmphasis"/>
          <w:color w:val="auto"/>
        </w:rPr>
        <w:t>Control Strategies and Policy Consistency</w:t>
      </w:r>
    </w:p>
    <w:p w14:paraId="5B36EDAA" w14:textId="113EB11E" w:rsidR="00FF5E9B" w:rsidRPr="003A0C5C" w:rsidRDefault="00FF5E9B" w:rsidP="0020432B">
      <w:pPr>
        <w:pStyle w:val="12spaceindentcontinue"/>
      </w:pPr>
      <w:r w:rsidRPr="003A0C5C">
        <w:t xml:space="preserve">The 2016 AQMP was prepared to accommodate growth, reduce the levels of pollutants within the areas under the jurisdiction </w:t>
      </w:r>
      <w:r w:rsidRPr="003A0C5C">
        <w:rPr>
          <w:rFonts w:cs="Times New Roman"/>
        </w:rPr>
        <w:t>of</w:t>
      </w:r>
      <w:r w:rsidRPr="003A0C5C">
        <w:t xml:space="preserve"> SCAQMD, return clean air to the region, and minimize the impact on the economy. Projects that are considered consistent with the AQMP would not interfere with attainment because this growth is included in the projections used in the formulation of the AQMP.</w:t>
      </w:r>
      <w:r w:rsidR="00AE27E0" w:rsidRPr="003A0C5C">
        <w:t xml:space="preserve"> As mentioned above, for determining consistency with AQMP growth assumptions, the projections in the AQMP for achieving air quality goals are based on assumptions in SCAG’s 2016-2040 RTP/SCS regarding population, housing, and employment growth trends. </w:t>
      </w:r>
    </w:p>
    <w:p w14:paraId="65486F24" w14:textId="0D542D18" w:rsidR="00FF5E9B" w:rsidRPr="003A0C5C" w:rsidRDefault="00FF5E9B" w:rsidP="0020432B">
      <w:pPr>
        <w:pStyle w:val="12spaceindentcontinue"/>
        <w:rPr>
          <w:lang w:eastAsia="ko-KR"/>
        </w:rPr>
      </w:pPr>
      <w:r w:rsidRPr="003A0C5C">
        <w:lastRenderedPageBreak/>
        <w:t>The project site is zoned Ma</w:t>
      </w:r>
      <w:r w:rsidRPr="003A0C5C">
        <w:rPr>
          <w:rFonts w:cs="Times"/>
        </w:rPr>
        <w:t>nufacturing, Light – with Site Plan and Design Review Overl</w:t>
      </w:r>
      <w:r w:rsidR="00A30987" w:rsidRPr="003A0C5C">
        <w:rPr>
          <w:rFonts w:cs="Times"/>
        </w:rPr>
        <w:t>a</w:t>
      </w:r>
      <w:r w:rsidRPr="003A0C5C">
        <w:rPr>
          <w:rFonts w:cs="Times"/>
        </w:rPr>
        <w:t xml:space="preserve">y with a General Plan </w:t>
      </w:r>
      <w:r w:rsidR="00B16F7A" w:rsidRPr="003A0C5C">
        <w:rPr>
          <w:rFonts w:cs="Times"/>
        </w:rPr>
        <w:t xml:space="preserve">land use </w:t>
      </w:r>
      <w:r w:rsidRPr="003A0C5C">
        <w:rPr>
          <w:rFonts w:cs="Times"/>
        </w:rPr>
        <w:t xml:space="preserve">designation of Light Industrial. </w:t>
      </w:r>
      <w:r w:rsidRPr="003A0C5C">
        <w:rPr>
          <w:lang w:eastAsia="ko-KR"/>
        </w:rPr>
        <w:t xml:space="preserve">The proposed project includes three two-story self-storage buildings with a total of approximately </w:t>
      </w:r>
      <w:r w:rsidRPr="003A0C5C">
        <w:t>113,714 square feet. The proposed project includes a 2,425</w:t>
      </w:r>
      <w:r w:rsidR="00C21EF0" w:rsidRPr="003A0C5C">
        <w:t>-</w:t>
      </w:r>
      <w:r w:rsidRPr="003A0C5C">
        <w:t>square</w:t>
      </w:r>
      <w:r w:rsidR="00C21EF0" w:rsidRPr="003A0C5C">
        <w:t>-</w:t>
      </w:r>
      <w:r w:rsidRPr="003A0C5C">
        <w:t>foot lobby/office area, 1,550 square feet to be used as a caf</w:t>
      </w:r>
      <w:r w:rsidR="006555E9" w:rsidRPr="003A0C5C">
        <w:t>e</w:t>
      </w:r>
      <w:r w:rsidRPr="003A0C5C">
        <w:t xml:space="preserve"> area, and a 700</w:t>
      </w:r>
      <w:r w:rsidR="00C21EF0" w:rsidRPr="003A0C5C">
        <w:t>-</w:t>
      </w:r>
      <w:r w:rsidRPr="003A0C5C">
        <w:t>square</w:t>
      </w:r>
      <w:r w:rsidR="00C21EF0" w:rsidRPr="003A0C5C">
        <w:t>-</w:t>
      </w:r>
      <w:r w:rsidRPr="003A0C5C">
        <w:t>foot space for a mail service store (</w:t>
      </w:r>
      <w:r w:rsidR="005F352E" w:rsidRPr="003A0C5C">
        <w:t>i.e.,</w:t>
      </w:r>
      <w:r w:rsidRPr="003A0C5C">
        <w:t xml:space="preserve"> </w:t>
      </w:r>
      <w:r w:rsidR="0077580A" w:rsidRPr="003A0C5C">
        <w:t>UPS or FedEx</w:t>
      </w:r>
      <w:r w:rsidRPr="003A0C5C">
        <w:t xml:space="preserve">). The buildings </w:t>
      </w:r>
      <w:r w:rsidR="00D67C7E" w:rsidRPr="003A0C5C">
        <w:t xml:space="preserve">would </w:t>
      </w:r>
      <w:r w:rsidRPr="003A0C5C">
        <w:t xml:space="preserve">house interior climate‐controlled units and external non‐climate units with ramp access to the second floors of the internal buildings. The project site is in a neighborhood characterized by a mix of residential and commercial uses with single-family residences located </w:t>
      </w:r>
      <w:r w:rsidR="00FB7F45" w:rsidRPr="003A0C5C">
        <w:t>to</w:t>
      </w:r>
      <w:r w:rsidRPr="003A0C5C">
        <w:t xml:space="preserve"> the north</w:t>
      </w:r>
      <w:r w:rsidR="00FB7F45" w:rsidRPr="003A0C5C">
        <w:t xml:space="preserve"> of the project site</w:t>
      </w:r>
      <w:r w:rsidRPr="003A0C5C">
        <w:t xml:space="preserve">. </w:t>
      </w:r>
      <w:r w:rsidR="00A30987" w:rsidRPr="003A0C5C">
        <w:t>An a</w:t>
      </w:r>
      <w:r w:rsidRPr="003A0C5C">
        <w:t>uto repair facilit</w:t>
      </w:r>
      <w:r w:rsidR="00A30987" w:rsidRPr="003A0C5C">
        <w:t>y</w:t>
      </w:r>
      <w:r w:rsidRPr="003A0C5C">
        <w:t xml:space="preserve"> and </w:t>
      </w:r>
      <w:r w:rsidR="00A30987" w:rsidRPr="003A0C5C">
        <w:t xml:space="preserve">a </w:t>
      </w:r>
      <w:r w:rsidRPr="003A0C5C">
        <w:t>truck dealer are located on the east and south across East Carson Street and South Perry Street. The Perry Mini-Park and single-family homes are located to the northeast of the project site. Additional single-family housing is located southeast of the project site across East Carson Street.</w:t>
      </w:r>
      <w:r w:rsidRPr="003A0C5C">
        <w:rPr>
          <w:rFonts w:cs="Times"/>
        </w:rPr>
        <w:t xml:space="preserve"> </w:t>
      </w:r>
    </w:p>
    <w:p w14:paraId="26DCB6DC" w14:textId="77777777" w:rsidR="00FF5E9B" w:rsidRPr="003A0C5C" w:rsidRDefault="00FF5E9B" w:rsidP="00FF5E9B">
      <w:pPr>
        <w:pStyle w:val="Heading8"/>
        <w:ind w:left="720"/>
        <w:rPr>
          <w:rStyle w:val="SubtleEmphasis"/>
          <w:color w:val="auto"/>
        </w:rPr>
      </w:pPr>
      <w:r w:rsidRPr="003A0C5C">
        <w:rPr>
          <w:rStyle w:val="SubtleEmphasis"/>
          <w:color w:val="auto"/>
        </w:rPr>
        <w:t>Growth Projections</w:t>
      </w:r>
    </w:p>
    <w:p w14:paraId="7C5FD648" w14:textId="3DED0AA6" w:rsidR="00FF5E9B" w:rsidRPr="003A0C5C" w:rsidRDefault="00FF5E9B" w:rsidP="0020432B">
      <w:pPr>
        <w:pStyle w:val="12spaceindentcontinue"/>
        <w:rPr>
          <w:lang w:eastAsia="ko-KR"/>
        </w:rPr>
      </w:pPr>
      <w:r w:rsidRPr="003A0C5C">
        <w:rPr>
          <w:lang w:eastAsia="ko-KR"/>
        </w:rPr>
        <w:t xml:space="preserve">The </w:t>
      </w:r>
      <w:r w:rsidR="00A32433" w:rsidRPr="003A0C5C">
        <w:rPr>
          <w:lang w:eastAsia="ko-KR"/>
        </w:rPr>
        <w:t xml:space="preserve">proposed project </w:t>
      </w:r>
      <w:r w:rsidRPr="003A0C5C">
        <w:rPr>
          <w:lang w:eastAsia="ko-KR"/>
        </w:rPr>
        <w:t xml:space="preserve">would generate approximately </w:t>
      </w:r>
      <w:r w:rsidR="00BB18B7" w:rsidRPr="003A0C5C">
        <w:rPr>
          <w:lang w:eastAsia="ko-KR"/>
        </w:rPr>
        <w:t xml:space="preserve">five </w:t>
      </w:r>
      <w:r w:rsidR="00136024" w:rsidRPr="003A0C5C">
        <w:rPr>
          <w:lang w:eastAsia="ko-KR"/>
        </w:rPr>
        <w:t xml:space="preserve">or </w:t>
      </w:r>
      <w:r w:rsidR="00BB18B7" w:rsidRPr="003A0C5C">
        <w:rPr>
          <w:lang w:eastAsia="ko-KR"/>
        </w:rPr>
        <w:t xml:space="preserve">six </w:t>
      </w:r>
      <w:r w:rsidRPr="003A0C5C">
        <w:rPr>
          <w:lang w:eastAsia="ko-KR"/>
        </w:rPr>
        <w:t xml:space="preserve">new employees, including </w:t>
      </w:r>
      <w:r w:rsidR="00136024" w:rsidRPr="003A0C5C">
        <w:rPr>
          <w:lang w:eastAsia="ko-KR"/>
        </w:rPr>
        <w:t xml:space="preserve">two </w:t>
      </w:r>
      <w:r w:rsidR="00BB18B7" w:rsidRPr="003A0C5C">
        <w:rPr>
          <w:lang w:eastAsia="ko-KR"/>
        </w:rPr>
        <w:t>self-</w:t>
      </w:r>
      <w:r w:rsidRPr="003A0C5C">
        <w:rPr>
          <w:lang w:eastAsia="ko-KR"/>
        </w:rPr>
        <w:t xml:space="preserve">storage managers, </w:t>
      </w:r>
      <w:r w:rsidR="00136024" w:rsidRPr="003A0C5C">
        <w:rPr>
          <w:lang w:eastAsia="ko-KR"/>
        </w:rPr>
        <w:t xml:space="preserve">two </w:t>
      </w:r>
      <w:r w:rsidRPr="003A0C5C">
        <w:rPr>
          <w:lang w:eastAsia="ko-KR"/>
        </w:rPr>
        <w:t xml:space="preserve">cafe employees, and </w:t>
      </w:r>
      <w:r w:rsidR="00136024" w:rsidRPr="003A0C5C">
        <w:rPr>
          <w:lang w:eastAsia="ko-KR"/>
        </w:rPr>
        <w:t>one or two</w:t>
      </w:r>
      <w:r w:rsidRPr="003A0C5C">
        <w:rPr>
          <w:lang w:eastAsia="ko-KR"/>
        </w:rPr>
        <w:t xml:space="preserve"> employees for the mail service store. These new employees are well within SCAG’s employment growth assumptions for Carson. SCAG predicted Carson’s employment growth between 2012 and 2040 to be 11,200 jobs (SCAG 2016). During each operation day, the proposed project has a maximum of 580 daily vehicle trips, which would include up to 93 AM peak hour trips, and 45 PM peak hour trips from employees and visitors to and from the </w:t>
      </w:r>
      <w:r w:rsidR="0084727C" w:rsidRPr="003A0C5C">
        <w:rPr>
          <w:lang w:eastAsia="ko-KR"/>
        </w:rPr>
        <w:t xml:space="preserve">project site </w:t>
      </w:r>
      <w:r w:rsidRPr="003A0C5C">
        <w:rPr>
          <w:lang w:eastAsia="ko-KR"/>
        </w:rPr>
        <w:t>(</w:t>
      </w:r>
      <w:r w:rsidRPr="003A0C5C">
        <w:t xml:space="preserve">Fehr &amp; Peers </w:t>
      </w:r>
      <w:r w:rsidR="00D715B2" w:rsidRPr="003A0C5C">
        <w:t>2022</w:t>
      </w:r>
      <w:r w:rsidRPr="003A0C5C">
        <w:rPr>
          <w:lang w:eastAsia="ko-KR"/>
        </w:rPr>
        <w:t>).</w:t>
      </w:r>
      <w:r w:rsidRPr="003A0C5C">
        <w:t xml:space="preserve"> </w:t>
      </w:r>
      <w:r w:rsidRPr="003A0C5C">
        <w:rPr>
          <w:lang w:eastAsia="ko-KR"/>
        </w:rPr>
        <w:t xml:space="preserve">As discussed in Section XVII, </w:t>
      </w:r>
      <w:r w:rsidRPr="003A0C5C">
        <w:rPr>
          <w:rStyle w:val="Italic"/>
        </w:rPr>
        <w:t>Transportation</w:t>
      </w:r>
      <w:r w:rsidRPr="003A0C5C">
        <w:rPr>
          <w:lang w:eastAsia="ko-KR"/>
        </w:rPr>
        <w:t xml:space="preserve">, this </w:t>
      </w:r>
      <w:r w:rsidR="00A32433" w:rsidRPr="003A0C5C">
        <w:t xml:space="preserve">proposed </w:t>
      </w:r>
      <w:r w:rsidRPr="003A0C5C">
        <w:rPr>
          <w:lang w:eastAsia="ko-KR"/>
        </w:rPr>
        <w:t>project does not have a significant impact on transportation. Mobile source emissions associated with the project site were calculated and are discussed in Threshold b, below.</w:t>
      </w:r>
    </w:p>
    <w:p w14:paraId="03AC897D" w14:textId="2B8D1123" w:rsidR="00FF5E9B" w:rsidRPr="003A0C5C" w:rsidRDefault="00FF5E9B" w:rsidP="0020432B">
      <w:pPr>
        <w:pStyle w:val="12spaceindentcontinue"/>
      </w:pPr>
      <w:r w:rsidRPr="003A0C5C">
        <w:t>Projects, uses, and activities that are consistent with the applicable growth projections and control strategies used in the development of the AQMP would not jeopardize attainment of the air quality reductions identified in the AQMP. Based on the above, the</w:t>
      </w:r>
      <w:r w:rsidR="004564E5" w:rsidRPr="003A0C5C">
        <w:t xml:space="preserve"> proposed</w:t>
      </w:r>
      <w:r w:rsidRPr="003A0C5C">
        <w:t xml:space="preserve"> project would not conflict with growth projections in the 2016 AQMP and impacts would be less than significant.</w:t>
      </w:r>
    </w:p>
    <w:p w14:paraId="0D23214F" w14:textId="463C9580" w:rsidR="00FF5E9B" w:rsidRPr="003A0C5C" w:rsidRDefault="00FF5E9B" w:rsidP="0020432B">
      <w:pPr>
        <w:pStyle w:val="12spaceindent"/>
      </w:pPr>
      <w:r w:rsidRPr="003A0C5C">
        <w:t>b)</w:t>
      </w:r>
      <w:r w:rsidRPr="003A0C5C">
        <w:tab/>
        <w:t>As indicated above, the project site is in the South Coast Air Basin. State and federal air quality standards are exceeded in many parts of the Basin for ozone (O</w:t>
      </w:r>
      <w:r w:rsidRPr="003A0C5C">
        <w:rPr>
          <w:vertAlign w:val="subscript"/>
        </w:rPr>
        <w:t>3</w:t>
      </w:r>
      <w:r w:rsidRPr="003A0C5C">
        <w:t xml:space="preserve">) and PM2.5, including those monitoring stations nearest to the project area, and </w:t>
      </w:r>
      <w:r w:rsidR="00156609" w:rsidRPr="003A0C5C">
        <w:t xml:space="preserve">the Basin </w:t>
      </w:r>
      <w:r w:rsidRPr="003A0C5C">
        <w:t xml:space="preserve">is designated a State and federal non-attainment area for these pollutants. The Basin is also designated as a State non-attainment area for PM10. The </w:t>
      </w:r>
      <w:r w:rsidR="004564E5" w:rsidRPr="003A0C5C">
        <w:t xml:space="preserve">proposed </w:t>
      </w:r>
      <w:r w:rsidRPr="003A0C5C">
        <w:t>project would contribute to local and regional air pollutant emissions during construction (short-term or temporary)</w:t>
      </w:r>
      <w:r w:rsidR="00D86C50" w:rsidRPr="003A0C5C">
        <w:t xml:space="preserve"> and operation</w:t>
      </w:r>
      <w:r w:rsidRPr="003A0C5C">
        <w:t>. However, based on the following analysis, construction and operation of the proposed project would result in less-than-significant impacts relative to the daily significance thresholds for criteria air pollutant emissions established by the SCAQMD for construction and operational phases.</w:t>
      </w:r>
    </w:p>
    <w:p w14:paraId="17C17D36" w14:textId="5622835E" w:rsidR="00FF5E9B" w:rsidRPr="003A0C5C" w:rsidRDefault="00FF5E9B" w:rsidP="0020432B">
      <w:pPr>
        <w:pStyle w:val="12spaceindentcontinue"/>
      </w:pPr>
      <w:r w:rsidRPr="003A0C5C">
        <w:t>Daily regional construction and operational source project ozone precursor and criteria pollutant emissions such as VOC, NO</w:t>
      </w:r>
      <w:r w:rsidRPr="003A0C5C">
        <w:rPr>
          <w:vertAlign w:val="subscript"/>
        </w:rPr>
        <w:t>X</w:t>
      </w:r>
      <w:r w:rsidRPr="003A0C5C">
        <w:t>, CO, SO</w:t>
      </w:r>
      <w:r w:rsidRPr="003A0C5C">
        <w:rPr>
          <w:vertAlign w:val="subscript"/>
        </w:rPr>
        <w:t>2</w:t>
      </w:r>
      <w:r w:rsidRPr="003A0C5C">
        <w:t xml:space="preserve">, PM10, and PM2.5 were estimated using </w:t>
      </w:r>
      <w:r w:rsidRPr="003A0C5C">
        <w:lastRenderedPageBreak/>
        <w:t xml:space="preserve">the </w:t>
      </w:r>
      <w:r w:rsidR="009352D4" w:rsidRPr="003A0C5C">
        <w:t>California Emissions Estimator Model (</w:t>
      </w:r>
      <w:proofErr w:type="spellStart"/>
      <w:r w:rsidR="009352D4" w:rsidRPr="003A0C5C">
        <w:t>CalEEMod</w:t>
      </w:r>
      <w:proofErr w:type="spellEnd"/>
      <w:r w:rsidR="009352D4" w:rsidRPr="003A0C5C">
        <w:t>)</w:t>
      </w:r>
      <w:r w:rsidRPr="003A0C5C">
        <w:t xml:space="preserve"> (Version 2020.4.0) software, an emissions inventory software program recommended by SCAQMD. </w:t>
      </w:r>
      <w:proofErr w:type="spellStart"/>
      <w:r w:rsidRPr="003A0C5C">
        <w:t>CalEEMod</w:t>
      </w:r>
      <w:proofErr w:type="spellEnd"/>
      <w:r w:rsidRPr="003A0C5C">
        <w:t xml:space="preserve"> is based on outputs from the CARB OFFROAD model and the CARB on-road vehicle emissions factor (EMFAC) model, which are emissions estimation models developed by CARB and used to calculate emissions from construction activities, heavy-duty off-road equipment, and on-road vehicles. </w:t>
      </w:r>
      <w:r w:rsidRPr="003A0C5C">
        <w:rPr>
          <w:rFonts w:cs="Arial"/>
          <w:szCs w:val="24"/>
        </w:rPr>
        <w:t xml:space="preserve">Emissions from on-road vehicles were estimated outside of </w:t>
      </w:r>
      <w:proofErr w:type="spellStart"/>
      <w:r w:rsidRPr="003A0C5C">
        <w:rPr>
          <w:rFonts w:cs="Arial"/>
          <w:szCs w:val="24"/>
        </w:rPr>
        <w:t>CalEEMod</w:t>
      </w:r>
      <w:proofErr w:type="spellEnd"/>
      <w:r w:rsidRPr="003A0C5C">
        <w:rPr>
          <w:rFonts w:cs="Arial"/>
          <w:szCs w:val="24"/>
        </w:rPr>
        <w:t xml:space="preserve"> using EMFAC2021 emission factors for haul and material vendor trucks and worker vehicles, since the most current version of </w:t>
      </w:r>
      <w:proofErr w:type="spellStart"/>
      <w:r w:rsidRPr="003A0C5C">
        <w:rPr>
          <w:rFonts w:cs="Arial"/>
          <w:szCs w:val="24"/>
        </w:rPr>
        <w:t>CalEEMod</w:t>
      </w:r>
      <w:proofErr w:type="spellEnd"/>
      <w:r w:rsidRPr="003A0C5C">
        <w:rPr>
          <w:rFonts w:cs="Arial"/>
          <w:szCs w:val="24"/>
        </w:rPr>
        <w:t xml:space="preserve"> uses EMFAC2017. </w:t>
      </w:r>
      <w:r w:rsidRPr="003A0C5C">
        <w:t>Activities parameters, such as number of pieces of equipment and equipment usage hours were provided by the Applicant.</w:t>
      </w:r>
    </w:p>
    <w:p w14:paraId="74ED4C38" w14:textId="77777777" w:rsidR="00FF5E9B" w:rsidRPr="003A0C5C" w:rsidRDefault="00FF5E9B" w:rsidP="00FF5E9B">
      <w:pPr>
        <w:pStyle w:val="Heading6"/>
        <w:ind w:left="720"/>
        <w:rPr>
          <w:bCs/>
        </w:rPr>
      </w:pPr>
      <w:r w:rsidRPr="003A0C5C">
        <w:rPr>
          <w:bCs/>
        </w:rPr>
        <w:t>Construction</w:t>
      </w:r>
    </w:p>
    <w:p w14:paraId="4E91E4BF" w14:textId="10CD2C33" w:rsidR="00FF5E9B" w:rsidRPr="003A0C5C" w:rsidRDefault="00FF5E9B" w:rsidP="0020432B">
      <w:pPr>
        <w:pStyle w:val="12spaceindentcontinue"/>
      </w:pPr>
      <w:r w:rsidRPr="003A0C5C">
        <w:t xml:space="preserve">Construction activities associated with the </w:t>
      </w:r>
      <w:r w:rsidR="004564E5" w:rsidRPr="003A0C5C">
        <w:t xml:space="preserve">proposed </w:t>
      </w:r>
      <w:r w:rsidRPr="003A0C5C">
        <w:t>project would generate temporary and short-term emissions of VOC, NO</w:t>
      </w:r>
      <w:r w:rsidRPr="003A0C5C">
        <w:rPr>
          <w:vertAlign w:val="subscript"/>
        </w:rPr>
        <w:t>X</w:t>
      </w:r>
      <w:r w:rsidRPr="003A0C5C">
        <w:t>, CO, SO</w:t>
      </w:r>
      <w:r w:rsidRPr="003A0C5C">
        <w:rPr>
          <w:vertAlign w:val="subscript"/>
        </w:rPr>
        <w:t>2</w:t>
      </w:r>
      <w:r w:rsidRPr="003A0C5C">
        <w:t>, PM10, and PM2.5. Construction related emissions are expected from site preparation, grading, trenching, foundations, paving, building construction, and architectural coating activities. During the site preparation approximately 150 cubic yards (cy) of concrete/asphalt debris would be generated. During the grading phase approximately 906 cy of soil would be generated with approximately 257 cy being imported as fill. Project construction is expected to commence in January 2023 and would last through February 2024. If project construction commences later than the anticipated start date, air quality impacts would be less than those analyzed herein, because a more energy-efficient and cleaner burning construction equipment fleet mix would be expected in the future, pursuant to State regulations that require construction equipment fleet operators to phase-in less polluting heavy-duty equipment. Therefore, air quality impacts would generally be less than those analyzed herein due to the likelihood of less emissions generated in a day.</w:t>
      </w:r>
    </w:p>
    <w:p w14:paraId="4E015C83" w14:textId="49642D5A" w:rsidR="00FF5E9B" w:rsidRPr="003A0C5C" w:rsidRDefault="00FF5E9B" w:rsidP="0020432B">
      <w:pPr>
        <w:pStyle w:val="12spaceindentcontinue"/>
      </w:pPr>
      <w:r w:rsidRPr="003A0C5C">
        <w:t xml:space="preserve">The duration of construction activity and associated equipment represents a reasonable approximation of the expected construction fleet as required per CEQA guidelines. Site specific construction fleet may vary due to specific project needs at the time of construction. </w:t>
      </w:r>
      <w:r w:rsidRPr="003A0C5C">
        <w:rPr>
          <w:rFonts w:cs="Times New Roman"/>
        </w:rPr>
        <w:t>The</w:t>
      </w:r>
      <w:r w:rsidRPr="003A0C5C">
        <w:t xml:space="preserve"> duration of construction activity and associated construction equipment was estimated based on consultation with the Applicant. A detailed summary of construction equipment assumptions by phase is provided in the modeling files in </w:t>
      </w:r>
      <w:r w:rsidRPr="003A0C5C">
        <w:rPr>
          <w:b/>
          <w:bCs/>
        </w:rPr>
        <w:t>Appendix A</w:t>
      </w:r>
      <w:r w:rsidR="00DE6129" w:rsidRPr="003A0C5C">
        <w:rPr>
          <w:b/>
          <w:bCs/>
        </w:rPr>
        <w:t xml:space="preserve"> </w:t>
      </w:r>
      <w:r w:rsidR="00DE6129" w:rsidRPr="003A0C5C">
        <w:t>of this IS/MND</w:t>
      </w:r>
      <w:r w:rsidRPr="003A0C5C">
        <w:t>.</w:t>
      </w:r>
    </w:p>
    <w:p w14:paraId="2546E15D" w14:textId="2472052E" w:rsidR="00FF5E9B" w:rsidRPr="003A0C5C" w:rsidRDefault="00FF5E9B" w:rsidP="0020432B">
      <w:pPr>
        <w:pStyle w:val="12spaceindentcontinue"/>
      </w:pPr>
      <w:r w:rsidRPr="003A0C5C">
        <w:t xml:space="preserve">Construction of the </w:t>
      </w:r>
      <w:r w:rsidR="0084727C" w:rsidRPr="003A0C5C">
        <w:t xml:space="preserve">proposed </w:t>
      </w:r>
      <w:r w:rsidRPr="003A0C5C">
        <w:t>project is estimated to last approximately 1</w:t>
      </w:r>
      <w:r w:rsidR="00CA22B3" w:rsidRPr="003A0C5C">
        <w:t>3</w:t>
      </w:r>
      <w:r w:rsidRPr="003A0C5C">
        <w:t xml:space="preserve"> months. Construction duration by phase is provided in </w:t>
      </w:r>
      <w:r w:rsidRPr="003A0C5C">
        <w:rPr>
          <w:rStyle w:val="Bold"/>
        </w:rPr>
        <w:t>Table </w:t>
      </w:r>
      <w:r w:rsidR="004D1D08" w:rsidRPr="003A0C5C">
        <w:rPr>
          <w:rStyle w:val="Bold"/>
        </w:rPr>
        <w:t>1</w:t>
      </w:r>
      <w:r w:rsidRPr="003A0C5C">
        <w:t xml:space="preserve">, </w:t>
      </w:r>
      <w:r w:rsidRPr="003A0C5C">
        <w:rPr>
          <w:rStyle w:val="Italic"/>
        </w:rPr>
        <w:t>Estimated Construction Schedule</w:t>
      </w:r>
      <w:r w:rsidRPr="003A0C5C">
        <w:t xml:space="preserve">. </w:t>
      </w:r>
    </w:p>
    <w:p w14:paraId="20AF4EC9" w14:textId="2D70A4D2" w:rsidR="00160F99" w:rsidRPr="003A0C5C" w:rsidRDefault="00160F99" w:rsidP="0020432B">
      <w:pPr>
        <w:pStyle w:val="12spaceindentcontinue"/>
      </w:pPr>
      <w:r w:rsidRPr="003A0C5C">
        <w:t xml:space="preserve">The maximum daily regional emissions from these activities are estimated by construction phase and compared to the SCAQMD significance thresholds. Maximum daily emissions are calculated by taking the sum of the overlapping phases for each criteria pollutant. As shown in </w:t>
      </w:r>
      <w:r w:rsidRPr="003A0C5C">
        <w:rPr>
          <w:rStyle w:val="Bold"/>
        </w:rPr>
        <w:t>Table 2</w:t>
      </w:r>
      <w:r w:rsidRPr="003A0C5C">
        <w:t xml:space="preserve">, </w:t>
      </w:r>
      <w:r w:rsidRPr="003A0C5C">
        <w:rPr>
          <w:rStyle w:val="Italic"/>
        </w:rPr>
        <w:t>Maximum Regional Construction Emissions – Without Mitigation (Pounds per Day)</w:t>
      </w:r>
      <w:r w:rsidRPr="003A0C5C">
        <w:t>, emissions resulting from project construction would not exceed any criteria pollutant thresholds established by the SCAQMD (SCAQMD 2015). Therefore, impacts would be considered less than significant, and no mitigation is required.</w:t>
      </w:r>
    </w:p>
    <w:tbl>
      <w:tblPr>
        <w:tblW w:w="0" w:type="auto"/>
        <w:jc w:val="center"/>
        <w:tblBorders>
          <w:top w:val="single" w:sz="8" w:space="0" w:color="000000"/>
          <w:bottom w:val="single" w:sz="8" w:space="0" w:color="000000"/>
        </w:tblBorders>
        <w:tblCellMar>
          <w:left w:w="86" w:type="dxa"/>
          <w:right w:w="86" w:type="dxa"/>
        </w:tblCellMar>
        <w:tblLook w:val="01E0" w:firstRow="1" w:lastRow="1" w:firstColumn="1" w:lastColumn="1" w:noHBand="0" w:noVBand="0"/>
      </w:tblPr>
      <w:tblGrid>
        <w:gridCol w:w="2138"/>
        <w:gridCol w:w="928"/>
        <w:gridCol w:w="866"/>
        <w:gridCol w:w="1808"/>
      </w:tblGrid>
      <w:tr w:rsidR="003A0C5C" w:rsidRPr="003A0C5C" w14:paraId="6026F718" w14:textId="77777777" w:rsidTr="0020432B">
        <w:trPr>
          <w:cantSplit/>
          <w:jc w:val="center"/>
        </w:trPr>
        <w:tc>
          <w:tcPr>
            <w:tcW w:w="0" w:type="auto"/>
            <w:gridSpan w:val="4"/>
            <w:tcBorders>
              <w:top w:val="nil"/>
              <w:bottom w:val="single" w:sz="4" w:space="0" w:color="auto"/>
            </w:tcBorders>
          </w:tcPr>
          <w:p w14:paraId="2B40631C" w14:textId="3A6DADFE" w:rsidR="00FF5E9B" w:rsidRPr="003A0C5C" w:rsidRDefault="004D1D08" w:rsidP="003C2FE6">
            <w:pPr>
              <w:pStyle w:val="TableNoTitle"/>
              <w:rPr>
                <w:highlight w:val="yellow"/>
              </w:rPr>
            </w:pPr>
            <w:bookmarkStart w:id="51" w:name="_Toc101792193"/>
            <w:r w:rsidRPr="003A0C5C">
              <w:lastRenderedPageBreak/>
              <w:t>Table 1</w:t>
            </w:r>
            <w:r w:rsidR="00FF5E9B" w:rsidRPr="003A0C5C">
              <w:br/>
            </w:r>
            <w:r w:rsidR="00FF5E9B" w:rsidRPr="003A0C5C">
              <w:tab/>
              <w:t>Estimated Construction Schedule</w:t>
            </w:r>
            <w:bookmarkEnd w:id="51"/>
          </w:p>
        </w:tc>
      </w:tr>
      <w:tr w:rsidR="003A0C5C" w:rsidRPr="003A0C5C" w14:paraId="5F394487" w14:textId="77777777" w:rsidTr="0020432B">
        <w:trPr>
          <w:cantSplit/>
          <w:jc w:val="center"/>
        </w:trPr>
        <w:tc>
          <w:tcPr>
            <w:tcW w:w="0" w:type="auto"/>
            <w:tcBorders>
              <w:top w:val="single" w:sz="4" w:space="0" w:color="auto"/>
              <w:bottom w:val="single" w:sz="12" w:space="0" w:color="000000"/>
              <w:right w:val="nil"/>
            </w:tcBorders>
          </w:tcPr>
          <w:p w14:paraId="51E25053" w14:textId="77777777" w:rsidR="00FF5E9B" w:rsidRPr="003A0C5C" w:rsidRDefault="00FF5E9B" w:rsidP="003C2FE6">
            <w:pPr>
              <w:pStyle w:val="Tablecolumnheading"/>
            </w:pPr>
            <w:r w:rsidRPr="003A0C5C">
              <w:t>Activity</w:t>
            </w:r>
          </w:p>
        </w:tc>
        <w:tc>
          <w:tcPr>
            <w:tcW w:w="0" w:type="auto"/>
            <w:tcBorders>
              <w:top w:val="single" w:sz="4" w:space="0" w:color="auto"/>
              <w:left w:val="nil"/>
              <w:bottom w:val="single" w:sz="12" w:space="0" w:color="000000"/>
              <w:right w:val="nil"/>
            </w:tcBorders>
          </w:tcPr>
          <w:p w14:paraId="72305C9C" w14:textId="77777777" w:rsidR="00FF5E9B" w:rsidRPr="003A0C5C" w:rsidRDefault="00FF5E9B" w:rsidP="003C2FE6">
            <w:pPr>
              <w:pStyle w:val="Tablecolumnheading"/>
              <w:jc w:val="center"/>
            </w:pPr>
            <w:r w:rsidRPr="003A0C5C">
              <w:t>Start Date</w:t>
            </w:r>
          </w:p>
        </w:tc>
        <w:tc>
          <w:tcPr>
            <w:tcW w:w="0" w:type="auto"/>
            <w:tcBorders>
              <w:top w:val="single" w:sz="4" w:space="0" w:color="auto"/>
              <w:left w:val="nil"/>
              <w:bottom w:val="single" w:sz="12" w:space="0" w:color="000000"/>
              <w:right w:val="nil"/>
            </w:tcBorders>
          </w:tcPr>
          <w:p w14:paraId="445DD26B" w14:textId="77777777" w:rsidR="00FF5E9B" w:rsidRPr="003A0C5C" w:rsidRDefault="00FF5E9B" w:rsidP="003C2FE6">
            <w:pPr>
              <w:pStyle w:val="Tablecolumnheading"/>
              <w:jc w:val="center"/>
            </w:pPr>
            <w:r w:rsidRPr="003A0C5C">
              <w:t>End Date</w:t>
            </w:r>
          </w:p>
        </w:tc>
        <w:tc>
          <w:tcPr>
            <w:tcW w:w="0" w:type="auto"/>
            <w:tcBorders>
              <w:top w:val="single" w:sz="4" w:space="0" w:color="auto"/>
              <w:left w:val="nil"/>
              <w:bottom w:val="single" w:sz="12" w:space="0" w:color="000000"/>
            </w:tcBorders>
          </w:tcPr>
          <w:p w14:paraId="5E5E358D" w14:textId="77777777" w:rsidR="00FF5E9B" w:rsidRPr="003A0C5C" w:rsidRDefault="00FF5E9B" w:rsidP="003C2FE6">
            <w:pPr>
              <w:pStyle w:val="Tablecolumnheading"/>
              <w:jc w:val="center"/>
            </w:pPr>
            <w:r w:rsidRPr="003A0C5C">
              <w:t>Duration (Work Days)</w:t>
            </w:r>
          </w:p>
        </w:tc>
      </w:tr>
      <w:tr w:rsidR="003A0C5C" w:rsidRPr="003A0C5C" w14:paraId="6577D83E" w14:textId="77777777" w:rsidTr="0020432B">
        <w:trPr>
          <w:cantSplit/>
          <w:jc w:val="center"/>
        </w:trPr>
        <w:tc>
          <w:tcPr>
            <w:tcW w:w="0" w:type="auto"/>
            <w:tcBorders>
              <w:top w:val="single" w:sz="12" w:space="0" w:color="000000"/>
              <w:bottom w:val="nil"/>
              <w:right w:val="nil"/>
            </w:tcBorders>
          </w:tcPr>
          <w:p w14:paraId="3306D4DF" w14:textId="77777777" w:rsidR="00FF5E9B" w:rsidRPr="003A0C5C" w:rsidRDefault="00FF5E9B" w:rsidP="003C2FE6">
            <w:pPr>
              <w:pStyle w:val="Tabletext"/>
              <w:keepNext/>
            </w:pPr>
            <w:r w:rsidRPr="003A0C5C">
              <w:t xml:space="preserve">Site Preparation </w:t>
            </w:r>
          </w:p>
        </w:tc>
        <w:tc>
          <w:tcPr>
            <w:tcW w:w="0" w:type="auto"/>
            <w:tcBorders>
              <w:top w:val="single" w:sz="12" w:space="0" w:color="000000"/>
              <w:left w:val="nil"/>
              <w:bottom w:val="nil"/>
              <w:right w:val="nil"/>
            </w:tcBorders>
          </w:tcPr>
          <w:p w14:paraId="28214315" w14:textId="77777777" w:rsidR="00FF5E9B" w:rsidRPr="003A0C5C" w:rsidRDefault="00FF5E9B" w:rsidP="003C2FE6">
            <w:pPr>
              <w:pStyle w:val="Tabletext"/>
              <w:jc w:val="center"/>
            </w:pPr>
            <w:r w:rsidRPr="003A0C5C">
              <w:t>01/2023</w:t>
            </w:r>
          </w:p>
        </w:tc>
        <w:tc>
          <w:tcPr>
            <w:tcW w:w="0" w:type="auto"/>
            <w:tcBorders>
              <w:top w:val="single" w:sz="12" w:space="0" w:color="000000"/>
              <w:left w:val="nil"/>
              <w:bottom w:val="nil"/>
              <w:right w:val="nil"/>
            </w:tcBorders>
          </w:tcPr>
          <w:p w14:paraId="1F174ED4" w14:textId="77777777" w:rsidR="00FF5E9B" w:rsidRPr="003A0C5C" w:rsidRDefault="00FF5E9B" w:rsidP="003C2FE6">
            <w:pPr>
              <w:pStyle w:val="Tabletext"/>
              <w:jc w:val="center"/>
            </w:pPr>
            <w:r w:rsidRPr="003A0C5C">
              <w:t>02/2023</w:t>
            </w:r>
          </w:p>
        </w:tc>
        <w:tc>
          <w:tcPr>
            <w:tcW w:w="0" w:type="auto"/>
            <w:tcBorders>
              <w:top w:val="single" w:sz="12" w:space="0" w:color="000000"/>
              <w:left w:val="nil"/>
              <w:bottom w:val="nil"/>
            </w:tcBorders>
          </w:tcPr>
          <w:p w14:paraId="5C37D875" w14:textId="77777777" w:rsidR="00FF5E9B" w:rsidRPr="003A0C5C" w:rsidRDefault="00FF5E9B" w:rsidP="003C2FE6">
            <w:pPr>
              <w:pStyle w:val="Tabletext"/>
              <w:jc w:val="center"/>
            </w:pPr>
            <w:r w:rsidRPr="003A0C5C">
              <w:t>23</w:t>
            </w:r>
          </w:p>
        </w:tc>
      </w:tr>
      <w:tr w:rsidR="003A0C5C" w:rsidRPr="003A0C5C" w14:paraId="264A6718" w14:textId="77777777" w:rsidTr="0020432B">
        <w:trPr>
          <w:cantSplit/>
          <w:jc w:val="center"/>
        </w:trPr>
        <w:tc>
          <w:tcPr>
            <w:tcW w:w="0" w:type="auto"/>
            <w:tcBorders>
              <w:top w:val="nil"/>
              <w:right w:val="nil"/>
            </w:tcBorders>
          </w:tcPr>
          <w:p w14:paraId="41AFB743" w14:textId="77777777" w:rsidR="00FF5E9B" w:rsidRPr="003A0C5C" w:rsidRDefault="00FF5E9B" w:rsidP="003C2FE6">
            <w:pPr>
              <w:pStyle w:val="Tabletext"/>
              <w:keepNext/>
            </w:pPr>
            <w:r w:rsidRPr="003A0C5C">
              <w:t>Grading/Excavation</w:t>
            </w:r>
          </w:p>
        </w:tc>
        <w:tc>
          <w:tcPr>
            <w:tcW w:w="0" w:type="auto"/>
            <w:tcBorders>
              <w:top w:val="nil"/>
              <w:left w:val="nil"/>
              <w:right w:val="nil"/>
            </w:tcBorders>
          </w:tcPr>
          <w:p w14:paraId="0D165F08" w14:textId="77777777" w:rsidR="00FF5E9B" w:rsidRPr="003A0C5C" w:rsidRDefault="00FF5E9B" w:rsidP="003C2FE6">
            <w:pPr>
              <w:pStyle w:val="Tabletext"/>
              <w:jc w:val="center"/>
            </w:pPr>
            <w:r w:rsidRPr="003A0C5C">
              <w:t>02/2023</w:t>
            </w:r>
          </w:p>
        </w:tc>
        <w:tc>
          <w:tcPr>
            <w:tcW w:w="0" w:type="auto"/>
            <w:tcBorders>
              <w:top w:val="nil"/>
              <w:left w:val="nil"/>
              <w:right w:val="nil"/>
            </w:tcBorders>
          </w:tcPr>
          <w:p w14:paraId="2E4879A5" w14:textId="77777777" w:rsidR="00FF5E9B" w:rsidRPr="003A0C5C" w:rsidRDefault="00FF5E9B" w:rsidP="003C2FE6">
            <w:pPr>
              <w:pStyle w:val="Tabletext"/>
              <w:jc w:val="center"/>
            </w:pPr>
            <w:r w:rsidRPr="003A0C5C">
              <w:t>03/2023</w:t>
            </w:r>
          </w:p>
        </w:tc>
        <w:tc>
          <w:tcPr>
            <w:tcW w:w="0" w:type="auto"/>
            <w:tcBorders>
              <w:top w:val="nil"/>
              <w:left w:val="nil"/>
            </w:tcBorders>
          </w:tcPr>
          <w:p w14:paraId="2D6F6A36" w14:textId="77777777" w:rsidR="00FF5E9B" w:rsidRPr="003A0C5C" w:rsidRDefault="00FF5E9B" w:rsidP="003C2FE6">
            <w:pPr>
              <w:pStyle w:val="Tabletext"/>
              <w:jc w:val="center"/>
            </w:pPr>
            <w:r w:rsidRPr="003A0C5C">
              <w:t>21</w:t>
            </w:r>
          </w:p>
        </w:tc>
      </w:tr>
      <w:tr w:rsidR="003A0C5C" w:rsidRPr="003A0C5C" w14:paraId="01AFA4C3" w14:textId="77777777" w:rsidTr="0020432B">
        <w:trPr>
          <w:cantSplit/>
          <w:jc w:val="center"/>
        </w:trPr>
        <w:tc>
          <w:tcPr>
            <w:tcW w:w="0" w:type="auto"/>
            <w:tcBorders>
              <w:top w:val="nil"/>
              <w:right w:val="nil"/>
            </w:tcBorders>
          </w:tcPr>
          <w:p w14:paraId="0F61D685" w14:textId="77777777" w:rsidR="00FF5E9B" w:rsidRPr="003A0C5C" w:rsidRDefault="00FF5E9B" w:rsidP="003C2FE6">
            <w:pPr>
              <w:pStyle w:val="Tabletext"/>
              <w:keepNext/>
            </w:pPr>
            <w:r w:rsidRPr="003A0C5C">
              <w:t>Drainage/Utilities/Trenching</w:t>
            </w:r>
          </w:p>
        </w:tc>
        <w:tc>
          <w:tcPr>
            <w:tcW w:w="0" w:type="auto"/>
            <w:tcBorders>
              <w:top w:val="nil"/>
              <w:left w:val="nil"/>
              <w:right w:val="nil"/>
            </w:tcBorders>
          </w:tcPr>
          <w:p w14:paraId="376F54C7" w14:textId="77777777" w:rsidR="00FF5E9B" w:rsidRPr="003A0C5C" w:rsidRDefault="00FF5E9B" w:rsidP="003C2FE6">
            <w:pPr>
              <w:pStyle w:val="Tabletext"/>
              <w:jc w:val="center"/>
            </w:pPr>
            <w:r w:rsidRPr="003A0C5C">
              <w:t>03/2023</w:t>
            </w:r>
          </w:p>
        </w:tc>
        <w:tc>
          <w:tcPr>
            <w:tcW w:w="0" w:type="auto"/>
            <w:tcBorders>
              <w:top w:val="nil"/>
              <w:left w:val="nil"/>
              <w:right w:val="nil"/>
            </w:tcBorders>
          </w:tcPr>
          <w:p w14:paraId="4514336E" w14:textId="77777777" w:rsidR="00FF5E9B" w:rsidRPr="003A0C5C" w:rsidRDefault="00FF5E9B" w:rsidP="003C2FE6">
            <w:pPr>
              <w:pStyle w:val="Tabletext"/>
              <w:jc w:val="center"/>
            </w:pPr>
            <w:r w:rsidRPr="003A0C5C">
              <w:t>05/2023</w:t>
            </w:r>
          </w:p>
        </w:tc>
        <w:tc>
          <w:tcPr>
            <w:tcW w:w="0" w:type="auto"/>
            <w:tcBorders>
              <w:top w:val="nil"/>
              <w:left w:val="nil"/>
            </w:tcBorders>
          </w:tcPr>
          <w:p w14:paraId="3305D456" w14:textId="77777777" w:rsidR="00FF5E9B" w:rsidRPr="003A0C5C" w:rsidRDefault="00FF5E9B" w:rsidP="003C2FE6">
            <w:pPr>
              <w:pStyle w:val="Tabletext"/>
              <w:jc w:val="center"/>
            </w:pPr>
            <w:r w:rsidRPr="003A0C5C">
              <w:t>44</w:t>
            </w:r>
          </w:p>
        </w:tc>
      </w:tr>
      <w:tr w:rsidR="003A0C5C" w:rsidRPr="003A0C5C" w14:paraId="6795533E" w14:textId="77777777" w:rsidTr="0020432B">
        <w:trPr>
          <w:cantSplit/>
          <w:jc w:val="center"/>
        </w:trPr>
        <w:tc>
          <w:tcPr>
            <w:tcW w:w="0" w:type="auto"/>
            <w:tcBorders>
              <w:top w:val="nil"/>
              <w:right w:val="nil"/>
            </w:tcBorders>
          </w:tcPr>
          <w:p w14:paraId="4A508530" w14:textId="77777777" w:rsidR="00FF5E9B" w:rsidRPr="003A0C5C" w:rsidRDefault="00FF5E9B" w:rsidP="003C2FE6">
            <w:pPr>
              <w:pStyle w:val="Tabletext"/>
              <w:keepNext/>
            </w:pPr>
            <w:r w:rsidRPr="003A0C5C">
              <w:t>Foundations/Concrete Pour</w:t>
            </w:r>
          </w:p>
        </w:tc>
        <w:tc>
          <w:tcPr>
            <w:tcW w:w="0" w:type="auto"/>
            <w:tcBorders>
              <w:top w:val="nil"/>
              <w:left w:val="nil"/>
              <w:right w:val="nil"/>
            </w:tcBorders>
          </w:tcPr>
          <w:p w14:paraId="0E124CB2" w14:textId="77777777" w:rsidR="00FF5E9B" w:rsidRPr="003A0C5C" w:rsidRDefault="00FF5E9B" w:rsidP="003C2FE6">
            <w:pPr>
              <w:pStyle w:val="Tabletext"/>
              <w:jc w:val="center"/>
            </w:pPr>
            <w:r w:rsidRPr="003A0C5C">
              <w:t>05/2023</w:t>
            </w:r>
          </w:p>
        </w:tc>
        <w:tc>
          <w:tcPr>
            <w:tcW w:w="0" w:type="auto"/>
            <w:tcBorders>
              <w:top w:val="nil"/>
              <w:left w:val="nil"/>
              <w:right w:val="nil"/>
            </w:tcBorders>
          </w:tcPr>
          <w:p w14:paraId="6F15135D" w14:textId="77777777" w:rsidR="00FF5E9B" w:rsidRPr="003A0C5C" w:rsidRDefault="00FF5E9B" w:rsidP="003C2FE6">
            <w:pPr>
              <w:pStyle w:val="Tabletext"/>
              <w:jc w:val="center"/>
            </w:pPr>
            <w:r w:rsidRPr="003A0C5C">
              <w:t>06/2023</w:t>
            </w:r>
          </w:p>
        </w:tc>
        <w:tc>
          <w:tcPr>
            <w:tcW w:w="0" w:type="auto"/>
            <w:tcBorders>
              <w:top w:val="nil"/>
              <w:left w:val="nil"/>
            </w:tcBorders>
          </w:tcPr>
          <w:p w14:paraId="1694DAA9" w14:textId="77777777" w:rsidR="00FF5E9B" w:rsidRPr="003A0C5C" w:rsidRDefault="00FF5E9B" w:rsidP="003C2FE6">
            <w:pPr>
              <w:pStyle w:val="Tabletext"/>
              <w:jc w:val="center"/>
            </w:pPr>
            <w:r w:rsidRPr="003A0C5C">
              <w:t>24</w:t>
            </w:r>
          </w:p>
        </w:tc>
      </w:tr>
      <w:tr w:rsidR="003A0C5C" w:rsidRPr="003A0C5C" w14:paraId="2B735E86" w14:textId="77777777" w:rsidTr="0020432B">
        <w:trPr>
          <w:cantSplit/>
          <w:jc w:val="center"/>
        </w:trPr>
        <w:tc>
          <w:tcPr>
            <w:tcW w:w="0" w:type="auto"/>
            <w:tcBorders>
              <w:right w:val="nil"/>
            </w:tcBorders>
          </w:tcPr>
          <w:p w14:paraId="66A76729" w14:textId="77777777" w:rsidR="00FF5E9B" w:rsidRPr="003A0C5C" w:rsidRDefault="00FF5E9B" w:rsidP="003C2FE6">
            <w:pPr>
              <w:pStyle w:val="Tabletext"/>
              <w:keepNext/>
            </w:pPr>
            <w:r w:rsidRPr="003A0C5C">
              <w:t>Building Construction</w:t>
            </w:r>
          </w:p>
        </w:tc>
        <w:tc>
          <w:tcPr>
            <w:tcW w:w="0" w:type="auto"/>
            <w:tcBorders>
              <w:left w:val="nil"/>
              <w:right w:val="nil"/>
            </w:tcBorders>
          </w:tcPr>
          <w:p w14:paraId="3F2D707A" w14:textId="77777777" w:rsidR="00FF5E9B" w:rsidRPr="003A0C5C" w:rsidRDefault="00FF5E9B" w:rsidP="003C2FE6">
            <w:pPr>
              <w:pStyle w:val="Tabletext"/>
              <w:jc w:val="center"/>
            </w:pPr>
            <w:r w:rsidRPr="003A0C5C">
              <w:t>06/2023</w:t>
            </w:r>
          </w:p>
        </w:tc>
        <w:tc>
          <w:tcPr>
            <w:tcW w:w="0" w:type="auto"/>
            <w:tcBorders>
              <w:left w:val="nil"/>
              <w:right w:val="nil"/>
            </w:tcBorders>
          </w:tcPr>
          <w:p w14:paraId="4D40D754" w14:textId="77777777" w:rsidR="00FF5E9B" w:rsidRPr="003A0C5C" w:rsidRDefault="00FF5E9B" w:rsidP="003C2FE6">
            <w:pPr>
              <w:pStyle w:val="Tabletext"/>
              <w:jc w:val="center"/>
            </w:pPr>
            <w:r w:rsidRPr="003A0C5C">
              <w:t>02/2024</w:t>
            </w:r>
          </w:p>
        </w:tc>
        <w:tc>
          <w:tcPr>
            <w:tcW w:w="0" w:type="auto"/>
            <w:tcBorders>
              <w:left w:val="nil"/>
            </w:tcBorders>
          </w:tcPr>
          <w:p w14:paraId="4B9197A4" w14:textId="77777777" w:rsidR="00FF5E9B" w:rsidRPr="003A0C5C" w:rsidRDefault="00FF5E9B" w:rsidP="003C2FE6">
            <w:pPr>
              <w:pStyle w:val="Tabletext"/>
              <w:jc w:val="center"/>
            </w:pPr>
            <w:r w:rsidRPr="003A0C5C">
              <w:t>176</w:t>
            </w:r>
          </w:p>
        </w:tc>
      </w:tr>
      <w:tr w:rsidR="003A0C5C" w:rsidRPr="003A0C5C" w14:paraId="11D5AD77" w14:textId="77777777" w:rsidTr="0020432B">
        <w:trPr>
          <w:cantSplit/>
          <w:jc w:val="center"/>
        </w:trPr>
        <w:tc>
          <w:tcPr>
            <w:tcW w:w="0" w:type="auto"/>
            <w:tcBorders>
              <w:right w:val="nil"/>
            </w:tcBorders>
          </w:tcPr>
          <w:p w14:paraId="03FDFC65" w14:textId="77777777" w:rsidR="00FF5E9B" w:rsidRPr="003A0C5C" w:rsidRDefault="00FF5E9B" w:rsidP="003C2FE6">
            <w:pPr>
              <w:pStyle w:val="Tabletext"/>
              <w:keepNext/>
            </w:pPr>
            <w:r w:rsidRPr="003A0C5C">
              <w:t>Paving</w:t>
            </w:r>
          </w:p>
        </w:tc>
        <w:tc>
          <w:tcPr>
            <w:tcW w:w="0" w:type="auto"/>
            <w:tcBorders>
              <w:left w:val="nil"/>
              <w:right w:val="nil"/>
            </w:tcBorders>
          </w:tcPr>
          <w:p w14:paraId="41C86DA2" w14:textId="77777777" w:rsidR="00FF5E9B" w:rsidRPr="003A0C5C" w:rsidRDefault="00FF5E9B" w:rsidP="003C2FE6">
            <w:pPr>
              <w:pStyle w:val="Tabletext"/>
              <w:jc w:val="center"/>
            </w:pPr>
            <w:r w:rsidRPr="003A0C5C">
              <w:t>01/2024</w:t>
            </w:r>
          </w:p>
        </w:tc>
        <w:tc>
          <w:tcPr>
            <w:tcW w:w="0" w:type="auto"/>
            <w:tcBorders>
              <w:left w:val="nil"/>
              <w:right w:val="nil"/>
            </w:tcBorders>
          </w:tcPr>
          <w:p w14:paraId="4122A982" w14:textId="77777777" w:rsidR="00FF5E9B" w:rsidRPr="003A0C5C" w:rsidRDefault="00FF5E9B" w:rsidP="003C2FE6">
            <w:pPr>
              <w:pStyle w:val="Tabletext"/>
              <w:jc w:val="center"/>
            </w:pPr>
            <w:r w:rsidRPr="003A0C5C">
              <w:t>01/2024</w:t>
            </w:r>
          </w:p>
        </w:tc>
        <w:tc>
          <w:tcPr>
            <w:tcW w:w="0" w:type="auto"/>
            <w:tcBorders>
              <w:left w:val="nil"/>
            </w:tcBorders>
          </w:tcPr>
          <w:p w14:paraId="69CDA8E8" w14:textId="77777777" w:rsidR="00FF5E9B" w:rsidRPr="003A0C5C" w:rsidRDefault="00FF5E9B" w:rsidP="003C2FE6">
            <w:pPr>
              <w:pStyle w:val="Tabletext"/>
              <w:jc w:val="center"/>
            </w:pPr>
            <w:r w:rsidRPr="003A0C5C">
              <w:t>23</w:t>
            </w:r>
          </w:p>
        </w:tc>
      </w:tr>
      <w:tr w:rsidR="003A0C5C" w:rsidRPr="003A0C5C" w14:paraId="455D2089" w14:textId="77777777" w:rsidTr="0020432B">
        <w:trPr>
          <w:cantSplit/>
          <w:jc w:val="center"/>
        </w:trPr>
        <w:tc>
          <w:tcPr>
            <w:tcW w:w="0" w:type="auto"/>
            <w:tcBorders>
              <w:top w:val="nil"/>
              <w:bottom w:val="nil"/>
              <w:right w:val="nil"/>
            </w:tcBorders>
          </w:tcPr>
          <w:p w14:paraId="4D6C7842" w14:textId="77777777" w:rsidR="00FF5E9B" w:rsidRPr="003A0C5C" w:rsidRDefault="00FF5E9B" w:rsidP="003C2FE6">
            <w:pPr>
              <w:pStyle w:val="Tabletext"/>
              <w:keepNext/>
            </w:pPr>
            <w:r w:rsidRPr="003A0C5C">
              <w:t>Architectural Coatings</w:t>
            </w:r>
          </w:p>
        </w:tc>
        <w:tc>
          <w:tcPr>
            <w:tcW w:w="0" w:type="auto"/>
            <w:tcBorders>
              <w:top w:val="nil"/>
              <w:left w:val="nil"/>
              <w:bottom w:val="nil"/>
              <w:right w:val="nil"/>
            </w:tcBorders>
          </w:tcPr>
          <w:p w14:paraId="554E677F" w14:textId="77777777" w:rsidR="00FF5E9B" w:rsidRPr="003A0C5C" w:rsidRDefault="00FF5E9B" w:rsidP="003C2FE6">
            <w:pPr>
              <w:pStyle w:val="Tabletext"/>
              <w:jc w:val="center"/>
            </w:pPr>
            <w:r w:rsidRPr="003A0C5C">
              <w:t>11/2023</w:t>
            </w:r>
          </w:p>
        </w:tc>
        <w:tc>
          <w:tcPr>
            <w:tcW w:w="0" w:type="auto"/>
            <w:tcBorders>
              <w:top w:val="nil"/>
              <w:left w:val="nil"/>
              <w:bottom w:val="nil"/>
              <w:right w:val="nil"/>
            </w:tcBorders>
          </w:tcPr>
          <w:p w14:paraId="3BE56614" w14:textId="77777777" w:rsidR="00FF5E9B" w:rsidRPr="003A0C5C" w:rsidRDefault="00FF5E9B" w:rsidP="003C2FE6">
            <w:pPr>
              <w:pStyle w:val="Tabletext"/>
              <w:jc w:val="center"/>
            </w:pPr>
            <w:r w:rsidRPr="003A0C5C">
              <w:t>02/2024</w:t>
            </w:r>
          </w:p>
        </w:tc>
        <w:tc>
          <w:tcPr>
            <w:tcW w:w="0" w:type="auto"/>
            <w:tcBorders>
              <w:top w:val="nil"/>
              <w:left w:val="nil"/>
              <w:bottom w:val="nil"/>
            </w:tcBorders>
          </w:tcPr>
          <w:p w14:paraId="6A89D92A" w14:textId="77777777" w:rsidR="00FF5E9B" w:rsidRPr="003A0C5C" w:rsidRDefault="00FF5E9B" w:rsidP="003C2FE6">
            <w:pPr>
              <w:pStyle w:val="Tabletext"/>
              <w:jc w:val="center"/>
            </w:pPr>
            <w:r w:rsidRPr="003A0C5C">
              <w:t>67</w:t>
            </w:r>
          </w:p>
        </w:tc>
      </w:tr>
      <w:tr w:rsidR="003A0C5C" w:rsidRPr="003A0C5C" w14:paraId="4703F89E" w14:textId="77777777" w:rsidTr="0020432B">
        <w:trPr>
          <w:cantSplit/>
          <w:jc w:val="center"/>
        </w:trPr>
        <w:tc>
          <w:tcPr>
            <w:tcW w:w="0" w:type="auto"/>
            <w:tcBorders>
              <w:top w:val="nil"/>
              <w:bottom w:val="single" w:sz="4" w:space="0" w:color="000000"/>
              <w:right w:val="nil"/>
            </w:tcBorders>
          </w:tcPr>
          <w:p w14:paraId="20B60069" w14:textId="77777777" w:rsidR="00FF5E9B" w:rsidRPr="003A0C5C" w:rsidRDefault="00FF5E9B" w:rsidP="003C2FE6">
            <w:pPr>
              <w:pStyle w:val="Tabletext"/>
              <w:keepNext/>
            </w:pPr>
            <w:r w:rsidRPr="003A0C5C">
              <w:t>Landscaping</w:t>
            </w:r>
          </w:p>
        </w:tc>
        <w:tc>
          <w:tcPr>
            <w:tcW w:w="0" w:type="auto"/>
            <w:tcBorders>
              <w:top w:val="nil"/>
              <w:left w:val="nil"/>
              <w:bottom w:val="single" w:sz="4" w:space="0" w:color="000000"/>
              <w:right w:val="nil"/>
            </w:tcBorders>
          </w:tcPr>
          <w:p w14:paraId="013A916B" w14:textId="77777777" w:rsidR="00FF5E9B" w:rsidRPr="003A0C5C" w:rsidRDefault="00FF5E9B" w:rsidP="003C2FE6">
            <w:pPr>
              <w:pStyle w:val="Tabletext"/>
              <w:jc w:val="center"/>
            </w:pPr>
            <w:r w:rsidRPr="003A0C5C">
              <w:t>11/2023</w:t>
            </w:r>
          </w:p>
        </w:tc>
        <w:tc>
          <w:tcPr>
            <w:tcW w:w="0" w:type="auto"/>
            <w:tcBorders>
              <w:top w:val="nil"/>
              <w:left w:val="nil"/>
              <w:bottom w:val="single" w:sz="4" w:space="0" w:color="000000"/>
              <w:right w:val="nil"/>
            </w:tcBorders>
          </w:tcPr>
          <w:p w14:paraId="3EE95E1C" w14:textId="77777777" w:rsidR="00FF5E9B" w:rsidRPr="003A0C5C" w:rsidRDefault="00FF5E9B" w:rsidP="003C2FE6">
            <w:pPr>
              <w:pStyle w:val="Tabletext"/>
              <w:jc w:val="center"/>
            </w:pPr>
            <w:r w:rsidRPr="003A0C5C">
              <w:t>02/2024</w:t>
            </w:r>
          </w:p>
        </w:tc>
        <w:tc>
          <w:tcPr>
            <w:tcW w:w="0" w:type="auto"/>
            <w:tcBorders>
              <w:top w:val="nil"/>
              <w:left w:val="nil"/>
              <w:bottom w:val="single" w:sz="4" w:space="0" w:color="000000"/>
            </w:tcBorders>
          </w:tcPr>
          <w:p w14:paraId="19CC2068" w14:textId="77777777" w:rsidR="00FF5E9B" w:rsidRPr="003A0C5C" w:rsidRDefault="00FF5E9B" w:rsidP="003C2FE6">
            <w:pPr>
              <w:pStyle w:val="Tabletext"/>
              <w:jc w:val="center"/>
            </w:pPr>
            <w:r w:rsidRPr="003A0C5C">
              <w:t>67</w:t>
            </w:r>
          </w:p>
        </w:tc>
      </w:tr>
      <w:tr w:rsidR="00FF5E9B" w:rsidRPr="003A0C5C" w14:paraId="1BBD3748" w14:textId="77777777" w:rsidTr="0020432B">
        <w:trPr>
          <w:cantSplit/>
          <w:jc w:val="center"/>
        </w:trPr>
        <w:tc>
          <w:tcPr>
            <w:tcW w:w="0" w:type="auto"/>
            <w:gridSpan w:val="4"/>
            <w:tcBorders>
              <w:top w:val="single" w:sz="4" w:space="0" w:color="000000"/>
              <w:bottom w:val="single" w:sz="4" w:space="0" w:color="auto"/>
            </w:tcBorders>
          </w:tcPr>
          <w:p w14:paraId="7E65A022" w14:textId="77777777" w:rsidR="00FF5E9B" w:rsidRPr="003A0C5C" w:rsidRDefault="00FF5E9B" w:rsidP="00A52381">
            <w:pPr>
              <w:pStyle w:val="TableSource"/>
              <w:spacing w:before="120" w:after="120"/>
            </w:pPr>
            <w:r w:rsidRPr="003A0C5C">
              <w:t>SOURCE:</w:t>
            </w:r>
            <w:r w:rsidRPr="003A0C5C">
              <w:tab/>
              <w:t>City of Carson 2021, in consultation with the Applicant</w:t>
            </w:r>
          </w:p>
        </w:tc>
      </w:tr>
    </w:tbl>
    <w:p w14:paraId="00362F1C" w14:textId="77777777" w:rsidR="00FF5E9B" w:rsidRPr="003A0C5C" w:rsidRDefault="00FF5E9B" w:rsidP="00A52381">
      <w:pPr>
        <w:pStyle w:val="TableSource"/>
        <w:spacing w:after="180"/>
        <w:rPr>
          <w:highlight w:val="yellow"/>
        </w:rPr>
      </w:pPr>
    </w:p>
    <w:tbl>
      <w:tblPr>
        <w:tblW w:w="0" w:type="auto"/>
        <w:jc w:val="center"/>
        <w:tblBorders>
          <w:bottom w:val="single" w:sz="4" w:space="0" w:color="auto"/>
        </w:tblBorders>
        <w:tblCellMar>
          <w:left w:w="86" w:type="dxa"/>
          <w:right w:w="86" w:type="dxa"/>
        </w:tblCellMar>
        <w:tblLook w:val="01E0" w:firstRow="1" w:lastRow="1" w:firstColumn="1" w:lastColumn="1" w:noHBand="0" w:noVBand="0"/>
      </w:tblPr>
      <w:tblGrid>
        <w:gridCol w:w="5508"/>
        <w:gridCol w:w="519"/>
        <w:gridCol w:w="479"/>
        <w:gridCol w:w="439"/>
        <w:gridCol w:w="470"/>
        <w:gridCol w:w="590"/>
        <w:gridCol w:w="635"/>
      </w:tblGrid>
      <w:tr w:rsidR="003A0C5C" w:rsidRPr="003A0C5C" w14:paraId="263AEFD6" w14:textId="77777777" w:rsidTr="00160F99">
        <w:trPr>
          <w:cantSplit/>
          <w:tblHeader/>
          <w:jc w:val="center"/>
        </w:trPr>
        <w:tc>
          <w:tcPr>
            <w:tcW w:w="8910" w:type="dxa"/>
            <w:gridSpan w:val="7"/>
            <w:tcBorders>
              <w:bottom w:val="single" w:sz="4" w:space="0" w:color="auto"/>
            </w:tcBorders>
            <w:shd w:val="clear" w:color="auto" w:fill="auto"/>
            <w:vAlign w:val="bottom"/>
          </w:tcPr>
          <w:p w14:paraId="1E93C6B6" w14:textId="0E008410" w:rsidR="00FF5E9B" w:rsidRPr="003A0C5C" w:rsidRDefault="00FF5E9B" w:rsidP="004D1D08">
            <w:pPr>
              <w:pStyle w:val="TableNoTitle"/>
            </w:pPr>
            <w:bookmarkStart w:id="52" w:name="_Toc101792194"/>
            <w:r w:rsidRPr="003A0C5C">
              <w:t>Table </w:t>
            </w:r>
            <w:r w:rsidR="004D1D08" w:rsidRPr="003A0C5C">
              <w:t>2</w:t>
            </w:r>
            <w:r w:rsidRPr="003A0C5C">
              <w:br/>
            </w:r>
            <w:r w:rsidRPr="003A0C5C">
              <w:tab/>
              <w:t>Maximum Regional Construction Emissions – Without Mitigation (Pounds per Day)</w:t>
            </w:r>
            <w:bookmarkEnd w:id="52"/>
          </w:p>
        </w:tc>
      </w:tr>
      <w:tr w:rsidR="003A0C5C" w:rsidRPr="003A0C5C" w14:paraId="0754F7E1" w14:textId="77777777" w:rsidTr="00160F99">
        <w:trPr>
          <w:cantSplit/>
          <w:tblHeader/>
          <w:jc w:val="center"/>
        </w:trPr>
        <w:tc>
          <w:tcPr>
            <w:tcW w:w="5778" w:type="dxa"/>
            <w:vMerge w:val="restart"/>
            <w:tcBorders>
              <w:top w:val="single" w:sz="4" w:space="0" w:color="auto"/>
              <w:bottom w:val="single" w:sz="4" w:space="0" w:color="auto"/>
            </w:tcBorders>
            <w:shd w:val="clear" w:color="auto" w:fill="auto"/>
            <w:vAlign w:val="bottom"/>
          </w:tcPr>
          <w:p w14:paraId="3E0FB5AA" w14:textId="77777777" w:rsidR="00FF5E9B" w:rsidRPr="003A0C5C" w:rsidRDefault="00FF5E9B" w:rsidP="003C2FE6">
            <w:pPr>
              <w:pStyle w:val="Tablecolumnheading"/>
            </w:pPr>
            <w:r w:rsidRPr="003A0C5C">
              <w:t>Year</w:t>
            </w:r>
          </w:p>
        </w:tc>
        <w:tc>
          <w:tcPr>
            <w:tcW w:w="0" w:type="auto"/>
            <w:gridSpan w:val="6"/>
            <w:tcBorders>
              <w:top w:val="single" w:sz="4" w:space="0" w:color="auto"/>
              <w:bottom w:val="single" w:sz="4" w:space="0" w:color="auto"/>
            </w:tcBorders>
            <w:shd w:val="clear" w:color="auto" w:fill="auto"/>
            <w:vAlign w:val="bottom"/>
          </w:tcPr>
          <w:p w14:paraId="7BB91B30" w14:textId="77777777" w:rsidR="00FF5E9B" w:rsidRPr="003A0C5C" w:rsidRDefault="00FF5E9B" w:rsidP="003C2FE6">
            <w:pPr>
              <w:pStyle w:val="Tablecolumnheading"/>
              <w:jc w:val="center"/>
            </w:pPr>
            <w:r w:rsidRPr="003A0C5C">
              <w:t>Emissions (pounds per day)</w:t>
            </w:r>
          </w:p>
        </w:tc>
      </w:tr>
      <w:tr w:rsidR="003A0C5C" w:rsidRPr="003A0C5C" w14:paraId="4BB8DF11" w14:textId="77777777" w:rsidTr="00160F99">
        <w:trPr>
          <w:cantSplit/>
          <w:tblHeader/>
          <w:jc w:val="center"/>
        </w:trPr>
        <w:tc>
          <w:tcPr>
            <w:tcW w:w="5778" w:type="dxa"/>
            <w:vMerge/>
            <w:tcBorders>
              <w:top w:val="single" w:sz="4" w:space="0" w:color="auto"/>
              <w:bottom w:val="single" w:sz="12" w:space="0" w:color="auto"/>
            </w:tcBorders>
            <w:shd w:val="clear" w:color="auto" w:fill="auto"/>
            <w:vAlign w:val="bottom"/>
          </w:tcPr>
          <w:p w14:paraId="61B61487" w14:textId="77777777" w:rsidR="00FF5E9B" w:rsidRPr="003A0C5C" w:rsidRDefault="00FF5E9B" w:rsidP="003C2FE6">
            <w:pPr>
              <w:pStyle w:val="Tablecolumnheading"/>
            </w:pPr>
          </w:p>
        </w:tc>
        <w:tc>
          <w:tcPr>
            <w:tcW w:w="0" w:type="auto"/>
            <w:tcBorders>
              <w:top w:val="single" w:sz="4" w:space="0" w:color="auto"/>
              <w:bottom w:val="single" w:sz="12" w:space="0" w:color="auto"/>
            </w:tcBorders>
            <w:shd w:val="clear" w:color="auto" w:fill="auto"/>
            <w:vAlign w:val="bottom"/>
          </w:tcPr>
          <w:p w14:paraId="213E7C2D" w14:textId="77777777" w:rsidR="00FF5E9B" w:rsidRPr="003A0C5C" w:rsidRDefault="00FF5E9B" w:rsidP="003C2FE6">
            <w:pPr>
              <w:pStyle w:val="Tablecolumnheading"/>
              <w:jc w:val="center"/>
            </w:pPr>
            <w:r w:rsidRPr="003A0C5C">
              <w:t>VOC</w:t>
            </w:r>
          </w:p>
        </w:tc>
        <w:tc>
          <w:tcPr>
            <w:tcW w:w="0" w:type="auto"/>
            <w:tcBorders>
              <w:top w:val="single" w:sz="4" w:space="0" w:color="auto"/>
              <w:bottom w:val="single" w:sz="12" w:space="0" w:color="auto"/>
            </w:tcBorders>
            <w:shd w:val="clear" w:color="auto" w:fill="auto"/>
            <w:vAlign w:val="bottom"/>
          </w:tcPr>
          <w:p w14:paraId="752E8ADC" w14:textId="77777777" w:rsidR="00FF5E9B" w:rsidRPr="003A0C5C" w:rsidRDefault="00FF5E9B" w:rsidP="003C2FE6">
            <w:pPr>
              <w:pStyle w:val="Tablecolumnheading"/>
              <w:jc w:val="center"/>
            </w:pPr>
            <w:r w:rsidRPr="003A0C5C">
              <w:t>NO</w:t>
            </w:r>
            <w:r w:rsidRPr="003A0C5C">
              <w:rPr>
                <w:vertAlign w:val="subscript"/>
              </w:rPr>
              <w:t>X</w:t>
            </w:r>
          </w:p>
        </w:tc>
        <w:tc>
          <w:tcPr>
            <w:tcW w:w="0" w:type="auto"/>
            <w:tcBorders>
              <w:top w:val="single" w:sz="4" w:space="0" w:color="auto"/>
              <w:bottom w:val="single" w:sz="12" w:space="0" w:color="auto"/>
            </w:tcBorders>
            <w:shd w:val="clear" w:color="auto" w:fill="auto"/>
            <w:vAlign w:val="bottom"/>
          </w:tcPr>
          <w:p w14:paraId="159202D3" w14:textId="77777777" w:rsidR="00FF5E9B" w:rsidRPr="003A0C5C" w:rsidRDefault="00FF5E9B" w:rsidP="003C2FE6">
            <w:pPr>
              <w:pStyle w:val="Tablecolumnheading"/>
              <w:jc w:val="center"/>
            </w:pPr>
            <w:r w:rsidRPr="003A0C5C">
              <w:t>CO</w:t>
            </w:r>
          </w:p>
        </w:tc>
        <w:tc>
          <w:tcPr>
            <w:tcW w:w="0" w:type="auto"/>
            <w:tcBorders>
              <w:top w:val="single" w:sz="4" w:space="0" w:color="auto"/>
              <w:bottom w:val="single" w:sz="12" w:space="0" w:color="auto"/>
            </w:tcBorders>
            <w:shd w:val="clear" w:color="auto" w:fill="auto"/>
            <w:vAlign w:val="bottom"/>
          </w:tcPr>
          <w:p w14:paraId="1D831785" w14:textId="77777777" w:rsidR="00FF5E9B" w:rsidRPr="003A0C5C" w:rsidRDefault="00FF5E9B" w:rsidP="003C2FE6">
            <w:pPr>
              <w:pStyle w:val="Tablecolumnheading"/>
              <w:jc w:val="center"/>
            </w:pPr>
            <w:r w:rsidRPr="003A0C5C">
              <w:t>SO</w:t>
            </w:r>
            <w:r w:rsidRPr="003A0C5C">
              <w:rPr>
                <w:vertAlign w:val="subscript"/>
              </w:rPr>
              <w:t>X</w:t>
            </w:r>
          </w:p>
        </w:tc>
        <w:tc>
          <w:tcPr>
            <w:tcW w:w="0" w:type="auto"/>
            <w:tcBorders>
              <w:top w:val="single" w:sz="4" w:space="0" w:color="auto"/>
              <w:bottom w:val="single" w:sz="12" w:space="0" w:color="auto"/>
            </w:tcBorders>
            <w:shd w:val="clear" w:color="auto" w:fill="auto"/>
            <w:vAlign w:val="bottom"/>
          </w:tcPr>
          <w:p w14:paraId="492A0C01" w14:textId="77777777" w:rsidR="00FF5E9B" w:rsidRPr="003A0C5C" w:rsidRDefault="00FF5E9B" w:rsidP="003C2FE6">
            <w:pPr>
              <w:pStyle w:val="Tablecolumnheading"/>
              <w:jc w:val="center"/>
            </w:pPr>
            <w:r w:rsidRPr="003A0C5C">
              <w:t>PM10</w:t>
            </w:r>
          </w:p>
        </w:tc>
        <w:tc>
          <w:tcPr>
            <w:tcW w:w="0" w:type="auto"/>
            <w:tcBorders>
              <w:top w:val="single" w:sz="4" w:space="0" w:color="auto"/>
              <w:bottom w:val="single" w:sz="12" w:space="0" w:color="auto"/>
            </w:tcBorders>
            <w:shd w:val="clear" w:color="auto" w:fill="auto"/>
            <w:vAlign w:val="bottom"/>
          </w:tcPr>
          <w:p w14:paraId="6D1B4F2A" w14:textId="77777777" w:rsidR="00FF5E9B" w:rsidRPr="003A0C5C" w:rsidRDefault="00FF5E9B" w:rsidP="003C2FE6">
            <w:pPr>
              <w:pStyle w:val="Tablecolumnheading"/>
              <w:jc w:val="center"/>
            </w:pPr>
            <w:r w:rsidRPr="003A0C5C">
              <w:t>PM2.5</w:t>
            </w:r>
          </w:p>
        </w:tc>
      </w:tr>
      <w:tr w:rsidR="003A0C5C" w:rsidRPr="003A0C5C" w14:paraId="08BC2557" w14:textId="77777777" w:rsidTr="00160F99">
        <w:trPr>
          <w:cantSplit/>
          <w:jc w:val="center"/>
        </w:trPr>
        <w:tc>
          <w:tcPr>
            <w:tcW w:w="8910" w:type="dxa"/>
            <w:gridSpan w:val="7"/>
            <w:tcBorders>
              <w:top w:val="single" w:sz="12" w:space="0" w:color="auto"/>
            </w:tcBorders>
            <w:shd w:val="clear" w:color="auto" w:fill="D9D9D9" w:themeFill="background1" w:themeFillShade="D9"/>
          </w:tcPr>
          <w:p w14:paraId="0E525CBB" w14:textId="77777777" w:rsidR="00FF5E9B" w:rsidRPr="003A0C5C" w:rsidRDefault="00FF5E9B" w:rsidP="003C2FE6">
            <w:pPr>
              <w:pStyle w:val="Tablerowheading"/>
            </w:pPr>
            <w:r w:rsidRPr="003A0C5C">
              <w:t>Construction Phases</w:t>
            </w:r>
          </w:p>
        </w:tc>
      </w:tr>
      <w:tr w:rsidR="003A0C5C" w:rsidRPr="003A0C5C" w14:paraId="4C12FDA9" w14:textId="77777777" w:rsidTr="00160F99">
        <w:trPr>
          <w:cantSplit/>
          <w:jc w:val="center"/>
        </w:trPr>
        <w:tc>
          <w:tcPr>
            <w:tcW w:w="5778" w:type="dxa"/>
          </w:tcPr>
          <w:p w14:paraId="34F11EF2" w14:textId="77777777" w:rsidR="00EF3F3B" w:rsidRPr="003A0C5C" w:rsidRDefault="00EF3F3B" w:rsidP="00EF3F3B">
            <w:pPr>
              <w:pStyle w:val="Tabletext"/>
              <w:keepNext/>
            </w:pPr>
            <w:r w:rsidRPr="003A0C5C">
              <w:t>Demolition &amp; Site Preparation – 2023</w:t>
            </w:r>
          </w:p>
        </w:tc>
        <w:tc>
          <w:tcPr>
            <w:tcW w:w="0" w:type="auto"/>
            <w:tcBorders>
              <w:top w:val="nil"/>
              <w:left w:val="nil"/>
              <w:bottom w:val="nil"/>
              <w:right w:val="nil"/>
            </w:tcBorders>
            <w:shd w:val="clear" w:color="auto" w:fill="auto"/>
            <w:vAlign w:val="bottom"/>
          </w:tcPr>
          <w:p w14:paraId="213D076D" w14:textId="0352A3BC" w:rsidR="00EF3F3B" w:rsidRPr="003A0C5C" w:rsidRDefault="00EF3F3B" w:rsidP="00EF3F3B">
            <w:pPr>
              <w:pStyle w:val="Tabletext"/>
              <w:jc w:val="center"/>
              <w:rPr>
                <w:rFonts w:cs="Arial"/>
                <w:szCs w:val="16"/>
              </w:rPr>
            </w:pPr>
            <w:r w:rsidRPr="003A0C5C">
              <w:rPr>
                <w:rFonts w:cs="Arial"/>
                <w:szCs w:val="16"/>
              </w:rPr>
              <w:t>2</w:t>
            </w:r>
          </w:p>
        </w:tc>
        <w:tc>
          <w:tcPr>
            <w:tcW w:w="0" w:type="auto"/>
            <w:tcBorders>
              <w:top w:val="nil"/>
              <w:left w:val="nil"/>
              <w:bottom w:val="nil"/>
              <w:right w:val="nil"/>
            </w:tcBorders>
            <w:shd w:val="clear" w:color="auto" w:fill="auto"/>
            <w:vAlign w:val="bottom"/>
          </w:tcPr>
          <w:p w14:paraId="3D52AE73" w14:textId="22BE3DCD" w:rsidR="00EF3F3B" w:rsidRPr="003A0C5C" w:rsidRDefault="00EF3F3B" w:rsidP="00EF3F3B">
            <w:pPr>
              <w:pStyle w:val="Tabletext"/>
              <w:jc w:val="center"/>
              <w:rPr>
                <w:rFonts w:cs="Arial"/>
                <w:szCs w:val="16"/>
              </w:rPr>
            </w:pPr>
            <w:r w:rsidRPr="003A0C5C">
              <w:rPr>
                <w:rFonts w:cs="Arial"/>
                <w:szCs w:val="16"/>
              </w:rPr>
              <w:t>18</w:t>
            </w:r>
          </w:p>
        </w:tc>
        <w:tc>
          <w:tcPr>
            <w:tcW w:w="0" w:type="auto"/>
            <w:tcBorders>
              <w:top w:val="nil"/>
              <w:left w:val="nil"/>
              <w:bottom w:val="nil"/>
              <w:right w:val="nil"/>
            </w:tcBorders>
            <w:shd w:val="clear" w:color="auto" w:fill="auto"/>
            <w:vAlign w:val="bottom"/>
          </w:tcPr>
          <w:p w14:paraId="27FB410E" w14:textId="7755A7E8" w:rsidR="00EF3F3B" w:rsidRPr="003A0C5C" w:rsidRDefault="00EF3F3B" w:rsidP="00EF3F3B">
            <w:pPr>
              <w:pStyle w:val="Tabletext"/>
              <w:jc w:val="center"/>
              <w:rPr>
                <w:rFonts w:cs="Arial"/>
                <w:szCs w:val="16"/>
              </w:rPr>
            </w:pPr>
            <w:r w:rsidRPr="003A0C5C">
              <w:rPr>
                <w:rFonts w:cs="Arial"/>
                <w:szCs w:val="16"/>
              </w:rPr>
              <w:t>24</w:t>
            </w:r>
          </w:p>
        </w:tc>
        <w:tc>
          <w:tcPr>
            <w:tcW w:w="0" w:type="auto"/>
            <w:tcBorders>
              <w:top w:val="nil"/>
              <w:left w:val="nil"/>
              <w:bottom w:val="nil"/>
              <w:right w:val="nil"/>
            </w:tcBorders>
            <w:shd w:val="clear" w:color="auto" w:fill="auto"/>
            <w:vAlign w:val="bottom"/>
          </w:tcPr>
          <w:p w14:paraId="6CFB704E" w14:textId="351495A2" w:rsidR="00EF3F3B" w:rsidRPr="003A0C5C" w:rsidRDefault="00EF3F3B" w:rsidP="00EF3F3B">
            <w:pPr>
              <w:pStyle w:val="Tabletext"/>
              <w:jc w:val="center"/>
              <w:rPr>
                <w:rFonts w:cs="Arial"/>
                <w:szCs w:val="16"/>
              </w:rPr>
            </w:pPr>
            <w:r w:rsidRPr="003A0C5C">
              <w:rPr>
                <w:rFonts w:cs="Arial"/>
                <w:szCs w:val="16"/>
              </w:rPr>
              <w:t>&lt;1</w:t>
            </w:r>
          </w:p>
        </w:tc>
        <w:tc>
          <w:tcPr>
            <w:tcW w:w="0" w:type="auto"/>
            <w:tcBorders>
              <w:top w:val="nil"/>
              <w:left w:val="nil"/>
              <w:bottom w:val="nil"/>
              <w:right w:val="nil"/>
            </w:tcBorders>
            <w:shd w:val="clear" w:color="auto" w:fill="auto"/>
            <w:vAlign w:val="bottom"/>
          </w:tcPr>
          <w:p w14:paraId="05103F59" w14:textId="2C17563C" w:rsidR="00EF3F3B" w:rsidRPr="003A0C5C" w:rsidRDefault="00EF3F3B" w:rsidP="00EF3F3B">
            <w:pPr>
              <w:pStyle w:val="Tabletext"/>
              <w:jc w:val="center"/>
              <w:rPr>
                <w:rFonts w:cs="Arial"/>
                <w:szCs w:val="16"/>
              </w:rPr>
            </w:pPr>
            <w:r w:rsidRPr="003A0C5C">
              <w:rPr>
                <w:rFonts w:cs="Arial"/>
                <w:szCs w:val="16"/>
              </w:rPr>
              <w:t>1</w:t>
            </w:r>
          </w:p>
        </w:tc>
        <w:tc>
          <w:tcPr>
            <w:tcW w:w="0" w:type="auto"/>
            <w:tcBorders>
              <w:top w:val="nil"/>
              <w:left w:val="nil"/>
              <w:bottom w:val="nil"/>
              <w:right w:val="nil"/>
            </w:tcBorders>
            <w:shd w:val="clear" w:color="auto" w:fill="auto"/>
            <w:vAlign w:val="bottom"/>
          </w:tcPr>
          <w:p w14:paraId="5B5AF918" w14:textId="16540574" w:rsidR="00EF3F3B" w:rsidRPr="003A0C5C" w:rsidRDefault="00EF3F3B" w:rsidP="00EF3F3B">
            <w:pPr>
              <w:pStyle w:val="Tabletext"/>
              <w:jc w:val="center"/>
              <w:rPr>
                <w:rFonts w:cs="Arial"/>
                <w:szCs w:val="16"/>
              </w:rPr>
            </w:pPr>
            <w:r w:rsidRPr="003A0C5C">
              <w:rPr>
                <w:rFonts w:cs="Arial"/>
                <w:szCs w:val="16"/>
              </w:rPr>
              <w:t>1</w:t>
            </w:r>
          </w:p>
        </w:tc>
      </w:tr>
      <w:tr w:rsidR="003A0C5C" w:rsidRPr="003A0C5C" w14:paraId="24AB7C20" w14:textId="77777777" w:rsidTr="00160F99">
        <w:trPr>
          <w:cantSplit/>
          <w:jc w:val="center"/>
        </w:trPr>
        <w:tc>
          <w:tcPr>
            <w:tcW w:w="5778" w:type="dxa"/>
          </w:tcPr>
          <w:p w14:paraId="0F9A2479" w14:textId="77777777" w:rsidR="00EF3F3B" w:rsidRPr="003A0C5C" w:rsidRDefault="00EF3F3B" w:rsidP="00EF3F3B">
            <w:pPr>
              <w:pStyle w:val="Tabletext"/>
              <w:keepNext/>
            </w:pPr>
            <w:r w:rsidRPr="003A0C5C">
              <w:t>Grading/Excavation – 2023</w:t>
            </w:r>
          </w:p>
        </w:tc>
        <w:tc>
          <w:tcPr>
            <w:tcW w:w="0" w:type="auto"/>
            <w:tcBorders>
              <w:top w:val="nil"/>
              <w:left w:val="nil"/>
              <w:bottom w:val="nil"/>
              <w:right w:val="nil"/>
            </w:tcBorders>
            <w:shd w:val="clear" w:color="auto" w:fill="auto"/>
            <w:vAlign w:val="bottom"/>
          </w:tcPr>
          <w:p w14:paraId="2775F4E6" w14:textId="173CD519" w:rsidR="00EF3F3B" w:rsidRPr="003A0C5C" w:rsidRDefault="00EF3F3B" w:rsidP="00EF3F3B">
            <w:pPr>
              <w:pStyle w:val="Tabletext"/>
              <w:jc w:val="center"/>
              <w:rPr>
                <w:rFonts w:cs="Arial"/>
                <w:szCs w:val="16"/>
              </w:rPr>
            </w:pPr>
            <w:r w:rsidRPr="003A0C5C">
              <w:rPr>
                <w:rFonts w:cs="Arial"/>
                <w:szCs w:val="16"/>
              </w:rPr>
              <w:t>5</w:t>
            </w:r>
          </w:p>
        </w:tc>
        <w:tc>
          <w:tcPr>
            <w:tcW w:w="0" w:type="auto"/>
            <w:tcBorders>
              <w:top w:val="nil"/>
              <w:left w:val="nil"/>
              <w:bottom w:val="nil"/>
              <w:right w:val="nil"/>
            </w:tcBorders>
            <w:shd w:val="clear" w:color="auto" w:fill="auto"/>
            <w:vAlign w:val="bottom"/>
          </w:tcPr>
          <w:p w14:paraId="7340E535" w14:textId="3061FBD3" w:rsidR="00EF3F3B" w:rsidRPr="003A0C5C" w:rsidRDefault="00EF3F3B" w:rsidP="00EF3F3B">
            <w:pPr>
              <w:pStyle w:val="Tabletext"/>
              <w:jc w:val="center"/>
              <w:rPr>
                <w:rFonts w:cs="Arial"/>
                <w:szCs w:val="16"/>
              </w:rPr>
            </w:pPr>
            <w:r w:rsidRPr="003A0C5C">
              <w:rPr>
                <w:rFonts w:cs="Arial"/>
                <w:szCs w:val="16"/>
              </w:rPr>
              <w:t>60</w:t>
            </w:r>
          </w:p>
        </w:tc>
        <w:tc>
          <w:tcPr>
            <w:tcW w:w="0" w:type="auto"/>
            <w:tcBorders>
              <w:top w:val="nil"/>
              <w:left w:val="nil"/>
              <w:bottom w:val="nil"/>
              <w:right w:val="nil"/>
            </w:tcBorders>
            <w:shd w:val="clear" w:color="auto" w:fill="auto"/>
            <w:vAlign w:val="bottom"/>
          </w:tcPr>
          <w:p w14:paraId="1BA6114D" w14:textId="3A068879" w:rsidR="00EF3F3B" w:rsidRPr="003A0C5C" w:rsidRDefault="00EF3F3B" w:rsidP="00EF3F3B">
            <w:pPr>
              <w:pStyle w:val="Tabletext"/>
              <w:jc w:val="center"/>
              <w:rPr>
                <w:rFonts w:cs="Arial"/>
                <w:szCs w:val="16"/>
              </w:rPr>
            </w:pPr>
            <w:r w:rsidRPr="003A0C5C">
              <w:rPr>
                <w:rFonts w:cs="Arial"/>
                <w:szCs w:val="16"/>
              </w:rPr>
              <w:t>47</w:t>
            </w:r>
          </w:p>
        </w:tc>
        <w:tc>
          <w:tcPr>
            <w:tcW w:w="0" w:type="auto"/>
            <w:tcBorders>
              <w:top w:val="nil"/>
              <w:left w:val="nil"/>
              <w:bottom w:val="nil"/>
              <w:right w:val="nil"/>
            </w:tcBorders>
            <w:shd w:val="clear" w:color="auto" w:fill="auto"/>
            <w:vAlign w:val="bottom"/>
          </w:tcPr>
          <w:p w14:paraId="4CF271F1" w14:textId="539732A8" w:rsidR="00EF3F3B" w:rsidRPr="003A0C5C" w:rsidRDefault="00EF3F3B" w:rsidP="00EF3F3B">
            <w:pPr>
              <w:pStyle w:val="Tabletext"/>
              <w:jc w:val="center"/>
              <w:rPr>
                <w:rFonts w:cs="Arial"/>
                <w:szCs w:val="16"/>
              </w:rPr>
            </w:pPr>
            <w:r w:rsidRPr="003A0C5C">
              <w:rPr>
                <w:rFonts w:cs="Arial"/>
                <w:szCs w:val="16"/>
              </w:rPr>
              <w:t>&lt;1</w:t>
            </w:r>
          </w:p>
        </w:tc>
        <w:tc>
          <w:tcPr>
            <w:tcW w:w="0" w:type="auto"/>
            <w:tcBorders>
              <w:top w:val="nil"/>
              <w:left w:val="nil"/>
              <w:bottom w:val="nil"/>
              <w:right w:val="nil"/>
            </w:tcBorders>
            <w:shd w:val="clear" w:color="auto" w:fill="auto"/>
            <w:vAlign w:val="bottom"/>
          </w:tcPr>
          <w:p w14:paraId="0C0A0285" w14:textId="27AE53FD" w:rsidR="00EF3F3B" w:rsidRPr="003A0C5C" w:rsidRDefault="00EF3F3B" w:rsidP="00EF3F3B">
            <w:pPr>
              <w:pStyle w:val="Tabletext"/>
              <w:jc w:val="center"/>
              <w:rPr>
                <w:rFonts w:cs="Arial"/>
                <w:szCs w:val="16"/>
              </w:rPr>
            </w:pPr>
            <w:r w:rsidRPr="003A0C5C">
              <w:rPr>
                <w:rFonts w:cs="Arial"/>
                <w:szCs w:val="16"/>
              </w:rPr>
              <w:t>5</w:t>
            </w:r>
          </w:p>
        </w:tc>
        <w:tc>
          <w:tcPr>
            <w:tcW w:w="0" w:type="auto"/>
            <w:tcBorders>
              <w:top w:val="nil"/>
              <w:left w:val="nil"/>
              <w:bottom w:val="nil"/>
              <w:right w:val="nil"/>
            </w:tcBorders>
            <w:shd w:val="clear" w:color="auto" w:fill="auto"/>
            <w:vAlign w:val="bottom"/>
          </w:tcPr>
          <w:p w14:paraId="770F653B" w14:textId="65D8D611" w:rsidR="00EF3F3B" w:rsidRPr="003A0C5C" w:rsidRDefault="00EF3F3B" w:rsidP="00EF3F3B">
            <w:pPr>
              <w:pStyle w:val="Tabletext"/>
              <w:jc w:val="center"/>
              <w:rPr>
                <w:rFonts w:cs="Arial"/>
                <w:szCs w:val="16"/>
              </w:rPr>
            </w:pPr>
            <w:r w:rsidRPr="003A0C5C">
              <w:rPr>
                <w:rFonts w:cs="Arial"/>
                <w:szCs w:val="16"/>
              </w:rPr>
              <w:t>2</w:t>
            </w:r>
          </w:p>
        </w:tc>
      </w:tr>
      <w:tr w:rsidR="003A0C5C" w:rsidRPr="003A0C5C" w14:paraId="18E72A12" w14:textId="77777777" w:rsidTr="00160F99">
        <w:trPr>
          <w:cantSplit/>
          <w:jc w:val="center"/>
        </w:trPr>
        <w:tc>
          <w:tcPr>
            <w:tcW w:w="5778" w:type="dxa"/>
          </w:tcPr>
          <w:p w14:paraId="61C59C7B" w14:textId="4A993D1E" w:rsidR="00EF3F3B" w:rsidRPr="003A0C5C" w:rsidRDefault="00EF3F3B" w:rsidP="00EF3F3B">
            <w:pPr>
              <w:pStyle w:val="Tabletext"/>
              <w:keepNext/>
            </w:pPr>
            <w:r w:rsidRPr="003A0C5C">
              <w:t>Drainage/Utilities/Trenching – 2023</w:t>
            </w:r>
          </w:p>
        </w:tc>
        <w:tc>
          <w:tcPr>
            <w:tcW w:w="0" w:type="auto"/>
            <w:tcBorders>
              <w:top w:val="nil"/>
              <w:left w:val="nil"/>
              <w:bottom w:val="nil"/>
              <w:right w:val="nil"/>
            </w:tcBorders>
            <w:shd w:val="clear" w:color="auto" w:fill="auto"/>
            <w:vAlign w:val="bottom"/>
          </w:tcPr>
          <w:p w14:paraId="7511181C" w14:textId="6B2BB48C" w:rsidR="00EF3F3B" w:rsidRPr="003A0C5C" w:rsidRDefault="00EF3F3B" w:rsidP="00EF3F3B">
            <w:pPr>
              <w:pStyle w:val="Tabletext"/>
              <w:jc w:val="center"/>
              <w:rPr>
                <w:rFonts w:cs="Arial"/>
                <w:szCs w:val="16"/>
              </w:rPr>
            </w:pPr>
            <w:r w:rsidRPr="003A0C5C">
              <w:rPr>
                <w:rFonts w:cs="Arial"/>
                <w:szCs w:val="16"/>
              </w:rPr>
              <w:t>2</w:t>
            </w:r>
          </w:p>
        </w:tc>
        <w:tc>
          <w:tcPr>
            <w:tcW w:w="0" w:type="auto"/>
            <w:tcBorders>
              <w:top w:val="nil"/>
              <w:left w:val="nil"/>
              <w:bottom w:val="nil"/>
              <w:right w:val="nil"/>
            </w:tcBorders>
            <w:shd w:val="clear" w:color="auto" w:fill="auto"/>
            <w:vAlign w:val="bottom"/>
          </w:tcPr>
          <w:p w14:paraId="2BD6ECEC" w14:textId="339D8FF6" w:rsidR="00EF3F3B" w:rsidRPr="003A0C5C" w:rsidRDefault="00EF3F3B" w:rsidP="00EF3F3B">
            <w:pPr>
              <w:pStyle w:val="Tabletext"/>
              <w:jc w:val="center"/>
              <w:rPr>
                <w:rFonts w:cs="Arial"/>
                <w:szCs w:val="16"/>
              </w:rPr>
            </w:pPr>
            <w:r w:rsidRPr="003A0C5C">
              <w:rPr>
                <w:rFonts w:cs="Arial"/>
                <w:szCs w:val="16"/>
              </w:rPr>
              <w:t>20</w:t>
            </w:r>
          </w:p>
        </w:tc>
        <w:tc>
          <w:tcPr>
            <w:tcW w:w="0" w:type="auto"/>
            <w:tcBorders>
              <w:top w:val="nil"/>
              <w:left w:val="nil"/>
              <w:bottom w:val="nil"/>
              <w:right w:val="nil"/>
            </w:tcBorders>
            <w:shd w:val="clear" w:color="auto" w:fill="auto"/>
            <w:vAlign w:val="bottom"/>
          </w:tcPr>
          <w:p w14:paraId="6F4BF239" w14:textId="73CA73CC" w:rsidR="00EF3F3B" w:rsidRPr="003A0C5C" w:rsidRDefault="00EF3F3B" w:rsidP="00EF3F3B">
            <w:pPr>
              <w:pStyle w:val="Tabletext"/>
              <w:jc w:val="center"/>
              <w:rPr>
                <w:rFonts w:cs="Arial"/>
                <w:szCs w:val="16"/>
              </w:rPr>
            </w:pPr>
            <w:r w:rsidRPr="003A0C5C">
              <w:rPr>
                <w:rFonts w:cs="Arial"/>
                <w:szCs w:val="16"/>
              </w:rPr>
              <w:t>29</w:t>
            </w:r>
          </w:p>
        </w:tc>
        <w:tc>
          <w:tcPr>
            <w:tcW w:w="0" w:type="auto"/>
            <w:tcBorders>
              <w:top w:val="nil"/>
              <w:left w:val="nil"/>
              <w:bottom w:val="nil"/>
              <w:right w:val="nil"/>
            </w:tcBorders>
            <w:shd w:val="clear" w:color="auto" w:fill="auto"/>
            <w:vAlign w:val="bottom"/>
          </w:tcPr>
          <w:p w14:paraId="4F986267" w14:textId="46417916" w:rsidR="00EF3F3B" w:rsidRPr="003A0C5C" w:rsidRDefault="00EF3F3B" w:rsidP="00EF3F3B">
            <w:pPr>
              <w:pStyle w:val="Tabletext"/>
              <w:jc w:val="center"/>
              <w:rPr>
                <w:rFonts w:cs="Arial"/>
                <w:szCs w:val="16"/>
              </w:rPr>
            </w:pPr>
            <w:r w:rsidRPr="003A0C5C">
              <w:rPr>
                <w:rFonts w:cs="Arial"/>
                <w:szCs w:val="16"/>
              </w:rPr>
              <w:t>&lt;1</w:t>
            </w:r>
          </w:p>
        </w:tc>
        <w:tc>
          <w:tcPr>
            <w:tcW w:w="0" w:type="auto"/>
            <w:tcBorders>
              <w:top w:val="nil"/>
              <w:left w:val="nil"/>
              <w:bottom w:val="nil"/>
              <w:right w:val="nil"/>
            </w:tcBorders>
            <w:shd w:val="clear" w:color="auto" w:fill="auto"/>
            <w:vAlign w:val="bottom"/>
          </w:tcPr>
          <w:p w14:paraId="2403E043" w14:textId="1DE03C8F" w:rsidR="00EF3F3B" w:rsidRPr="003A0C5C" w:rsidRDefault="00EF3F3B" w:rsidP="00EF3F3B">
            <w:pPr>
              <w:pStyle w:val="Tabletext"/>
              <w:jc w:val="center"/>
              <w:rPr>
                <w:rFonts w:cs="Arial"/>
                <w:szCs w:val="16"/>
              </w:rPr>
            </w:pPr>
            <w:r w:rsidRPr="003A0C5C">
              <w:rPr>
                <w:rFonts w:cs="Arial"/>
                <w:szCs w:val="16"/>
              </w:rPr>
              <w:t>1</w:t>
            </w:r>
          </w:p>
        </w:tc>
        <w:tc>
          <w:tcPr>
            <w:tcW w:w="0" w:type="auto"/>
            <w:tcBorders>
              <w:top w:val="nil"/>
              <w:left w:val="nil"/>
              <w:bottom w:val="nil"/>
              <w:right w:val="nil"/>
            </w:tcBorders>
            <w:shd w:val="clear" w:color="auto" w:fill="auto"/>
            <w:vAlign w:val="bottom"/>
          </w:tcPr>
          <w:p w14:paraId="43BF31D2" w14:textId="505EF6C1" w:rsidR="00EF3F3B" w:rsidRPr="003A0C5C" w:rsidRDefault="00EF3F3B" w:rsidP="00EF3F3B">
            <w:pPr>
              <w:pStyle w:val="Tabletext"/>
              <w:jc w:val="center"/>
              <w:rPr>
                <w:rFonts w:cs="Arial"/>
                <w:szCs w:val="16"/>
              </w:rPr>
            </w:pPr>
            <w:r w:rsidRPr="003A0C5C">
              <w:rPr>
                <w:rFonts w:cs="Arial"/>
                <w:szCs w:val="16"/>
              </w:rPr>
              <w:t>1</w:t>
            </w:r>
          </w:p>
        </w:tc>
      </w:tr>
      <w:tr w:rsidR="003A0C5C" w:rsidRPr="003A0C5C" w14:paraId="1F1C21FA" w14:textId="77777777" w:rsidTr="00160F99">
        <w:trPr>
          <w:cantSplit/>
          <w:jc w:val="center"/>
        </w:trPr>
        <w:tc>
          <w:tcPr>
            <w:tcW w:w="5778" w:type="dxa"/>
          </w:tcPr>
          <w:p w14:paraId="7745B3C7" w14:textId="38C95963" w:rsidR="00EF3F3B" w:rsidRPr="003A0C5C" w:rsidRDefault="00EF3F3B" w:rsidP="00EF3F3B">
            <w:pPr>
              <w:pStyle w:val="Tabletext"/>
              <w:keepNext/>
            </w:pPr>
            <w:r w:rsidRPr="003A0C5C">
              <w:t>Foundations/Concrete Pour – 2023</w:t>
            </w:r>
          </w:p>
        </w:tc>
        <w:tc>
          <w:tcPr>
            <w:tcW w:w="0" w:type="auto"/>
            <w:tcBorders>
              <w:top w:val="nil"/>
              <w:left w:val="nil"/>
              <w:bottom w:val="nil"/>
              <w:right w:val="nil"/>
            </w:tcBorders>
            <w:shd w:val="clear" w:color="auto" w:fill="auto"/>
            <w:vAlign w:val="bottom"/>
          </w:tcPr>
          <w:p w14:paraId="480EBED2" w14:textId="6FB197D1" w:rsidR="00EF3F3B" w:rsidRPr="003A0C5C" w:rsidRDefault="00EF3F3B" w:rsidP="00EF3F3B">
            <w:pPr>
              <w:pStyle w:val="Tabletext"/>
              <w:jc w:val="center"/>
              <w:rPr>
                <w:rFonts w:cs="Arial"/>
                <w:szCs w:val="16"/>
              </w:rPr>
            </w:pPr>
            <w:r w:rsidRPr="003A0C5C">
              <w:rPr>
                <w:rFonts w:cs="Arial"/>
                <w:szCs w:val="16"/>
              </w:rPr>
              <w:t>2</w:t>
            </w:r>
          </w:p>
        </w:tc>
        <w:tc>
          <w:tcPr>
            <w:tcW w:w="0" w:type="auto"/>
            <w:tcBorders>
              <w:top w:val="nil"/>
              <w:left w:val="nil"/>
              <w:bottom w:val="nil"/>
              <w:right w:val="nil"/>
            </w:tcBorders>
            <w:shd w:val="clear" w:color="auto" w:fill="auto"/>
            <w:vAlign w:val="bottom"/>
          </w:tcPr>
          <w:p w14:paraId="78BB5CEC" w14:textId="1F77039B" w:rsidR="00EF3F3B" w:rsidRPr="003A0C5C" w:rsidRDefault="00EF3F3B" w:rsidP="00EF3F3B">
            <w:pPr>
              <w:pStyle w:val="Tabletext"/>
              <w:jc w:val="center"/>
              <w:rPr>
                <w:rFonts w:cs="Arial"/>
                <w:szCs w:val="16"/>
              </w:rPr>
            </w:pPr>
            <w:r w:rsidRPr="003A0C5C">
              <w:rPr>
                <w:rFonts w:cs="Arial"/>
                <w:szCs w:val="16"/>
              </w:rPr>
              <w:t>18</w:t>
            </w:r>
          </w:p>
        </w:tc>
        <w:tc>
          <w:tcPr>
            <w:tcW w:w="0" w:type="auto"/>
            <w:tcBorders>
              <w:top w:val="nil"/>
              <w:left w:val="nil"/>
              <w:bottom w:val="nil"/>
              <w:right w:val="nil"/>
            </w:tcBorders>
            <w:shd w:val="clear" w:color="auto" w:fill="auto"/>
            <w:vAlign w:val="bottom"/>
          </w:tcPr>
          <w:p w14:paraId="46E8B362" w14:textId="33D22694" w:rsidR="00EF3F3B" w:rsidRPr="003A0C5C" w:rsidRDefault="00EF3F3B" w:rsidP="00EF3F3B">
            <w:pPr>
              <w:pStyle w:val="Tabletext"/>
              <w:jc w:val="center"/>
              <w:rPr>
                <w:rFonts w:cs="Arial"/>
                <w:szCs w:val="16"/>
              </w:rPr>
            </w:pPr>
            <w:r w:rsidRPr="003A0C5C">
              <w:rPr>
                <w:rFonts w:cs="Arial"/>
                <w:szCs w:val="16"/>
              </w:rPr>
              <w:t>25</w:t>
            </w:r>
          </w:p>
        </w:tc>
        <w:tc>
          <w:tcPr>
            <w:tcW w:w="0" w:type="auto"/>
            <w:tcBorders>
              <w:top w:val="nil"/>
              <w:left w:val="nil"/>
              <w:bottom w:val="nil"/>
              <w:right w:val="nil"/>
            </w:tcBorders>
            <w:shd w:val="clear" w:color="auto" w:fill="auto"/>
            <w:vAlign w:val="bottom"/>
          </w:tcPr>
          <w:p w14:paraId="683694EF" w14:textId="2A502BB8" w:rsidR="00EF3F3B" w:rsidRPr="003A0C5C" w:rsidRDefault="00EF3F3B" w:rsidP="00EF3F3B">
            <w:pPr>
              <w:pStyle w:val="Tabletext"/>
              <w:jc w:val="center"/>
              <w:rPr>
                <w:rFonts w:cs="Arial"/>
                <w:szCs w:val="16"/>
              </w:rPr>
            </w:pPr>
            <w:r w:rsidRPr="003A0C5C">
              <w:rPr>
                <w:rFonts w:cs="Arial"/>
                <w:szCs w:val="16"/>
              </w:rPr>
              <w:t>&lt;1</w:t>
            </w:r>
          </w:p>
        </w:tc>
        <w:tc>
          <w:tcPr>
            <w:tcW w:w="0" w:type="auto"/>
            <w:tcBorders>
              <w:top w:val="nil"/>
              <w:left w:val="nil"/>
              <w:bottom w:val="nil"/>
              <w:right w:val="nil"/>
            </w:tcBorders>
            <w:shd w:val="clear" w:color="auto" w:fill="auto"/>
            <w:vAlign w:val="bottom"/>
          </w:tcPr>
          <w:p w14:paraId="10FC88F7" w14:textId="75F990F8" w:rsidR="00EF3F3B" w:rsidRPr="003A0C5C" w:rsidRDefault="00EF3F3B" w:rsidP="00EF3F3B">
            <w:pPr>
              <w:pStyle w:val="Tabletext"/>
              <w:jc w:val="center"/>
              <w:rPr>
                <w:rFonts w:cs="Arial"/>
                <w:szCs w:val="16"/>
              </w:rPr>
            </w:pPr>
            <w:r w:rsidRPr="003A0C5C">
              <w:rPr>
                <w:rFonts w:cs="Arial"/>
                <w:szCs w:val="16"/>
              </w:rPr>
              <w:t>1</w:t>
            </w:r>
          </w:p>
        </w:tc>
        <w:tc>
          <w:tcPr>
            <w:tcW w:w="0" w:type="auto"/>
            <w:tcBorders>
              <w:top w:val="nil"/>
              <w:left w:val="nil"/>
              <w:bottom w:val="nil"/>
              <w:right w:val="nil"/>
            </w:tcBorders>
            <w:shd w:val="clear" w:color="auto" w:fill="auto"/>
            <w:vAlign w:val="bottom"/>
          </w:tcPr>
          <w:p w14:paraId="431F3409" w14:textId="3C5CE38D" w:rsidR="00EF3F3B" w:rsidRPr="003A0C5C" w:rsidRDefault="00EF3F3B" w:rsidP="00EF3F3B">
            <w:pPr>
              <w:pStyle w:val="Tabletext"/>
              <w:jc w:val="center"/>
              <w:rPr>
                <w:rFonts w:cs="Arial"/>
                <w:szCs w:val="16"/>
              </w:rPr>
            </w:pPr>
            <w:r w:rsidRPr="003A0C5C">
              <w:rPr>
                <w:rFonts w:cs="Arial"/>
                <w:szCs w:val="16"/>
              </w:rPr>
              <w:t>1</w:t>
            </w:r>
          </w:p>
        </w:tc>
      </w:tr>
      <w:tr w:rsidR="003A0C5C" w:rsidRPr="003A0C5C" w14:paraId="6B8F15B7" w14:textId="77777777" w:rsidTr="00160F99">
        <w:trPr>
          <w:cantSplit/>
          <w:jc w:val="center"/>
        </w:trPr>
        <w:tc>
          <w:tcPr>
            <w:tcW w:w="5778" w:type="dxa"/>
          </w:tcPr>
          <w:p w14:paraId="15502C18" w14:textId="77777777" w:rsidR="00EF3F3B" w:rsidRPr="003A0C5C" w:rsidRDefault="00EF3F3B" w:rsidP="00EF3F3B">
            <w:pPr>
              <w:pStyle w:val="Tabletext"/>
              <w:keepNext/>
            </w:pPr>
            <w:r w:rsidRPr="003A0C5C">
              <w:t>Building Construction – 2023</w:t>
            </w:r>
          </w:p>
        </w:tc>
        <w:tc>
          <w:tcPr>
            <w:tcW w:w="0" w:type="auto"/>
            <w:tcBorders>
              <w:top w:val="nil"/>
              <w:left w:val="nil"/>
              <w:bottom w:val="nil"/>
              <w:right w:val="nil"/>
            </w:tcBorders>
            <w:shd w:val="clear" w:color="auto" w:fill="auto"/>
            <w:vAlign w:val="bottom"/>
          </w:tcPr>
          <w:p w14:paraId="3FB85801" w14:textId="54D033C6" w:rsidR="00EF3F3B" w:rsidRPr="003A0C5C" w:rsidRDefault="00EF3F3B" w:rsidP="00EF3F3B">
            <w:pPr>
              <w:pStyle w:val="Tabletext"/>
              <w:jc w:val="center"/>
              <w:rPr>
                <w:rFonts w:cs="Arial"/>
                <w:szCs w:val="16"/>
              </w:rPr>
            </w:pPr>
            <w:r w:rsidRPr="003A0C5C">
              <w:rPr>
                <w:rFonts w:cs="Arial"/>
                <w:szCs w:val="16"/>
              </w:rPr>
              <w:t>3</w:t>
            </w:r>
          </w:p>
        </w:tc>
        <w:tc>
          <w:tcPr>
            <w:tcW w:w="0" w:type="auto"/>
            <w:tcBorders>
              <w:top w:val="nil"/>
              <w:left w:val="nil"/>
              <w:bottom w:val="nil"/>
              <w:right w:val="nil"/>
            </w:tcBorders>
            <w:shd w:val="clear" w:color="auto" w:fill="auto"/>
            <w:vAlign w:val="bottom"/>
          </w:tcPr>
          <w:p w14:paraId="1E14FC8D" w14:textId="201ECA5E" w:rsidR="00EF3F3B" w:rsidRPr="003A0C5C" w:rsidRDefault="00EF3F3B" w:rsidP="00EF3F3B">
            <w:pPr>
              <w:pStyle w:val="Tabletext"/>
              <w:jc w:val="center"/>
              <w:rPr>
                <w:rFonts w:cs="Arial"/>
                <w:szCs w:val="16"/>
              </w:rPr>
            </w:pPr>
            <w:r w:rsidRPr="003A0C5C">
              <w:rPr>
                <w:rFonts w:cs="Arial"/>
                <w:szCs w:val="16"/>
              </w:rPr>
              <w:t>29</w:t>
            </w:r>
          </w:p>
        </w:tc>
        <w:tc>
          <w:tcPr>
            <w:tcW w:w="0" w:type="auto"/>
            <w:tcBorders>
              <w:top w:val="nil"/>
              <w:left w:val="nil"/>
              <w:bottom w:val="nil"/>
              <w:right w:val="nil"/>
            </w:tcBorders>
            <w:shd w:val="clear" w:color="auto" w:fill="auto"/>
            <w:vAlign w:val="bottom"/>
          </w:tcPr>
          <w:p w14:paraId="26296D10" w14:textId="58464061" w:rsidR="00EF3F3B" w:rsidRPr="003A0C5C" w:rsidRDefault="00EF3F3B" w:rsidP="00EF3F3B">
            <w:pPr>
              <w:pStyle w:val="Tabletext"/>
              <w:jc w:val="center"/>
              <w:rPr>
                <w:rFonts w:cs="Arial"/>
                <w:szCs w:val="16"/>
              </w:rPr>
            </w:pPr>
            <w:r w:rsidRPr="003A0C5C">
              <w:rPr>
                <w:rFonts w:cs="Arial"/>
                <w:szCs w:val="16"/>
              </w:rPr>
              <w:t>42</w:t>
            </w:r>
          </w:p>
        </w:tc>
        <w:tc>
          <w:tcPr>
            <w:tcW w:w="0" w:type="auto"/>
            <w:tcBorders>
              <w:top w:val="nil"/>
              <w:left w:val="nil"/>
              <w:bottom w:val="nil"/>
              <w:right w:val="nil"/>
            </w:tcBorders>
            <w:shd w:val="clear" w:color="auto" w:fill="auto"/>
            <w:vAlign w:val="bottom"/>
          </w:tcPr>
          <w:p w14:paraId="1E49CF5D" w14:textId="251D615D" w:rsidR="00EF3F3B" w:rsidRPr="003A0C5C" w:rsidRDefault="00EF3F3B" w:rsidP="00EF3F3B">
            <w:pPr>
              <w:pStyle w:val="Tabletext"/>
              <w:jc w:val="center"/>
              <w:rPr>
                <w:rFonts w:cs="Arial"/>
                <w:szCs w:val="16"/>
              </w:rPr>
            </w:pPr>
            <w:r w:rsidRPr="003A0C5C">
              <w:rPr>
                <w:rFonts w:cs="Arial"/>
                <w:szCs w:val="16"/>
              </w:rPr>
              <w:t>&lt;1</w:t>
            </w:r>
          </w:p>
        </w:tc>
        <w:tc>
          <w:tcPr>
            <w:tcW w:w="0" w:type="auto"/>
            <w:tcBorders>
              <w:top w:val="nil"/>
              <w:left w:val="nil"/>
              <w:bottom w:val="nil"/>
              <w:right w:val="nil"/>
            </w:tcBorders>
            <w:shd w:val="clear" w:color="auto" w:fill="auto"/>
            <w:vAlign w:val="bottom"/>
          </w:tcPr>
          <w:p w14:paraId="10A4E061" w14:textId="1F47921D" w:rsidR="00EF3F3B" w:rsidRPr="003A0C5C" w:rsidRDefault="00EF3F3B" w:rsidP="00EF3F3B">
            <w:pPr>
              <w:pStyle w:val="Tabletext"/>
              <w:jc w:val="center"/>
              <w:rPr>
                <w:rFonts w:cs="Arial"/>
                <w:szCs w:val="16"/>
              </w:rPr>
            </w:pPr>
            <w:r w:rsidRPr="003A0C5C">
              <w:rPr>
                <w:rFonts w:cs="Arial"/>
                <w:szCs w:val="16"/>
              </w:rPr>
              <w:t>2</w:t>
            </w:r>
          </w:p>
        </w:tc>
        <w:tc>
          <w:tcPr>
            <w:tcW w:w="0" w:type="auto"/>
            <w:tcBorders>
              <w:top w:val="nil"/>
              <w:left w:val="nil"/>
              <w:bottom w:val="nil"/>
              <w:right w:val="nil"/>
            </w:tcBorders>
            <w:shd w:val="clear" w:color="auto" w:fill="auto"/>
            <w:vAlign w:val="bottom"/>
          </w:tcPr>
          <w:p w14:paraId="2040A88E" w14:textId="4D163659" w:rsidR="00EF3F3B" w:rsidRPr="003A0C5C" w:rsidRDefault="00EF3F3B" w:rsidP="00EF3F3B">
            <w:pPr>
              <w:pStyle w:val="Tabletext"/>
              <w:jc w:val="center"/>
              <w:rPr>
                <w:rFonts w:cs="Arial"/>
                <w:szCs w:val="16"/>
              </w:rPr>
            </w:pPr>
            <w:r w:rsidRPr="003A0C5C">
              <w:rPr>
                <w:rFonts w:cs="Arial"/>
                <w:szCs w:val="16"/>
              </w:rPr>
              <w:t>1</w:t>
            </w:r>
          </w:p>
        </w:tc>
      </w:tr>
      <w:tr w:rsidR="003A0C5C" w:rsidRPr="003A0C5C" w14:paraId="33F7B848" w14:textId="77777777" w:rsidTr="00160F99">
        <w:trPr>
          <w:cantSplit/>
          <w:jc w:val="center"/>
        </w:trPr>
        <w:tc>
          <w:tcPr>
            <w:tcW w:w="5778" w:type="dxa"/>
          </w:tcPr>
          <w:p w14:paraId="6B410E48" w14:textId="77777777" w:rsidR="00EF3F3B" w:rsidRPr="003A0C5C" w:rsidRDefault="00EF3F3B" w:rsidP="00EF3F3B">
            <w:pPr>
              <w:pStyle w:val="Tabletext"/>
              <w:keepNext/>
            </w:pPr>
            <w:r w:rsidRPr="003A0C5C">
              <w:t>Building Construction – 2024</w:t>
            </w:r>
          </w:p>
        </w:tc>
        <w:tc>
          <w:tcPr>
            <w:tcW w:w="0" w:type="auto"/>
            <w:tcBorders>
              <w:top w:val="nil"/>
              <w:left w:val="nil"/>
              <w:bottom w:val="nil"/>
              <w:right w:val="nil"/>
            </w:tcBorders>
            <w:shd w:val="clear" w:color="auto" w:fill="auto"/>
            <w:vAlign w:val="bottom"/>
          </w:tcPr>
          <w:p w14:paraId="39CDC349" w14:textId="0B281521" w:rsidR="00EF3F3B" w:rsidRPr="003A0C5C" w:rsidRDefault="00EF3F3B" w:rsidP="00EF3F3B">
            <w:pPr>
              <w:pStyle w:val="Tabletext"/>
              <w:jc w:val="center"/>
              <w:rPr>
                <w:rFonts w:cs="Arial"/>
                <w:szCs w:val="16"/>
              </w:rPr>
            </w:pPr>
            <w:r w:rsidRPr="003A0C5C">
              <w:rPr>
                <w:rFonts w:cs="Arial"/>
                <w:szCs w:val="16"/>
              </w:rPr>
              <w:t>3</w:t>
            </w:r>
          </w:p>
        </w:tc>
        <w:tc>
          <w:tcPr>
            <w:tcW w:w="0" w:type="auto"/>
            <w:tcBorders>
              <w:top w:val="nil"/>
              <w:left w:val="nil"/>
              <w:bottom w:val="nil"/>
              <w:right w:val="nil"/>
            </w:tcBorders>
            <w:shd w:val="clear" w:color="auto" w:fill="auto"/>
            <w:vAlign w:val="bottom"/>
          </w:tcPr>
          <w:p w14:paraId="25C9AD59" w14:textId="12F6A0CE" w:rsidR="00EF3F3B" w:rsidRPr="003A0C5C" w:rsidRDefault="00EF3F3B" w:rsidP="00EF3F3B">
            <w:pPr>
              <w:pStyle w:val="Tabletext"/>
              <w:jc w:val="center"/>
              <w:rPr>
                <w:rFonts w:cs="Arial"/>
                <w:szCs w:val="16"/>
              </w:rPr>
            </w:pPr>
            <w:r w:rsidRPr="003A0C5C">
              <w:rPr>
                <w:rFonts w:cs="Arial"/>
                <w:szCs w:val="16"/>
              </w:rPr>
              <w:t>27</w:t>
            </w:r>
          </w:p>
        </w:tc>
        <w:tc>
          <w:tcPr>
            <w:tcW w:w="0" w:type="auto"/>
            <w:tcBorders>
              <w:top w:val="nil"/>
              <w:left w:val="nil"/>
              <w:bottom w:val="nil"/>
              <w:right w:val="nil"/>
            </w:tcBorders>
            <w:shd w:val="clear" w:color="auto" w:fill="auto"/>
            <w:vAlign w:val="bottom"/>
          </w:tcPr>
          <w:p w14:paraId="450C0367" w14:textId="71B28136" w:rsidR="00EF3F3B" w:rsidRPr="003A0C5C" w:rsidRDefault="00EF3F3B" w:rsidP="00EF3F3B">
            <w:pPr>
              <w:pStyle w:val="Tabletext"/>
              <w:jc w:val="center"/>
              <w:rPr>
                <w:rFonts w:cs="Arial"/>
                <w:szCs w:val="16"/>
              </w:rPr>
            </w:pPr>
            <w:r w:rsidRPr="003A0C5C">
              <w:rPr>
                <w:rFonts w:cs="Arial"/>
                <w:szCs w:val="16"/>
              </w:rPr>
              <w:t>41</w:t>
            </w:r>
          </w:p>
        </w:tc>
        <w:tc>
          <w:tcPr>
            <w:tcW w:w="0" w:type="auto"/>
            <w:tcBorders>
              <w:top w:val="nil"/>
              <w:left w:val="nil"/>
              <w:bottom w:val="nil"/>
              <w:right w:val="nil"/>
            </w:tcBorders>
            <w:shd w:val="clear" w:color="auto" w:fill="auto"/>
            <w:vAlign w:val="bottom"/>
          </w:tcPr>
          <w:p w14:paraId="78EB589C" w14:textId="1C5189C8" w:rsidR="00EF3F3B" w:rsidRPr="003A0C5C" w:rsidRDefault="00EF3F3B" w:rsidP="00EF3F3B">
            <w:pPr>
              <w:pStyle w:val="Tabletext"/>
              <w:jc w:val="center"/>
              <w:rPr>
                <w:rFonts w:cs="Arial"/>
                <w:szCs w:val="16"/>
              </w:rPr>
            </w:pPr>
            <w:r w:rsidRPr="003A0C5C">
              <w:rPr>
                <w:rFonts w:cs="Arial"/>
                <w:szCs w:val="16"/>
              </w:rPr>
              <w:t>&lt;1</w:t>
            </w:r>
          </w:p>
        </w:tc>
        <w:tc>
          <w:tcPr>
            <w:tcW w:w="0" w:type="auto"/>
            <w:tcBorders>
              <w:top w:val="nil"/>
              <w:left w:val="nil"/>
              <w:bottom w:val="nil"/>
              <w:right w:val="nil"/>
            </w:tcBorders>
            <w:shd w:val="clear" w:color="auto" w:fill="auto"/>
            <w:vAlign w:val="bottom"/>
          </w:tcPr>
          <w:p w14:paraId="77B362D6" w14:textId="6813DDE4" w:rsidR="00EF3F3B" w:rsidRPr="003A0C5C" w:rsidRDefault="00EF3F3B" w:rsidP="00EF3F3B">
            <w:pPr>
              <w:pStyle w:val="Tabletext"/>
              <w:jc w:val="center"/>
              <w:rPr>
                <w:rFonts w:cs="Arial"/>
                <w:szCs w:val="16"/>
              </w:rPr>
            </w:pPr>
            <w:r w:rsidRPr="003A0C5C">
              <w:rPr>
                <w:rFonts w:cs="Arial"/>
                <w:szCs w:val="16"/>
              </w:rPr>
              <w:t>2</w:t>
            </w:r>
          </w:p>
        </w:tc>
        <w:tc>
          <w:tcPr>
            <w:tcW w:w="0" w:type="auto"/>
            <w:tcBorders>
              <w:top w:val="nil"/>
              <w:left w:val="nil"/>
              <w:bottom w:val="nil"/>
              <w:right w:val="nil"/>
            </w:tcBorders>
            <w:shd w:val="clear" w:color="auto" w:fill="auto"/>
            <w:vAlign w:val="bottom"/>
          </w:tcPr>
          <w:p w14:paraId="37E3A9D9" w14:textId="48B9E91E" w:rsidR="00EF3F3B" w:rsidRPr="003A0C5C" w:rsidRDefault="00EF3F3B" w:rsidP="00EF3F3B">
            <w:pPr>
              <w:pStyle w:val="Tabletext"/>
              <w:jc w:val="center"/>
              <w:rPr>
                <w:rFonts w:cs="Arial"/>
                <w:szCs w:val="16"/>
              </w:rPr>
            </w:pPr>
            <w:r w:rsidRPr="003A0C5C">
              <w:rPr>
                <w:rFonts w:cs="Arial"/>
                <w:szCs w:val="16"/>
              </w:rPr>
              <w:t>1</w:t>
            </w:r>
          </w:p>
        </w:tc>
      </w:tr>
      <w:tr w:rsidR="003A0C5C" w:rsidRPr="003A0C5C" w14:paraId="0D998254" w14:textId="77777777" w:rsidTr="00160F99">
        <w:trPr>
          <w:cantSplit/>
          <w:jc w:val="center"/>
        </w:trPr>
        <w:tc>
          <w:tcPr>
            <w:tcW w:w="5778" w:type="dxa"/>
          </w:tcPr>
          <w:p w14:paraId="416582D0" w14:textId="5D34559C" w:rsidR="00EF3F3B" w:rsidRPr="003A0C5C" w:rsidRDefault="00EF3F3B" w:rsidP="00EF3F3B">
            <w:pPr>
              <w:pStyle w:val="Tabletext"/>
              <w:keepNext/>
            </w:pPr>
            <w:r w:rsidRPr="003A0C5C">
              <w:t>Architectural Coating – 2023</w:t>
            </w:r>
          </w:p>
        </w:tc>
        <w:tc>
          <w:tcPr>
            <w:tcW w:w="0" w:type="auto"/>
            <w:tcBorders>
              <w:top w:val="nil"/>
              <w:left w:val="nil"/>
              <w:bottom w:val="nil"/>
              <w:right w:val="nil"/>
            </w:tcBorders>
            <w:shd w:val="clear" w:color="auto" w:fill="auto"/>
            <w:vAlign w:val="bottom"/>
          </w:tcPr>
          <w:p w14:paraId="6E584B8A" w14:textId="375A7820" w:rsidR="00EF3F3B" w:rsidRPr="003A0C5C" w:rsidRDefault="00EF3F3B" w:rsidP="00EF3F3B">
            <w:pPr>
              <w:pStyle w:val="Tabletext"/>
              <w:jc w:val="center"/>
              <w:rPr>
                <w:rFonts w:cs="Arial"/>
                <w:szCs w:val="16"/>
              </w:rPr>
            </w:pPr>
            <w:r w:rsidRPr="003A0C5C">
              <w:rPr>
                <w:rFonts w:cs="Arial"/>
                <w:szCs w:val="16"/>
              </w:rPr>
              <w:t>16</w:t>
            </w:r>
          </w:p>
        </w:tc>
        <w:tc>
          <w:tcPr>
            <w:tcW w:w="0" w:type="auto"/>
            <w:tcBorders>
              <w:top w:val="nil"/>
              <w:left w:val="nil"/>
              <w:bottom w:val="nil"/>
              <w:right w:val="nil"/>
            </w:tcBorders>
            <w:shd w:val="clear" w:color="auto" w:fill="auto"/>
            <w:vAlign w:val="bottom"/>
          </w:tcPr>
          <w:p w14:paraId="4C56CF23" w14:textId="5408398B" w:rsidR="00EF3F3B" w:rsidRPr="003A0C5C" w:rsidRDefault="00EF3F3B" w:rsidP="00EF3F3B">
            <w:pPr>
              <w:pStyle w:val="Tabletext"/>
              <w:jc w:val="center"/>
              <w:rPr>
                <w:rFonts w:cs="Arial"/>
                <w:szCs w:val="16"/>
              </w:rPr>
            </w:pPr>
            <w:r w:rsidRPr="003A0C5C">
              <w:rPr>
                <w:rFonts w:cs="Arial"/>
                <w:szCs w:val="16"/>
              </w:rPr>
              <w:t>3</w:t>
            </w:r>
          </w:p>
        </w:tc>
        <w:tc>
          <w:tcPr>
            <w:tcW w:w="0" w:type="auto"/>
            <w:tcBorders>
              <w:top w:val="nil"/>
              <w:left w:val="nil"/>
              <w:bottom w:val="nil"/>
              <w:right w:val="nil"/>
            </w:tcBorders>
            <w:shd w:val="clear" w:color="auto" w:fill="auto"/>
            <w:vAlign w:val="bottom"/>
          </w:tcPr>
          <w:p w14:paraId="39556208" w14:textId="0D0685A3" w:rsidR="00EF3F3B" w:rsidRPr="003A0C5C" w:rsidRDefault="00EF3F3B" w:rsidP="00EF3F3B">
            <w:pPr>
              <w:pStyle w:val="Tabletext"/>
              <w:jc w:val="center"/>
              <w:rPr>
                <w:rFonts w:cs="Arial"/>
                <w:szCs w:val="16"/>
              </w:rPr>
            </w:pPr>
            <w:r w:rsidRPr="003A0C5C">
              <w:rPr>
                <w:rFonts w:cs="Arial"/>
                <w:szCs w:val="16"/>
              </w:rPr>
              <w:t>5</w:t>
            </w:r>
          </w:p>
        </w:tc>
        <w:tc>
          <w:tcPr>
            <w:tcW w:w="0" w:type="auto"/>
            <w:tcBorders>
              <w:top w:val="nil"/>
              <w:left w:val="nil"/>
              <w:bottom w:val="nil"/>
              <w:right w:val="nil"/>
            </w:tcBorders>
            <w:shd w:val="clear" w:color="auto" w:fill="auto"/>
            <w:vAlign w:val="bottom"/>
          </w:tcPr>
          <w:p w14:paraId="1B9EB176" w14:textId="40CD184D" w:rsidR="00EF3F3B" w:rsidRPr="003A0C5C" w:rsidRDefault="00EF3F3B" w:rsidP="00EF3F3B">
            <w:pPr>
              <w:pStyle w:val="Tabletext"/>
              <w:jc w:val="center"/>
              <w:rPr>
                <w:rFonts w:cs="Arial"/>
                <w:szCs w:val="16"/>
              </w:rPr>
            </w:pPr>
            <w:r w:rsidRPr="003A0C5C">
              <w:rPr>
                <w:rFonts w:cs="Arial"/>
                <w:szCs w:val="16"/>
              </w:rPr>
              <w:t>&lt;1</w:t>
            </w:r>
          </w:p>
        </w:tc>
        <w:tc>
          <w:tcPr>
            <w:tcW w:w="0" w:type="auto"/>
            <w:tcBorders>
              <w:top w:val="nil"/>
              <w:left w:val="nil"/>
              <w:bottom w:val="nil"/>
              <w:right w:val="nil"/>
            </w:tcBorders>
            <w:shd w:val="clear" w:color="auto" w:fill="auto"/>
            <w:vAlign w:val="bottom"/>
          </w:tcPr>
          <w:p w14:paraId="320ACC91" w14:textId="42606FEE" w:rsidR="00EF3F3B" w:rsidRPr="003A0C5C" w:rsidRDefault="00EF3F3B" w:rsidP="00EF3F3B">
            <w:pPr>
              <w:pStyle w:val="Tabletext"/>
              <w:jc w:val="center"/>
              <w:rPr>
                <w:rFonts w:cs="Arial"/>
                <w:szCs w:val="16"/>
              </w:rPr>
            </w:pPr>
            <w:r w:rsidRPr="003A0C5C">
              <w:rPr>
                <w:rFonts w:cs="Arial"/>
                <w:szCs w:val="16"/>
              </w:rPr>
              <w:t>&lt;1</w:t>
            </w:r>
          </w:p>
        </w:tc>
        <w:tc>
          <w:tcPr>
            <w:tcW w:w="0" w:type="auto"/>
            <w:tcBorders>
              <w:top w:val="nil"/>
              <w:left w:val="nil"/>
              <w:bottom w:val="nil"/>
              <w:right w:val="nil"/>
            </w:tcBorders>
            <w:shd w:val="clear" w:color="auto" w:fill="auto"/>
            <w:vAlign w:val="bottom"/>
          </w:tcPr>
          <w:p w14:paraId="6356A234" w14:textId="4DE3CEB3" w:rsidR="00EF3F3B" w:rsidRPr="003A0C5C" w:rsidRDefault="00EF3F3B" w:rsidP="00EF3F3B">
            <w:pPr>
              <w:pStyle w:val="Tabletext"/>
              <w:jc w:val="center"/>
              <w:rPr>
                <w:rFonts w:cs="Arial"/>
                <w:szCs w:val="16"/>
              </w:rPr>
            </w:pPr>
            <w:r w:rsidRPr="003A0C5C">
              <w:rPr>
                <w:rFonts w:cs="Arial"/>
                <w:szCs w:val="16"/>
              </w:rPr>
              <w:t>&lt;1</w:t>
            </w:r>
          </w:p>
        </w:tc>
      </w:tr>
      <w:tr w:rsidR="003A0C5C" w:rsidRPr="003A0C5C" w14:paraId="207C2A1C" w14:textId="77777777" w:rsidTr="00160F99">
        <w:trPr>
          <w:cantSplit/>
          <w:jc w:val="center"/>
        </w:trPr>
        <w:tc>
          <w:tcPr>
            <w:tcW w:w="5778" w:type="dxa"/>
          </w:tcPr>
          <w:p w14:paraId="55299766" w14:textId="77777777" w:rsidR="00EF3F3B" w:rsidRPr="003A0C5C" w:rsidRDefault="00EF3F3B" w:rsidP="00EF3F3B">
            <w:pPr>
              <w:pStyle w:val="Tabletext"/>
              <w:keepNext/>
            </w:pPr>
            <w:r w:rsidRPr="003A0C5C">
              <w:t>Architectural Coating – 2024</w:t>
            </w:r>
          </w:p>
        </w:tc>
        <w:tc>
          <w:tcPr>
            <w:tcW w:w="0" w:type="auto"/>
            <w:tcBorders>
              <w:top w:val="nil"/>
              <w:left w:val="nil"/>
              <w:bottom w:val="nil"/>
              <w:right w:val="nil"/>
            </w:tcBorders>
            <w:shd w:val="clear" w:color="auto" w:fill="auto"/>
            <w:vAlign w:val="bottom"/>
          </w:tcPr>
          <w:p w14:paraId="37A1F773" w14:textId="64E45263" w:rsidR="00EF3F3B" w:rsidRPr="003A0C5C" w:rsidRDefault="00EF3F3B" w:rsidP="00EF3F3B">
            <w:pPr>
              <w:pStyle w:val="Tabletext"/>
              <w:jc w:val="center"/>
              <w:rPr>
                <w:rFonts w:cs="Arial"/>
                <w:szCs w:val="16"/>
              </w:rPr>
            </w:pPr>
            <w:r w:rsidRPr="003A0C5C">
              <w:rPr>
                <w:rFonts w:cs="Arial"/>
                <w:szCs w:val="16"/>
              </w:rPr>
              <w:t>16</w:t>
            </w:r>
          </w:p>
        </w:tc>
        <w:tc>
          <w:tcPr>
            <w:tcW w:w="0" w:type="auto"/>
            <w:tcBorders>
              <w:top w:val="nil"/>
              <w:left w:val="nil"/>
              <w:bottom w:val="nil"/>
              <w:right w:val="nil"/>
            </w:tcBorders>
            <w:shd w:val="clear" w:color="auto" w:fill="auto"/>
            <w:vAlign w:val="bottom"/>
          </w:tcPr>
          <w:p w14:paraId="5B9ED6FC" w14:textId="0A1336B2" w:rsidR="00EF3F3B" w:rsidRPr="003A0C5C" w:rsidRDefault="00EF3F3B" w:rsidP="00EF3F3B">
            <w:pPr>
              <w:pStyle w:val="Tabletext"/>
              <w:jc w:val="center"/>
              <w:rPr>
                <w:rFonts w:cs="Arial"/>
                <w:szCs w:val="16"/>
              </w:rPr>
            </w:pPr>
            <w:r w:rsidRPr="003A0C5C">
              <w:rPr>
                <w:rFonts w:cs="Arial"/>
                <w:szCs w:val="16"/>
              </w:rPr>
              <w:t>3</w:t>
            </w:r>
          </w:p>
        </w:tc>
        <w:tc>
          <w:tcPr>
            <w:tcW w:w="0" w:type="auto"/>
            <w:tcBorders>
              <w:top w:val="nil"/>
              <w:left w:val="nil"/>
              <w:bottom w:val="nil"/>
              <w:right w:val="nil"/>
            </w:tcBorders>
            <w:shd w:val="clear" w:color="auto" w:fill="auto"/>
            <w:vAlign w:val="bottom"/>
          </w:tcPr>
          <w:p w14:paraId="77AA6413" w14:textId="3328F607" w:rsidR="00EF3F3B" w:rsidRPr="003A0C5C" w:rsidRDefault="00EF3F3B" w:rsidP="00EF3F3B">
            <w:pPr>
              <w:pStyle w:val="Tabletext"/>
              <w:jc w:val="center"/>
              <w:rPr>
                <w:rFonts w:cs="Arial"/>
                <w:szCs w:val="16"/>
              </w:rPr>
            </w:pPr>
            <w:r w:rsidRPr="003A0C5C">
              <w:rPr>
                <w:rFonts w:cs="Arial"/>
                <w:szCs w:val="16"/>
              </w:rPr>
              <w:t>5</w:t>
            </w:r>
          </w:p>
        </w:tc>
        <w:tc>
          <w:tcPr>
            <w:tcW w:w="0" w:type="auto"/>
            <w:tcBorders>
              <w:top w:val="nil"/>
              <w:left w:val="nil"/>
              <w:bottom w:val="nil"/>
              <w:right w:val="nil"/>
            </w:tcBorders>
            <w:shd w:val="clear" w:color="auto" w:fill="auto"/>
            <w:vAlign w:val="bottom"/>
          </w:tcPr>
          <w:p w14:paraId="5ECE27A2" w14:textId="6EA39CD8" w:rsidR="00EF3F3B" w:rsidRPr="003A0C5C" w:rsidRDefault="00EF3F3B" w:rsidP="00EF3F3B">
            <w:pPr>
              <w:pStyle w:val="Tabletext"/>
              <w:jc w:val="center"/>
              <w:rPr>
                <w:rFonts w:cs="Arial"/>
                <w:szCs w:val="16"/>
              </w:rPr>
            </w:pPr>
            <w:r w:rsidRPr="003A0C5C">
              <w:rPr>
                <w:rFonts w:cs="Arial"/>
                <w:szCs w:val="16"/>
              </w:rPr>
              <w:t>&lt;1</w:t>
            </w:r>
          </w:p>
        </w:tc>
        <w:tc>
          <w:tcPr>
            <w:tcW w:w="0" w:type="auto"/>
            <w:tcBorders>
              <w:top w:val="nil"/>
              <w:left w:val="nil"/>
              <w:bottom w:val="nil"/>
              <w:right w:val="nil"/>
            </w:tcBorders>
            <w:shd w:val="clear" w:color="auto" w:fill="auto"/>
            <w:vAlign w:val="bottom"/>
          </w:tcPr>
          <w:p w14:paraId="25D36013" w14:textId="4268438B" w:rsidR="00EF3F3B" w:rsidRPr="003A0C5C" w:rsidRDefault="00EF3F3B" w:rsidP="00EF3F3B">
            <w:pPr>
              <w:pStyle w:val="Tabletext"/>
              <w:jc w:val="center"/>
              <w:rPr>
                <w:rFonts w:cs="Arial"/>
                <w:szCs w:val="16"/>
              </w:rPr>
            </w:pPr>
            <w:r w:rsidRPr="003A0C5C">
              <w:rPr>
                <w:rFonts w:cs="Arial"/>
                <w:szCs w:val="16"/>
              </w:rPr>
              <w:t>&lt;1</w:t>
            </w:r>
          </w:p>
        </w:tc>
        <w:tc>
          <w:tcPr>
            <w:tcW w:w="0" w:type="auto"/>
            <w:tcBorders>
              <w:top w:val="nil"/>
              <w:left w:val="nil"/>
              <w:bottom w:val="nil"/>
              <w:right w:val="nil"/>
            </w:tcBorders>
            <w:shd w:val="clear" w:color="auto" w:fill="auto"/>
            <w:vAlign w:val="bottom"/>
          </w:tcPr>
          <w:p w14:paraId="391973CC" w14:textId="0FF0AC41" w:rsidR="00EF3F3B" w:rsidRPr="003A0C5C" w:rsidRDefault="00EF3F3B" w:rsidP="00EF3F3B">
            <w:pPr>
              <w:pStyle w:val="Tabletext"/>
              <w:jc w:val="center"/>
              <w:rPr>
                <w:rFonts w:cs="Arial"/>
                <w:szCs w:val="16"/>
              </w:rPr>
            </w:pPr>
            <w:r w:rsidRPr="003A0C5C">
              <w:rPr>
                <w:rFonts w:cs="Arial"/>
                <w:szCs w:val="16"/>
              </w:rPr>
              <w:t>&lt;1</w:t>
            </w:r>
          </w:p>
        </w:tc>
      </w:tr>
      <w:tr w:rsidR="003A0C5C" w:rsidRPr="003A0C5C" w14:paraId="1D0E99D8" w14:textId="77777777" w:rsidTr="00160F99">
        <w:trPr>
          <w:cantSplit/>
          <w:jc w:val="center"/>
        </w:trPr>
        <w:tc>
          <w:tcPr>
            <w:tcW w:w="5778" w:type="dxa"/>
          </w:tcPr>
          <w:p w14:paraId="56683535" w14:textId="3BC51D16" w:rsidR="00EF3F3B" w:rsidRPr="003A0C5C" w:rsidRDefault="00EF3F3B" w:rsidP="00EF3F3B">
            <w:pPr>
              <w:pStyle w:val="Tabletext"/>
              <w:keepNext/>
            </w:pPr>
            <w:r w:rsidRPr="003A0C5C">
              <w:t>Landscaping – 2023</w:t>
            </w:r>
          </w:p>
        </w:tc>
        <w:tc>
          <w:tcPr>
            <w:tcW w:w="0" w:type="auto"/>
            <w:tcBorders>
              <w:top w:val="nil"/>
              <w:left w:val="nil"/>
              <w:bottom w:val="nil"/>
              <w:right w:val="nil"/>
            </w:tcBorders>
            <w:shd w:val="clear" w:color="auto" w:fill="auto"/>
            <w:vAlign w:val="bottom"/>
          </w:tcPr>
          <w:p w14:paraId="76CE2591" w14:textId="4F632C58" w:rsidR="00EF3F3B" w:rsidRPr="003A0C5C" w:rsidRDefault="00EF3F3B" w:rsidP="00EF3F3B">
            <w:pPr>
              <w:pStyle w:val="Tabletext"/>
              <w:jc w:val="center"/>
              <w:rPr>
                <w:rFonts w:cs="Arial"/>
                <w:szCs w:val="16"/>
              </w:rPr>
            </w:pPr>
            <w:r w:rsidRPr="003A0C5C">
              <w:rPr>
                <w:rFonts w:cs="Arial"/>
                <w:szCs w:val="16"/>
              </w:rPr>
              <w:t>&lt;1</w:t>
            </w:r>
          </w:p>
        </w:tc>
        <w:tc>
          <w:tcPr>
            <w:tcW w:w="0" w:type="auto"/>
            <w:tcBorders>
              <w:top w:val="nil"/>
              <w:left w:val="nil"/>
              <w:bottom w:val="nil"/>
              <w:right w:val="nil"/>
            </w:tcBorders>
            <w:shd w:val="clear" w:color="auto" w:fill="auto"/>
            <w:vAlign w:val="bottom"/>
          </w:tcPr>
          <w:p w14:paraId="5D841A6B" w14:textId="13F99F8D" w:rsidR="00EF3F3B" w:rsidRPr="003A0C5C" w:rsidRDefault="00EF3F3B" w:rsidP="00EF3F3B">
            <w:pPr>
              <w:pStyle w:val="Tabletext"/>
              <w:jc w:val="center"/>
              <w:rPr>
                <w:rFonts w:cs="Arial"/>
                <w:szCs w:val="16"/>
              </w:rPr>
            </w:pPr>
            <w:r w:rsidRPr="003A0C5C">
              <w:rPr>
                <w:rFonts w:cs="Arial"/>
                <w:szCs w:val="16"/>
              </w:rPr>
              <w:t>1</w:t>
            </w:r>
          </w:p>
        </w:tc>
        <w:tc>
          <w:tcPr>
            <w:tcW w:w="0" w:type="auto"/>
            <w:tcBorders>
              <w:top w:val="nil"/>
              <w:left w:val="nil"/>
              <w:bottom w:val="nil"/>
              <w:right w:val="nil"/>
            </w:tcBorders>
            <w:shd w:val="clear" w:color="auto" w:fill="auto"/>
            <w:vAlign w:val="bottom"/>
          </w:tcPr>
          <w:p w14:paraId="2FF666B2" w14:textId="6A6A8D6E" w:rsidR="00EF3F3B" w:rsidRPr="003A0C5C" w:rsidRDefault="00EF3F3B" w:rsidP="00EF3F3B">
            <w:pPr>
              <w:pStyle w:val="Tabletext"/>
              <w:jc w:val="center"/>
              <w:rPr>
                <w:rFonts w:cs="Arial"/>
                <w:szCs w:val="16"/>
              </w:rPr>
            </w:pPr>
            <w:r w:rsidRPr="003A0C5C">
              <w:rPr>
                <w:rFonts w:cs="Arial"/>
                <w:szCs w:val="16"/>
              </w:rPr>
              <w:t>3</w:t>
            </w:r>
          </w:p>
        </w:tc>
        <w:tc>
          <w:tcPr>
            <w:tcW w:w="0" w:type="auto"/>
            <w:tcBorders>
              <w:top w:val="nil"/>
              <w:left w:val="nil"/>
              <w:bottom w:val="nil"/>
              <w:right w:val="nil"/>
            </w:tcBorders>
            <w:shd w:val="clear" w:color="auto" w:fill="auto"/>
            <w:vAlign w:val="bottom"/>
          </w:tcPr>
          <w:p w14:paraId="1ACE7CC1" w14:textId="708FDC5F" w:rsidR="00EF3F3B" w:rsidRPr="003A0C5C" w:rsidRDefault="00EF3F3B" w:rsidP="00EF3F3B">
            <w:pPr>
              <w:pStyle w:val="Tabletext"/>
              <w:jc w:val="center"/>
              <w:rPr>
                <w:rFonts w:cs="Arial"/>
                <w:szCs w:val="16"/>
              </w:rPr>
            </w:pPr>
            <w:r w:rsidRPr="003A0C5C">
              <w:rPr>
                <w:rFonts w:cs="Arial"/>
                <w:szCs w:val="16"/>
              </w:rPr>
              <w:t>&lt;1</w:t>
            </w:r>
          </w:p>
        </w:tc>
        <w:tc>
          <w:tcPr>
            <w:tcW w:w="0" w:type="auto"/>
            <w:tcBorders>
              <w:top w:val="nil"/>
              <w:left w:val="nil"/>
              <w:bottom w:val="nil"/>
              <w:right w:val="nil"/>
            </w:tcBorders>
            <w:shd w:val="clear" w:color="auto" w:fill="auto"/>
            <w:vAlign w:val="bottom"/>
          </w:tcPr>
          <w:p w14:paraId="7E94B387" w14:textId="3632CA3C" w:rsidR="00EF3F3B" w:rsidRPr="003A0C5C" w:rsidRDefault="00EF3F3B" w:rsidP="00EF3F3B">
            <w:pPr>
              <w:pStyle w:val="Tabletext"/>
              <w:jc w:val="center"/>
              <w:rPr>
                <w:rFonts w:cs="Arial"/>
                <w:szCs w:val="16"/>
              </w:rPr>
            </w:pPr>
            <w:r w:rsidRPr="003A0C5C">
              <w:rPr>
                <w:rFonts w:cs="Arial"/>
                <w:szCs w:val="16"/>
              </w:rPr>
              <w:t>&lt;1</w:t>
            </w:r>
          </w:p>
        </w:tc>
        <w:tc>
          <w:tcPr>
            <w:tcW w:w="0" w:type="auto"/>
            <w:tcBorders>
              <w:top w:val="nil"/>
              <w:left w:val="nil"/>
              <w:bottom w:val="nil"/>
              <w:right w:val="nil"/>
            </w:tcBorders>
            <w:shd w:val="clear" w:color="auto" w:fill="auto"/>
            <w:vAlign w:val="bottom"/>
          </w:tcPr>
          <w:p w14:paraId="29B843D2" w14:textId="72C4969A" w:rsidR="00EF3F3B" w:rsidRPr="003A0C5C" w:rsidRDefault="00EF3F3B" w:rsidP="00EF3F3B">
            <w:pPr>
              <w:pStyle w:val="Tabletext"/>
              <w:jc w:val="center"/>
              <w:rPr>
                <w:rFonts w:cs="Arial"/>
                <w:szCs w:val="16"/>
              </w:rPr>
            </w:pPr>
            <w:r w:rsidRPr="003A0C5C">
              <w:rPr>
                <w:rFonts w:cs="Arial"/>
                <w:szCs w:val="16"/>
              </w:rPr>
              <w:t>&lt;1</w:t>
            </w:r>
          </w:p>
        </w:tc>
      </w:tr>
      <w:tr w:rsidR="003A0C5C" w:rsidRPr="003A0C5C" w14:paraId="7468DB6B" w14:textId="77777777" w:rsidTr="00160F99">
        <w:trPr>
          <w:cantSplit/>
          <w:jc w:val="center"/>
        </w:trPr>
        <w:tc>
          <w:tcPr>
            <w:tcW w:w="5778" w:type="dxa"/>
          </w:tcPr>
          <w:p w14:paraId="5430C30B" w14:textId="14C0B16B" w:rsidR="00EF3F3B" w:rsidRPr="003A0C5C" w:rsidRDefault="00EF3F3B" w:rsidP="00EF3F3B">
            <w:pPr>
              <w:pStyle w:val="Tabletext"/>
              <w:keepNext/>
            </w:pPr>
            <w:r w:rsidRPr="003A0C5C">
              <w:t>Landscaping – 2024</w:t>
            </w:r>
          </w:p>
        </w:tc>
        <w:tc>
          <w:tcPr>
            <w:tcW w:w="0" w:type="auto"/>
            <w:tcBorders>
              <w:top w:val="nil"/>
              <w:left w:val="nil"/>
              <w:bottom w:val="nil"/>
              <w:right w:val="nil"/>
            </w:tcBorders>
            <w:shd w:val="clear" w:color="auto" w:fill="auto"/>
            <w:vAlign w:val="bottom"/>
          </w:tcPr>
          <w:p w14:paraId="6DB75316" w14:textId="76E51F86" w:rsidR="00EF3F3B" w:rsidRPr="003A0C5C" w:rsidRDefault="00EF3F3B" w:rsidP="00EF3F3B">
            <w:pPr>
              <w:pStyle w:val="Tabletext"/>
              <w:jc w:val="center"/>
              <w:rPr>
                <w:rFonts w:cs="Arial"/>
                <w:szCs w:val="16"/>
              </w:rPr>
            </w:pPr>
            <w:r w:rsidRPr="003A0C5C">
              <w:rPr>
                <w:rFonts w:cs="Arial"/>
                <w:szCs w:val="16"/>
              </w:rPr>
              <w:t>&lt;1</w:t>
            </w:r>
          </w:p>
        </w:tc>
        <w:tc>
          <w:tcPr>
            <w:tcW w:w="0" w:type="auto"/>
            <w:tcBorders>
              <w:top w:val="nil"/>
              <w:left w:val="nil"/>
              <w:bottom w:val="nil"/>
              <w:right w:val="nil"/>
            </w:tcBorders>
            <w:shd w:val="clear" w:color="auto" w:fill="auto"/>
            <w:vAlign w:val="bottom"/>
          </w:tcPr>
          <w:p w14:paraId="2CFB67E2" w14:textId="3F632465" w:rsidR="00EF3F3B" w:rsidRPr="003A0C5C" w:rsidRDefault="00EF3F3B" w:rsidP="00EF3F3B">
            <w:pPr>
              <w:pStyle w:val="Tabletext"/>
              <w:jc w:val="center"/>
              <w:rPr>
                <w:rFonts w:cs="Arial"/>
                <w:szCs w:val="16"/>
              </w:rPr>
            </w:pPr>
            <w:r w:rsidRPr="003A0C5C">
              <w:rPr>
                <w:rFonts w:cs="Arial"/>
                <w:szCs w:val="16"/>
              </w:rPr>
              <w:t>1</w:t>
            </w:r>
          </w:p>
        </w:tc>
        <w:tc>
          <w:tcPr>
            <w:tcW w:w="0" w:type="auto"/>
            <w:tcBorders>
              <w:top w:val="nil"/>
              <w:left w:val="nil"/>
              <w:bottom w:val="nil"/>
              <w:right w:val="nil"/>
            </w:tcBorders>
            <w:shd w:val="clear" w:color="auto" w:fill="auto"/>
            <w:vAlign w:val="bottom"/>
          </w:tcPr>
          <w:p w14:paraId="43CD0A5D" w14:textId="3070BFA3" w:rsidR="00EF3F3B" w:rsidRPr="003A0C5C" w:rsidRDefault="00EF3F3B" w:rsidP="00EF3F3B">
            <w:pPr>
              <w:pStyle w:val="Tabletext"/>
              <w:jc w:val="center"/>
              <w:rPr>
                <w:rFonts w:cs="Arial"/>
                <w:szCs w:val="16"/>
              </w:rPr>
            </w:pPr>
            <w:r w:rsidRPr="003A0C5C">
              <w:rPr>
                <w:rFonts w:cs="Arial"/>
                <w:szCs w:val="16"/>
              </w:rPr>
              <w:t>2</w:t>
            </w:r>
          </w:p>
        </w:tc>
        <w:tc>
          <w:tcPr>
            <w:tcW w:w="0" w:type="auto"/>
            <w:tcBorders>
              <w:top w:val="nil"/>
              <w:left w:val="nil"/>
              <w:bottom w:val="nil"/>
              <w:right w:val="nil"/>
            </w:tcBorders>
            <w:shd w:val="clear" w:color="auto" w:fill="auto"/>
            <w:vAlign w:val="bottom"/>
          </w:tcPr>
          <w:p w14:paraId="2C1373A5" w14:textId="44344936" w:rsidR="00EF3F3B" w:rsidRPr="003A0C5C" w:rsidRDefault="00EF3F3B" w:rsidP="00EF3F3B">
            <w:pPr>
              <w:pStyle w:val="Tabletext"/>
              <w:jc w:val="center"/>
              <w:rPr>
                <w:rFonts w:cs="Arial"/>
                <w:szCs w:val="16"/>
              </w:rPr>
            </w:pPr>
            <w:r w:rsidRPr="003A0C5C">
              <w:rPr>
                <w:rFonts w:cs="Arial"/>
                <w:szCs w:val="16"/>
              </w:rPr>
              <w:t>&lt;1</w:t>
            </w:r>
          </w:p>
        </w:tc>
        <w:tc>
          <w:tcPr>
            <w:tcW w:w="0" w:type="auto"/>
            <w:tcBorders>
              <w:top w:val="nil"/>
              <w:left w:val="nil"/>
              <w:bottom w:val="nil"/>
              <w:right w:val="nil"/>
            </w:tcBorders>
            <w:shd w:val="clear" w:color="auto" w:fill="auto"/>
            <w:vAlign w:val="bottom"/>
          </w:tcPr>
          <w:p w14:paraId="01483CF7" w14:textId="294A5102" w:rsidR="00EF3F3B" w:rsidRPr="003A0C5C" w:rsidRDefault="00EF3F3B" w:rsidP="00EF3F3B">
            <w:pPr>
              <w:pStyle w:val="Tabletext"/>
              <w:jc w:val="center"/>
              <w:rPr>
                <w:rFonts w:cs="Arial"/>
                <w:szCs w:val="16"/>
              </w:rPr>
            </w:pPr>
            <w:r w:rsidRPr="003A0C5C">
              <w:rPr>
                <w:rFonts w:cs="Arial"/>
                <w:szCs w:val="16"/>
              </w:rPr>
              <w:t>&lt;1</w:t>
            </w:r>
          </w:p>
        </w:tc>
        <w:tc>
          <w:tcPr>
            <w:tcW w:w="0" w:type="auto"/>
            <w:tcBorders>
              <w:top w:val="nil"/>
              <w:left w:val="nil"/>
              <w:bottom w:val="nil"/>
              <w:right w:val="nil"/>
            </w:tcBorders>
            <w:shd w:val="clear" w:color="auto" w:fill="auto"/>
            <w:vAlign w:val="bottom"/>
          </w:tcPr>
          <w:p w14:paraId="4B576FCD" w14:textId="187ACCF5" w:rsidR="00EF3F3B" w:rsidRPr="003A0C5C" w:rsidRDefault="00EF3F3B" w:rsidP="00EF3F3B">
            <w:pPr>
              <w:pStyle w:val="Tabletext"/>
              <w:jc w:val="center"/>
              <w:rPr>
                <w:rFonts w:cs="Arial"/>
                <w:szCs w:val="16"/>
              </w:rPr>
            </w:pPr>
            <w:r w:rsidRPr="003A0C5C">
              <w:rPr>
                <w:rFonts w:cs="Arial"/>
                <w:szCs w:val="16"/>
              </w:rPr>
              <w:t>&lt;1</w:t>
            </w:r>
          </w:p>
        </w:tc>
      </w:tr>
      <w:tr w:rsidR="003A0C5C" w:rsidRPr="003A0C5C" w14:paraId="24E23217" w14:textId="77777777" w:rsidTr="00160F99">
        <w:trPr>
          <w:cantSplit/>
          <w:jc w:val="center"/>
        </w:trPr>
        <w:tc>
          <w:tcPr>
            <w:tcW w:w="5778" w:type="dxa"/>
          </w:tcPr>
          <w:p w14:paraId="75B69C44" w14:textId="59781E51" w:rsidR="00EF3F3B" w:rsidRPr="003A0C5C" w:rsidRDefault="00EF3F3B" w:rsidP="00EF3F3B">
            <w:pPr>
              <w:pStyle w:val="Tabletext"/>
              <w:keepNext/>
            </w:pPr>
            <w:r w:rsidRPr="003A0C5C">
              <w:t>Paving – 2024</w:t>
            </w:r>
          </w:p>
        </w:tc>
        <w:tc>
          <w:tcPr>
            <w:tcW w:w="0" w:type="auto"/>
            <w:tcBorders>
              <w:top w:val="nil"/>
              <w:left w:val="nil"/>
              <w:bottom w:val="nil"/>
              <w:right w:val="nil"/>
            </w:tcBorders>
            <w:shd w:val="clear" w:color="auto" w:fill="auto"/>
            <w:vAlign w:val="bottom"/>
          </w:tcPr>
          <w:p w14:paraId="7995DB67" w14:textId="68505D48" w:rsidR="00EF3F3B" w:rsidRPr="003A0C5C" w:rsidRDefault="00EF3F3B" w:rsidP="00EF3F3B">
            <w:pPr>
              <w:pStyle w:val="Tabletext"/>
              <w:jc w:val="center"/>
              <w:rPr>
                <w:rFonts w:cs="Arial"/>
                <w:szCs w:val="16"/>
              </w:rPr>
            </w:pPr>
            <w:r w:rsidRPr="003A0C5C">
              <w:rPr>
                <w:rFonts w:cs="Arial"/>
                <w:szCs w:val="16"/>
              </w:rPr>
              <w:t>2</w:t>
            </w:r>
          </w:p>
        </w:tc>
        <w:tc>
          <w:tcPr>
            <w:tcW w:w="0" w:type="auto"/>
            <w:tcBorders>
              <w:top w:val="nil"/>
              <w:left w:val="nil"/>
              <w:bottom w:val="nil"/>
              <w:right w:val="nil"/>
            </w:tcBorders>
            <w:shd w:val="clear" w:color="auto" w:fill="auto"/>
            <w:vAlign w:val="bottom"/>
          </w:tcPr>
          <w:p w14:paraId="050F049E" w14:textId="702FEB48" w:rsidR="00EF3F3B" w:rsidRPr="003A0C5C" w:rsidRDefault="00EF3F3B" w:rsidP="00EF3F3B">
            <w:pPr>
              <w:pStyle w:val="Tabletext"/>
              <w:jc w:val="center"/>
              <w:rPr>
                <w:rFonts w:cs="Arial"/>
                <w:szCs w:val="16"/>
              </w:rPr>
            </w:pPr>
            <w:r w:rsidRPr="003A0C5C">
              <w:rPr>
                <w:rFonts w:cs="Arial"/>
                <w:szCs w:val="16"/>
              </w:rPr>
              <w:t>21</w:t>
            </w:r>
          </w:p>
        </w:tc>
        <w:tc>
          <w:tcPr>
            <w:tcW w:w="0" w:type="auto"/>
            <w:tcBorders>
              <w:top w:val="nil"/>
              <w:left w:val="nil"/>
              <w:bottom w:val="nil"/>
              <w:right w:val="nil"/>
            </w:tcBorders>
            <w:shd w:val="clear" w:color="auto" w:fill="auto"/>
            <w:vAlign w:val="bottom"/>
          </w:tcPr>
          <w:p w14:paraId="2C30E12A" w14:textId="79620B89" w:rsidR="00EF3F3B" w:rsidRPr="003A0C5C" w:rsidRDefault="00EF3F3B" w:rsidP="00EF3F3B">
            <w:pPr>
              <w:pStyle w:val="Tabletext"/>
              <w:jc w:val="center"/>
              <w:rPr>
                <w:rFonts w:cs="Arial"/>
                <w:szCs w:val="16"/>
              </w:rPr>
            </w:pPr>
            <w:r w:rsidRPr="003A0C5C">
              <w:rPr>
                <w:rFonts w:cs="Arial"/>
                <w:szCs w:val="16"/>
              </w:rPr>
              <w:t>29</w:t>
            </w:r>
          </w:p>
        </w:tc>
        <w:tc>
          <w:tcPr>
            <w:tcW w:w="0" w:type="auto"/>
            <w:tcBorders>
              <w:top w:val="nil"/>
              <w:left w:val="nil"/>
              <w:bottom w:val="nil"/>
              <w:right w:val="nil"/>
            </w:tcBorders>
            <w:shd w:val="clear" w:color="auto" w:fill="auto"/>
            <w:vAlign w:val="bottom"/>
          </w:tcPr>
          <w:p w14:paraId="6A3AD1D6" w14:textId="66C95458" w:rsidR="00EF3F3B" w:rsidRPr="003A0C5C" w:rsidRDefault="00EF3F3B" w:rsidP="00EF3F3B">
            <w:pPr>
              <w:pStyle w:val="Tabletext"/>
              <w:jc w:val="center"/>
              <w:rPr>
                <w:rFonts w:cs="Arial"/>
                <w:szCs w:val="16"/>
              </w:rPr>
            </w:pPr>
            <w:r w:rsidRPr="003A0C5C">
              <w:rPr>
                <w:rFonts w:cs="Arial"/>
                <w:szCs w:val="16"/>
              </w:rPr>
              <w:t>&lt;1</w:t>
            </w:r>
          </w:p>
        </w:tc>
        <w:tc>
          <w:tcPr>
            <w:tcW w:w="0" w:type="auto"/>
            <w:tcBorders>
              <w:top w:val="nil"/>
              <w:left w:val="nil"/>
              <w:bottom w:val="nil"/>
              <w:right w:val="nil"/>
            </w:tcBorders>
            <w:shd w:val="clear" w:color="auto" w:fill="auto"/>
            <w:vAlign w:val="bottom"/>
          </w:tcPr>
          <w:p w14:paraId="6D90E6D1" w14:textId="5658757D" w:rsidR="00EF3F3B" w:rsidRPr="003A0C5C" w:rsidRDefault="00EF3F3B" w:rsidP="00EF3F3B">
            <w:pPr>
              <w:pStyle w:val="Tabletext"/>
              <w:jc w:val="center"/>
              <w:rPr>
                <w:rFonts w:cs="Arial"/>
                <w:szCs w:val="16"/>
              </w:rPr>
            </w:pPr>
            <w:r w:rsidRPr="003A0C5C">
              <w:rPr>
                <w:rFonts w:cs="Arial"/>
                <w:szCs w:val="16"/>
              </w:rPr>
              <w:t>1</w:t>
            </w:r>
          </w:p>
        </w:tc>
        <w:tc>
          <w:tcPr>
            <w:tcW w:w="0" w:type="auto"/>
            <w:tcBorders>
              <w:top w:val="nil"/>
              <w:left w:val="nil"/>
              <w:bottom w:val="nil"/>
              <w:right w:val="nil"/>
            </w:tcBorders>
            <w:shd w:val="clear" w:color="auto" w:fill="auto"/>
            <w:vAlign w:val="bottom"/>
          </w:tcPr>
          <w:p w14:paraId="6AF3C53A" w14:textId="0AEFA203" w:rsidR="00EF3F3B" w:rsidRPr="003A0C5C" w:rsidRDefault="00EF3F3B" w:rsidP="00EF3F3B">
            <w:pPr>
              <w:pStyle w:val="Tabletext"/>
              <w:jc w:val="center"/>
              <w:rPr>
                <w:rFonts w:cs="Arial"/>
                <w:szCs w:val="16"/>
              </w:rPr>
            </w:pPr>
            <w:r w:rsidRPr="003A0C5C">
              <w:rPr>
                <w:rFonts w:cs="Arial"/>
                <w:szCs w:val="16"/>
              </w:rPr>
              <w:t>1</w:t>
            </w:r>
          </w:p>
        </w:tc>
      </w:tr>
      <w:tr w:rsidR="003A0C5C" w:rsidRPr="003A0C5C" w14:paraId="1B3BCB53" w14:textId="77777777" w:rsidTr="00160F99">
        <w:trPr>
          <w:cantSplit/>
          <w:jc w:val="center"/>
        </w:trPr>
        <w:tc>
          <w:tcPr>
            <w:tcW w:w="8910" w:type="dxa"/>
            <w:gridSpan w:val="7"/>
            <w:shd w:val="clear" w:color="auto" w:fill="D9D9D9" w:themeFill="background1" w:themeFillShade="D9"/>
          </w:tcPr>
          <w:p w14:paraId="14A8651D" w14:textId="77777777" w:rsidR="00FF5E9B" w:rsidRPr="003A0C5C" w:rsidRDefault="00FF5E9B" w:rsidP="003C2FE6">
            <w:pPr>
              <w:pStyle w:val="Tablerowheading"/>
            </w:pPr>
            <w:r w:rsidRPr="003A0C5C">
              <w:t>Overlapping Phases</w:t>
            </w:r>
          </w:p>
        </w:tc>
      </w:tr>
      <w:tr w:rsidR="003A0C5C" w:rsidRPr="003A0C5C" w14:paraId="3D0A3F1A" w14:textId="77777777" w:rsidTr="00160F99">
        <w:trPr>
          <w:cantSplit/>
          <w:jc w:val="center"/>
        </w:trPr>
        <w:tc>
          <w:tcPr>
            <w:tcW w:w="5778" w:type="dxa"/>
            <w:tcBorders>
              <w:bottom w:val="single" w:sz="4" w:space="0" w:color="auto"/>
            </w:tcBorders>
          </w:tcPr>
          <w:p w14:paraId="5FF3F50F" w14:textId="31D86511" w:rsidR="00EF3F3B" w:rsidRPr="003A0C5C" w:rsidRDefault="00EF3F3B" w:rsidP="00EF3F3B">
            <w:pPr>
              <w:pStyle w:val="Tabletext"/>
              <w:keepNext/>
            </w:pPr>
            <w:r w:rsidRPr="003A0C5C">
              <w:t xml:space="preserve">Building Construction </w:t>
            </w:r>
            <w:r w:rsidR="0052663B" w:rsidRPr="003A0C5C">
              <w:t>–</w:t>
            </w:r>
            <w:r w:rsidRPr="003A0C5C">
              <w:t xml:space="preserve"> 2023 + Architectural Coatings </w:t>
            </w:r>
            <w:r w:rsidR="0052663B" w:rsidRPr="003A0C5C">
              <w:t>–</w:t>
            </w:r>
            <w:r w:rsidRPr="003A0C5C">
              <w:t xml:space="preserve"> 2023</w:t>
            </w:r>
            <w:r w:rsidR="00485E18" w:rsidRPr="003A0C5C">
              <w:t xml:space="preserve"> </w:t>
            </w:r>
            <w:r w:rsidRPr="003A0C5C">
              <w:t>+ Landscaping – 2023</w:t>
            </w:r>
          </w:p>
        </w:tc>
        <w:tc>
          <w:tcPr>
            <w:tcW w:w="0" w:type="auto"/>
            <w:tcBorders>
              <w:bottom w:val="single" w:sz="4" w:space="0" w:color="auto"/>
            </w:tcBorders>
            <w:shd w:val="clear" w:color="auto" w:fill="auto"/>
          </w:tcPr>
          <w:p w14:paraId="2D0D2C59" w14:textId="2099C0ED" w:rsidR="00EF3F3B" w:rsidRPr="003A0C5C" w:rsidRDefault="00EF3F3B" w:rsidP="00EF3F3B">
            <w:pPr>
              <w:pStyle w:val="Tabletext"/>
              <w:jc w:val="center"/>
              <w:rPr>
                <w:rFonts w:cs="Arial"/>
                <w:szCs w:val="16"/>
              </w:rPr>
            </w:pPr>
            <w:r w:rsidRPr="003A0C5C">
              <w:rPr>
                <w:rFonts w:cs="Arial"/>
                <w:szCs w:val="16"/>
              </w:rPr>
              <w:t>20</w:t>
            </w:r>
          </w:p>
        </w:tc>
        <w:tc>
          <w:tcPr>
            <w:tcW w:w="0" w:type="auto"/>
            <w:tcBorders>
              <w:bottom w:val="single" w:sz="4" w:space="0" w:color="auto"/>
            </w:tcBorders>
            <w:shd w:val="clear" w:color="auto" w:fill="auto"/>
          </w:tcPr>
          <w:p w14:paraId="6D6B1B62" w14:textId="529E3192" w:rsidR="00EF3F3B" w:rsidRPr="003A0C5C" w:rsidRDefault="00EF3F3B" w:rsidP="00EF3F3B">
            <w:pPr>
              <w:pStyle w:val="Tabletext"/>
              <w:jc w:val="center"/>
              <w:rPr>
                <w:rFonts w:cs="Arial"/>
                <w:szCs w:val="16"/>
              </w:rPr>
            </w:pPr>
            <w:r w:rsidRPr="003A0C5C">
              <w:rPr>
                <w:rFonts w:cs="Arial"/>
                <w:szCs w:val="16"/>
              </w:rPr>
              <w:t>33</w:t>
            </w:r>
          </w:p>
        </w:tc>
        <w:tc>
          <w:tcPr>
            <w:tcW w:w="0" w:type="auto"/>
            <w:tcBorders>
              <w:bottom w:val="single" w:sz="4" w:space="0" w:color="auto"/>
            </w:tcBorders>
            <w:shd w:val="clear" w:color="auto" w:fill="auto"/>
          </w:tcPr>
          <w:p w14:paraId="410682A0" w14:textId="551FFC0A" w:rsidR="00EF3F3B" w:rsidRPr="003A0C5C" w:rsidRDefault="00EF3F3B" w:rsidP="00EF3F3B">
            <w:pPr>
              <w:pStyle w:val="Tabletext"/>
              <w:jc w:val="center"/>
              <w:rPr>
                <w:rFonts w:cs="Arial"/>
                <w:szCs w:val="16"/>
              </w:rPr>
            </w:pPr>
            <w:r w:rsidRPr="003A0C5C">
              <w:rPr>
                <w:rFonts w:cs="Arial"/>
                <w:szCs w:val="16"/>
              </w:rPr>
              <w:t>49</w:t>
            </w:r>
          </w:p>
        </w:tc>
        <w:tc>
          <w:tcPr>
            <w:tcW w:w="0" w:type="auto"/>
            <w:tcBorders>
              <w:bottom w:val="single" w:sz="4" w:space="0" w:color="auto"/>
            </w:tcBorders>
            <w:shd w:val="clear" w:color="auto" w:fill="auto"/>
          </w:tcPr>
          <w:p w14:paraId="31CE1010" w14:textId="49E7C0C5" w:rsidR="00EF3F3B" w:rsidRPr="003A0C5C" w:rsidRDefault="00EF3F3B" w:rsidP="00EF3F3B">
            <w:pPr>
              <w:pStyle w:val="Tabletext"/>
              <w:jc w:val="center"/>
              <w:rPr>
                <w:rFonts w:cs="Arial"/>
                <w:szCs w:val="16"/>
              </w:rPr>
            </w:pPr>
            <w:r w:rsidRPr="003A0C5C">
              <w:rPr>
                <w:rFonts w:cs="Arial"/>
                <w:szCs w:val="16"/>
              </w:rPr>
              <w:t>&lt;1</w:t>
            </w:r>
          </w:p>
        </w:tc>
        <w:tc>
          <w:tcPr>
            <w:tcW w:w="0" w:type="auto"/>
            <w:tcBorders>
              <w:bottom w:val="single" w:sz="4" w:space="0" w:color="auto"/>
            </w:tcBorders>
            <w:shd w:val="clear" w:color="auto" w:fill="auto"/>
          </w:tcPr>
          <w:p w14:paraId="494B0AC8" w14:textId="24A3DB32" w:rsidR="00EF3F3B" w:rsidRPr="003A0C5C" w:rsidRDefault="00EF3F3B" w:rsidP="00EF3F3B">
            <w:pPr>
              <w:pStyle w:val="Tabletext"/>
              <w:jc w:val="center"/>
              <w:rPr>
                <w:rFonts w:cs="Arial"/>
                <w:szCs w:val="16"/>
              </w:rPr>
            </w:pPr>
            <w:r w:rsidRPr="003A0C5C">
              <w:rPr>
                <w:rFonts w:cs="Arial"/>
                <w:szCs w:val="16"/>
              </w:rPr>
              <w:t>2</w:t>
            </w:r>
          </w:p>
        </w:tc>
        <w:tc>
          <w:tcPr>
            <w:tcW w:w="0" w:type="auto"/>
            <w:tcBorders>
              <w:bottom w:val="single" w:sz="4" w:space="0" w:color="auto"/>
            </w:tcBorders>
            <w:shd w:val="clear" w:color="auto" w:fill="auto"/>
          </w:tcPr>
          <w:p w14:paraId="5EE973BF" w14:textId="14E31090" w:rsidR="00EF3F3B" w:rsidRPr="003A0C5C" w:rsidRDefault="00EF3F3B" w:rsidP="00EF3F3B">
            <w:pPr>
              <w:pStyle w:val="Tabletext"/>
              <w:jc w:val="center"/>
              <w:rPr>
                <w:rFonts w:cs="Arial"/>
                <w:szCs w:val="16"/>
              </w:rPr>
            </w:pPr>
            <w:r w:rsidRPr="003A0C5C">
              <w:rPr>
                <w:rFonts w:cs="Arial"/>
                <w:szCs w:val="16"/>
              </w:rPr>
              <w:t>2</w:t>
            </w:r>
          </w:p>
        </w:tc>
      </w:tr>
      <w:tr w:rsidR="003A0C5C" w:rsidRPr="003A0C5C" w14:paraId="6E53C981" w14:textId="77777777" w:rsidTr="00160F99">
        <w:trPr>
          <w:cantSplit/>
          <w:jc w:val="center"/>
        </w:trPr>
        <w:tc>
          <w:tcPr>
            <w:tcW w:w="5778" w:type="dxa"/>
            <w:tcBorders>
              <w:bottom w:val="single" w:sz="4" w:space="0" w:color="auto"/>
            </w:tcBorders>
          </w:tcPr>
          <w:p w14:paraId="4D23A4AE" w14:textId="763C88E9" w:rsidR="00EF3F3B" w:rsidRPr="003A0C5C" w:rsidRDefault="00EF3F3B" w:rsidP="00EF3F3B">
            <w:pPr>
              <w:pStyle w:val="Tabletext"/>
              <w:keepNext/>
            </w:pPr>
            <w:r w:rsidRPr="003A0C5C">
              <w:t xml:space="preserve">Building Construction </w:t>
            </w:r>
            <w:r w:rsidR="0052663B" w:rsidRPr="003A0C5C">
              <w:t>–</w:t>
            </w:r>
            <w:r w:rsidRPr="003A0C5C">
              <w:t xml:space="preserve"> 2024 + Paving </w:t>
            </w:r>
            <w:r w:rsidR="0052663B" w:rsidRPr="003A0C5C">
              <w:t>–</w:t>
            </w:r>
            <w:r w:rsidRPr="003A0C5C">
              <w:t xml:space="preserve"> 2024</w:t>
            </w:r>
            <w:r w:rsidR="00485E18" w:rsidRPr="003A0C5C">
              <w:t xml:space="preserve"> </w:t>
            </w:r>
            <w:r w:rsidRPr="003A0C5C">
              <w:t>+ Architectural Coating 2024 + Landscaping – 2024</w:t>
            </w:r>
          </w:p>
        </w:tc>
        <w:tc>
          <w:tcPr>
            <w:tcW w:w="0" w:type="auto"/>
            <w:tcBorders>
              <w:bottom w:val="single" w:sz="4" w:space="0" w:color="auto"/>
            </w:tcBorders>
            <w:shd w:val="clear" w:color="auto" w:fill="auto"/>
          </w:tcPr>
          <w:p w14:paraId="6B71980D" w14:textId="051B3F40" w:rsidR="00EF3F3B" w:rsidRPr="003A0C5C" w:rsidRDefault="00EF3F3B" w:rsidP="00EF3F3B">
            <w:pPr>
              <w:pStyle w:val="Tabletext"/>
              <w:jc w:val="center"/>
              <w:rPr>
                <w:rFonts w:cs="Arial"/>
                <w:szCs w:val="16"/>
              </w:rPr>
            </w:pPr>
            <w:r w:rsidRPr="003A0C5C">
              <w:rPr>
                <w:rFonts w:cs="Arial"/>
                <w:szCs w:val="16"/>
              </w:rPr>
              <w:t>21</w:t>
            </w:r>
          </w:p>
        </w:tc>
        <w:tc>
          <w:tcPr>
            <w:tcW w:w="0" w:type="auto"/>
            <w:tcBorders>
              <w:bottom w:val="single" w:sz="4" w:space="0" w:color="auto"/>
            </w:tcBorders>
            <w:shd w:val="clear" w:color="auto" w:fill="auto"/>
          </w:tcPr>
          <w:p w14:paraId="7FE319B0" w14:textId="14DD219F" w:rsidR="00EF3F3B" w:rsidRPr="003A0C5C" w:rsidRDefault="00EF3F3B" w:rsidP="00EF3F3B">
            <w:pPr>
              <w:pStyle w:val="Tabletext"/>
              <w:jc w:val="center"/>
              <w:rPr>
                <w:rFonts w:cs="Arial"/>
                <w:szCs w:val="16"/>
              </w:rPr>
            </w:pPr>
            <w:r w:rsidRPr="003A0C5C">
              <w:rPr>
                <w:rFonts w:cs="Arial"/>
                <w:szCs w:val="16"/>
              </w:rPr>
              <w:t>52</w:t>
            </w:r>
          </w:p>
        </w:tc>
        <w:tc>
          <w:tcPr>
            <w:tcW w:w="0" w:type="auto"/>
            <w:tcBorders>
              <w:bottom w:val="single" w:sz="4" w:space="0" w:color="auto"/>
            </w:tcBorders>
            <w:shd w:val="clear" w:color="auto" w:fill="auto"/>
          </w:tcPr>
          <w:p w14:paraId="465D7597" w14:textId="025F90D4" w:rsidR="00EF3F3B" w:rsidRPr="003A0C5C" w:rsidRDefault="00EF3F3B" w:rsidP="00EF3F3B">
            <w:pPr>
              <w:pStyle w:val="Tabletext"/>
              <w:jc w:val="center"/>
              <w:rPr>
                <w:rFonts w:cs="Arial"/>
                <w:szCs w:val="16"/>
              </w:rPr>
            </w:pPr>
            <w:r w:rsidRPr="003A0C5C">
              <w:rPr>
                <w:rFonts w:cs="Arial"/>
                <w:szCs w:val="16"/>
              </w:rPr>
              <w:t>77</w:t>
            </w:r>
          </w:p>
        </w:tc>
        <w:tc>
          <w:tcPr>
            <w:tcW w:w="0" w:type="auto"/>
            <w:tcBorders>
              <w:bottom w:val="single" w:sz="4" w:space="0" w:color="auto"/>
            </w:tcBorders>
            <w:shd w:val="clear" w:color="auto" w:fill="auto"/>
          </w:tcPr>
          <w:p w14:paraId="0A74F70D" w14:textId="2F0ADA18" w:rsidR="00EF3F3B" w:rsidRPr="003A0C5C" w:rsidRDefault="00EF3F3B" w:rsidP="00EF3F3B">
            <w:pPr>
              <w:pStyle w:val="Tabletext"/>
              <w:jc w:val="center"/>
              <w:rPr>
                <w:rFonts w:cs="Arial"/>
                <w:szCs w:val="16"/>
              </w:rPr>
            </w:pPr>
            <w:r w:rsidRPr="003A0C5C">
              <w:rPr>
                <w:rFonts w:cs="Arial"/>
                <w:szCs w:val="16"/>
              </w:rPr>
              <w:t>&lt;1</w:t>
            </w:r>
          </w:p>
        </w:tc>
        <w:tc>
          <w:tcPr>
            <w:tcW w:w="0" w:type="auto"/>
            <w:tcBorders>
              <w:bottom w:val="single" w:sz="4" w:space="0" w:color="auto"/>
            </w:tcBorders>
            <w:shd w:val="clear" w:color="auto" w:fill="auto"/>
          </w:tcPr>
          <w:p w14:paraId="4436755B" w14:textId="2743D41B" w:rsidR="00EF3F3B" w:rsidRPr="003A0C5C" w:rsidRDefault="00EF3F3B" w:rsidP="00EF3F3B">
            <w:pPr>
              <w:pStyle w:val="Tabletext"/>
              <w:jc w:val="center"/>
              <w:rPr>
                <w:rFonts w:cs="Arial"/>
                <w:szCs w:val="16"/>
              </w:rPr>
            </w:pPr>
            <w:r w:rsidRPr="003A0C5C">
              <w:rPr>
                <w:rFonts w:cs="Arial"/>
                <w:szCs w:val="16"/>
              </w:rPr>
              <w:t>3</w:t>
            </w:r>
          </w:p>
        </w:tc>
        <w:tc>
          <w:tcPr>
            <w:tcW w:w="0" w:type="auto"/>
            <w:tcBorders>
              <w:bottom w:val="single" w:sz="4" w:space="0" w:color="auto"/>
            </w:tcBorders>
            <w:shd w:val="clear" w:color="auto" w:fill="auto"/>
          </w:tcPr>
          <w:p w14:paraId="7840F068" w14:textId="503392D1" w:rsidR="00EF3F3B" w:rsidRPr="003A0C5C" w:rsidRDefault="00EF3F3B" w:rsidP="00EF3F3B">
            <w:pPr>
              <w:pStyle w:val="Tabletext"/>
              <w:jc w:val="center"/>
              <w:rPr>
                <w:rFonts w:cs="Arial"/>
                <w:szCs w:val="16"/>
              </w:rPr>
            </w:pPr>
            <w:r w:rsidRPr="003A0C5C">
              <w:rPr>
                <w:rFonts w:cs="Arial"/>
                <w:szCs w:val="16"/>
              </w:rPr>
              <w:t>2</w:t>
            </w:r>
          </w:p>
        </w:tc>
      </w:tr>
      <w:tr w:rsidR="003A0C5C" w:rsidRPr="003A0C5C" w14:paraId="62A81247" w14:textId="77777777" w:rsidTr="00160F99">
        <w:trPr>
          <w:cantSplit/>
          <w:jc w:val="center"/>
        </w:trPr>
        <w:tc>
          <w:tcPr>
            <w:tcW w:w="5778" w:type="dxa"/>
            <w:tcBorders>
              <w:bottom w:val="single" w:sz="4" w:space="0" w:color="auto"/>
            </w:tcBorders>
          </w:tcPr>
          <w:p w14:paraId="1F66404B" w14:textId="0B5D4E6E" w:rsidR="00EF3F3B" w:rsidRPr="003A0C5C" w:rsidRDefault="00EF3F3B" w:rsidP="00EF3F3B">
            <w:pPr>
              <w:pStyle w:val="Tabletext"/>
              <w:keepNext/>
            </w:pPr>
            <w:r w:rsidRPr="003A0C5C">
              <w:t xml:space="preserve">Building Construction </w:t>
            </w:r>
            <w:r w:rsidR="0052663B" w:rsidRPr="003A0C5C">
              <w:t>–</w:t>
            </w:r>
            <w:r w:rsidRPr="003A0C5C">
              <w:t xml:space="preserve"> 2024 + Architectural Coating 2024 + Landscaping – 2024</w:t>
            </w:r>
          </w:p>
        </w:tc>
        <w:tc>
          <w:tcPr>
            <w:tcW w:w="0" w:type="auto"/>
            <w:tcBorders>
              <w:bottom w:val="single" w:sz="4" w:space="0" w:color="auto"/>
            </w:tcBorders>
            <w:shd w:val="clear" w:color="auto" w:fill="auto"/>
          </w:tcPr>
          <w:p w14:paraId="30BD3C69" w14:textId="0216266D" w:rsidR="00EF3F3B" w:rsidRPr="003A0C5C" w:rsidRDefault="00EF3F3B" w:rsidP="00EF3F3B">
            <w:pPr>
              <w:pStyle w:val="Tabletext"/>
              <w:jc w:val="center"/>
              <w:rPr>
                <w:rFonts w:cs="Arial"/>
                <w:szCs w:val="16"/>
              </w:rPr>
            </w:pPr>
            <w:r w:rsidRPr="003A0C5C">
              <w:rPr>
                <w:rFonts w:cs="Arial"/>
                <w:szCs w:val="16"/>
              </w:rPr>
              <w:t>19</w:t>
            </w:r>
          </w:p>
        </w:tc>
        <w:tc>
          <w:tcPr>
            <w:tcW w:w="0" w:type="auto"/>
            <w:tcBorders>
              <w:bottom w:val="single" w:sz="4" w:space="0" w:color="auto"/>
            </w:tcBorders>
            <w:shd w:val="clear" w:color="auto" w:fill="auto"/>
          </w:tcPr>
          <w:p w14:paraId="66C366B4" w14:textId="39A39DDD" w:rsidR="00EF3F3B" w:rsidRPr="003A0C5C" w:rsidRDefault="00EF3F3B" w:rsidP="00EF3F3B">
            <w:pPr>
              <w:pStyle w:val="Tabletext"/>
              <w:jc w:val="center"/>
              <w:rPr>
                <w:rFonts w:cs="Arial"/>
                <w:szCs w:val="16"/>
              </w:rPr>
            </w:pPr>
            <w:r w:rsidRPr="003A0C5C">
              <w:rPr>
                <w:rFonts w:cs="Arial"/>
                <w:szCs w:val="16"/>
              </w:rPr>
              <w:t>31</w:t>
            </w:r>
          </w:p>
        </w:tc>
        <w:tc>
          <w:tcPr>
            <w:tcW w:w="0" w:type="auto"/>
            <w:tcBorders>
              <w:bottom w:val="single" w:sz="4" w:space="0" w:color="auto"/>
            </w:tcBorders>
            <w:shd w:val="clear" w:color="auto" w:fill="auto"/>
          </w:tcPr>
          <w:p w14:paraId="7147EA12" w14:textId="54EBF210" w:rsidR="00EF3F3B" w:rsidRPr="003A0C5C" w:rsidRDefault="00EF3F3B" w:rsidP="00EF3F3B">
            <w:pPr>
              <w:pStyle w:val="Tabletext"/>
              <w:jc w:val="center"/>
              <w:rPr>
                <w:rFonts w:cs="Arial"/>
                <w:szCs w:val="16"/>
              </w:rPr>
            </w:pPr>
            <w:r w:rsidRPr="003A0C5C">
              <w:rPr>
                <w:rFonts w:cs="Arial"/>
                <w:szCs w:val="16"/>
              </w:rPr>
              <w:t>48</w:t>
            </w:r>
          </w:p>
        </w:tc>
        <w:tc>
          <w:tcPr>
            <w:tcW w:w="0" w:type="auto"/>
            <w:tcBorders>
              <w:bottom w:val="single" w:sz="4" w:space="0" w:color="auto"/>
            </w:tcBorders>
            <w:shd w:val="clear" w:color="auto" w:fill="auto"/>
          </w:tcPr>
          <w:p w14:paraId="6EEB96D8" w14:textId="524085B1" w:rsidR="00EF3F3B" w:rsidRPr="003A0C5C" w:rsidRDefault="00EF3F3B" w:rsidP="00EF3F3B">
            <w:pPr>
              <w:pStyle w:val="Tabletext"/>
              <w:jc w:val="center"/>
              <w:rPr>
                <w:rFonts w:cs="Arial"/>
                <w:szCs w:val="16"/>
              </w:rPr>
            </w:pPr>
            <w:r w:rsidRPr="003A0C5C">
              <w:rPr>
                <w:rFonts w:cs="Arial"/>
                <w:szCs w:val="16"/>
              </w:rPr>
              <w:t>&lt;1</w:t>
            </w:r>
          </w:p>
        </w:tc>
        <w:tc>
          <w:tcPr>
            <w:tcW w:w="0" w:type="auto"/>
            <w:tcBorders>
              <w:bottom w:val="single" w:sz="4" w:space="0" w:color="auto"/>
            </w:tcBorders>
            <w:shd w:val="clear" w:color="auto" w:fill="auto"/>
          </w:tcPr>
          <w:p w14:paraId="5F06C24B" w14:textId="412EF29F" w:rsidR="00EF3F3B" w:rsidRPr="003A0C5C" w:rsidRDefault="00EF3F3B" w:rsidP="00EF3F3B">
            <w:pPr>
              <w:pStyle w:val="Tabletext"/>
              <w:jc w:val="center"/>
              <w:rPr>
                <w:rFonts w:cs="Arial"/>
                <w:szCs w:val="16"/>
              </w:rPr>
            </w:pPr>
            <w:r w:rsidRPr="003A0C5C">
              <w:rPr>
                <w:rFonts w:cs="Arial"/>
                <w:szCs w:val="16"/>
              </w:rPr>
              <w:t>2</w:t>
            </w:r>
          </w:p>
        </w:tc>
        <w:tc>
          <w:tcPr>
            <w:tcW w:w="0" w:type="auto"/>
            <w:tcBorders>
              <w:bottom w:val="single" w:sz="4" w:space="0" w:color="auto"/>
            </w:tcBorders>
            <w:shd w:val="clear" w:color="auto" w:fill="auto"/>
          </w:tcPr>
          <w:p w14:paraId="2158B1C2" w14:textId="4FA1C9FC" w:rsidR="00EF3F3B" w:rsidRPr="003A0C5C" w:rsidRDefault="00EF3F3B" w:rsidP="00EF3F3B">
            <w:pPr>
              <w:pStyle w:val="Tabletext"/>
              <w:jc w:val="center"/>
              <w:rPr>
                <w:rFonts w:cs="Arial"/>
                <w:szCs w:val="16"/>
              </w:rPr>
            </w:pPr>
            <w:r w:rsidRPr="003A0C5C">
              <w:rPr>
                <w:rFonts w:cs="Arial"/>
                <w:szCs w:val="16"/>
              </w:rPr>
              <w:t>1</w:t>
            </w:r>
          </w:p>
        </w:tc>
      </w:tr>
      <w:tr w:rsidR="003A0C5C" w:rsidRPr="003A0C5C" w14:paraId="114C7BB3" w14:textId="77777777" w:rsidTr="00160F99">
        <w:trPr>
          <w:cantSplit/>
          <w:jc w:val="center"/>
        </w:trPr>
        <w:tc>
          <w:tcPr>
            <w:tcW w:w="5778" w:type="dxa"/>
            <w:tcBorders>
              <w:top w:val="single" w:sz="4" w:space="0" w:color="auto"/>
              <w:bottom w:val="nil"/>
            </w:tcBorders>
            <w:shd w:val="clear" w:color="auto" w:fill="FFFFFF" w:themeFill="background1"/>
          </w:tcPr>
          <w:p w14:paraId="64D20D79" w14:textId="77777777" w:rsidR="00EF3F3B" w:rsidRPr="003A0C5C" w:rsidRDefault="00EF3F3B" w:rsidP="00EF3F3B">
            <w:pPr>
              <w:pStyle w:val="Tabletext"/>
              <w:keepNext/>
              <w:rPr>
                <w:rStyle w:val="BoldItalic"/>
              </w:rPr>
            </w:pPr>
            <w:r w:rsidRPr="003A0C5C">
              <w:rPr>
                <w:rStyle w:val="BoldItalic"/>
              </w:rPr>
              <w:t>Maximum Daily Regional Emissions</w:t>
            </w:r>
          </w:p>
        </w:tc>
        <w:tc>
          <w:tcPr>
            <w:tcW w:w="0" w:type="auto"/>
            <w:tcBorders>
              <w:top w:val="single" w:sz="4" w:space="0" w:color="auto"/>
              <w:bottom w:val="nil"/>
            </w:tcBorders>
            <w:shd w:val="clear" w:color="auto" w:fill="FFFFFF" w:themeFill="background1"/>
          </w:tcPr>
          <w:p w14:paraId="695BD96F" w14:textId="6F4F5517" w:rsidR="00EF3F3B" w:rsidRPr="003A0C5C" w:rsidRDefault="00EF3F3B" w:rsidP="00EF3F3B">
            <w:pPr>
              <w:pStyle w:val="Tabletext"/>
              <w:jc w:val="center"/>
              <w:rPr>
                <w:rStyle w:val="BoldItalic"/>
                <w:b w:val="0"/>
                <w:bCs/>
              </w:rPr>
            </w:pPr>
            <w:r w:rsidRPr="003A0C5C">
              <w:rPr>
                <w:rStyle w:val="BoldItalic"/>
              </w:rPr>
              <w:t>21</w:t>
            </w:r>
          </w:p>
        </w:tc>
        <w:tc>
          <w:tcPr>
            <w:tcW w:w="0" w:type="auto"/>
            <w:tcBorders>
              <w:top w:val="single" w:sz="4" w:space="0" w:color="auto"/>
              <w:bottom w:val="nil"/>
            </w:tcBorders>
            <w:shd w:val="clear" w:color="auto" w:fill="FFFFFF" w:themeFill="background1"/>
          </w:tcPr>
          <w:p w14:paraId="03B1688B" w14:textId="7AB2344A" w:rsidR="00EF3F3B" w:rsidRPr="003A0C5C" w:rsidRDefault="00EF3F3B" w:rsidP="00EF3F3B">
            <w:pPr>
              <w:pStyle w:val="Tabletext"/>
              <w:jc w:val="center"/>
              <w:rPr>
                <w:rStyle w:val="BoldItalic"/>
                <w:b w:val="0"/>
                <w:bCs/>
              </w:rPr>
            </w:pPr>
            <w:r w:rsidRPr="003A0C5C">
              <w:rPr>
                <w:rStyle w:val="BoldItalic"/>
              </w:rPr>
              <w:t>60</w:t>
            </w:r>
          </w:p>
        </w:tc>
        <w:tc>
          <w:tcPr>
            <w:tcW w:w="0" w:type="auto"/>
            <w:tcBorders>
              <w:top w:val="single" w:sz="4" w:space="0" w:color="auto"/>
              <w:bottom w:val="nil"/>
            </w:tcBorders>
            <w:shd w:val="clear" w:color="auto" w:fill="FFFFFF" w:themeFill="background1"/>
          </w:tcPr>
          <w:p w14:paraId="48046194" w14:textId="218CEAFA" w:rsidR="00EF3F3B" w:rsidRPr="003A0C5C" w:rsidRDefault="00EF3F3B" w:rsidP="00EF3F3B">
            <w:pPr>
              <w:pStyle w:val="Tabletext"/>
              <w:jc w:val="center"/>
              <w:rPr>
                <w:rStyle w:val="BoldItalic"/>
                <w:b w:val="0"/>
                <w:bCs/>
              </w:rPr>
            </w:pPr>
            <w:r w:rsidRPr="003A0C5C">
              <w:rPr>
                <w:rStyle w:val="BoldItalic"/>
              </w:rPr>
              <w:t>77</w:t>
            </w:r>
          </w:p>
        </w:tc>
        <w:tc>
          <w:tcPr>
            <w:tcW w:w="0" w:type="auto"/>
            <w:tcBorders>
              <w:top w:val="single" w:sz="4" w:space="0" w:color="auto"/>
              <w:bottom w:val="nil"/>
            </w:tcBorders>
            <w:shd w:val="clear" w:color="auto" w:fill="FFFFFF" w:themeFill="background1"/>
          </w:tcPr>
          <w:p w14:paraId="6B2056BC" w14:textId="35B24C45" w:rsidR="00EF3F3B" w:rsidRPr="003A0C5C" w:rsidRDefault="00EF3F3B" w:rsidP="00EF3F3B">
            <w:pPr>
              <w:pStyle w:val="Tabletext"/>
              <w:jc w:val="center"/>
              <w:rPr>
                <w:rStyle w:val="BoldItalic"/>
                <w:b w:val="0"/>
                <w:bCs/>
              </w:rPr>
            </w:pPr>
            <w:r w:rsidRPr="003A0C5C">
              <w:rPr>
                <w:rFonts w:cs="Arial"/>
                <w:b/>
                <w:i/>
                <w:szCs w:val="16"/>
              </w:rPr>
              <w:t>&lt;1</w:t>
            </w:r>
          </w:p>
        </w:tc>
        <w:tc>
          <w:tcPr>
            <w:tcW w:w="0" w:type="auto"/>
            <w:tcBorders>
              <w:top w:val="single" w:sz="4" w:space="0" w:color="auto"/>
              <w:bottom w:val="nil"/>
            </w:tcBorders>
            <w:shd w:val="clear" w:color="auto" w:fill="FFFFFF" w:themeFill="background1"/>
          </w:tcPr>
          <w:p w14:paraId="52AC60AF" w14:textId="361F4878" w:rsidR="00EF3F3B" w:rsidRPr="003A0C5C" w:rsidRDefault="00EF3F3B" w:rsidP="00EF3F3B">
            <w:pPr>
              <w:pStyle w:val="Tabletext"/>
              <w:jc w:val="center"/>
              <w:rPr>
                <w:rStyle w:val="BoldItalic"/>
                <w:b w:val="0"/>
                <w:bCs/>
              </w:rPr>
            </w:pPr>
            <w:r w:rsidRPr="003A0C5C">
              <w:rPr>
                <w:rStyle w:val="BoldItalic"/>
              </w:rPr>
              <w:t>5</w:t>
            </w:r>
          </w:p>
        </w:tc>
        <w:tc>
          <w:tcPr>
            <w:tcW w:w="0" w:type="auto"/>
            <w:tcBorders>
              <w:top w:val="single" w:sz="4" w:space="0" w:color="auto"/>
              <w:bottom w:val="nil"/>
            </w:tcBorders>
            <w:shd w:val="clear" w:color="auto" w:fill="FFFFFF" w:themeFill="background1"/>
          </w:tcPr>
          <w:p w14:paraId="3A05F31D" w14:textId="692C00A7" w:rsidR="00EF3F3B" w:rsidRPr="003A0C5C" w:rsidRDefault="00EF3F3B" w:rsidP="00EF3F3B">
            <w:pPr>
              <w:pStyle w:val="Tabletext"/>
              <w:jc w:val="center"/>
              <w:rPr>
                <w:rStyle w:val="BoldItalic"/>
                <w:b w:val="0"/>
                <w:bCs/>
              </w:rPr>
            </w:pPr>
            <w:r w:rsidRPr="003A0C5C">
              <w:rPr>
                <w:rStyle w:val="BoldItalic"/>
              </w:rPr>
              <w:t>2</w:t>
            </w:r>
          </w:p>
        </w:tc>
      </w:tr>
      <w:tr w:rsidR="003A0C5C" w:rsidRPr="003A0C5C" w14:paraId="1B2BED9C" w14:textId="77777777" w:rsidTr="00160F99">
        <w:trPr>
          <w:cantSplit/>
          <w:jc w:val="center"/>
        </w:trPr>
        <w:tc>
          <w:tcPr>
            <w:tcW w:w="5778" w:type="dxa"/>
            <w:tcBorders>
              <w:top w:val="nil"/>
            </w:tcBorders>
          </w:tcPr>
          <w:p w14:paraId="3E32458A" w14:textId="77777777" w:rsidR="00FF5E9B" w:rsidRPr="003A0C5C" w:rsidRDefault="00FF5E9B" w:rsidP="003C2FE6">
            <w:pPr>
              <w:pStyle w:val="Tabletext"/>
              <w:keepNext/>
            </w:pPr>
            <w:r w:rsidRPr="003A0C5C">
              <w:t>SCAQMD Regional Threshold</w:t>
            </w:r>
          </w:p>
        </w:tc>
        <w:tc>
          <w:tcPr>
            <w:tcW w:w="0" w:type="auto"/>
            <w:tcBorders>
              <w:top w:val="nil"/>
            </w:tcBorders>
          </w:tcPr>
          <w:p w14:paraId="29A28BDC" w14:textId="77777777" w:rsidR="00FF5E9B" w:rsidRPr="003A0C5C" w:rsidRDefault="00FF5E9B" w:rsidP="003C2FE6">
            <w:pPr>
              <w:pStyle w:val="Tabletext"/>
              <w:jc w:val="center"/>
            </w:pPr>
            <w:r w:rsidRPr="003A0C5C">
              <w:t>75</w:t>
            </w:r>
          </w:p>
        </w:tc>
        <w:tc>
          <w:tcPr>
            <w:tcW w:w="0" w:type="auto"/>
            <w:tcBorders>
              <w:top w:val="nil"/>
            </w:tcBorders>
          </w:tcPr>
          <w:p w14:paraId="5BDC50C2" w14:textId="77777777" w:rsidR="00FF5E9B" w:rsidRPr="003A0C5C" w:rsidRDefault="00FF5E9B" w:rsidP="003C2FE6">
            <w:pPr>
              <w:pStyle w:val="Tabletext"/>
              <w:jc w:val="center"/>
            </w:pPr>
            <w:r w:rsidRPr="003A0C5C">
              <w:t>100</w:t>
            </w:r>
          </w:p>
        </w:tc>
        <w:tc>
          <w:tcPr>
            <w:tcW w:w="0" w:type="auto"/>
            <w:tcBorders>
              <w:top w:val="nil"/>
            </w:tcBorders>
          </w:tcPr>
          <w:p w14:paraId="2E131A83" w14:textId="77777777" w:rsidR="00FF5E9B" w:rsidRPr="003A0C5C" w:rsidRDefault="00FF5E9B" w:rsidP="003C2FE6">
            <w:pPr>
              <w:pStyle w:val="Tabletext"/>
              <w:jc w:val="center"/>
            </w:pPr>
            <w:r w:rsidRPr="003A0C5C">
              <w:t>550</w:t>
            </w:r>
          </w:p>
        </w:tc>
        <w:tc>
          <w:tcPr>
            <w:tcW w:w="0" w:type="auto"/>
            <w:tcBorders>
              <w:top w:val="nil"/>
            </w:tcBorders>
          </w:tcPr>
          <w:p w14:paraId="2DECECFB" w14:textId="77777777" w:rsidR="00FF5E9B" w:rsidRPr="003A0C5C" w:rsidRDefault="00FF5E9B" w:rsidP="003C2FE6">
            <w:pPr>
              <w:pStyle w:val="Tabletext"/>
              <w:jc w:val="center"/>
            </w:pPr>
            <w:r w:rsidRPr="003A0C5C">
              <w:t>150</w:t>
            </w:r>
          </w:p>
        </w:tc>
        <w:tc>
          <w:tcPr>
            <w:tcW w:w="0" w:type="auto"/>
            <w:tcBorders>
              <w:top w:val="nil"/>
            </w:tcBorders>
          </w:tcPr>
          <w:p w14:paraId="754C2768" w14:textId="77777777" w:rsidR="00FF5E9B" w:rsidRPr="003A0C5C" w:rsidRDefault="00FF5E9B" w:rsidP="003C2FE6">
            <w:pPr>
              <w:pStyle w:val="Tabletext"/>
              <w:jc w:val="center"/>
            </w:pPr>
            <w:r w:rsidRPr="003A0C5C">
              <w:t>150</w:t>
            </w:r>
          </w:p>
        </w:tc>
        <w:tc>
          <w:tcPr>
            <w:tcW w:w="0" w:type="auto"/>
            <w:tcBorders>
              <w:top w:val="nil"/>
            </w:tcBorders>
          </w:tcPr>
          <w:p w14:paraId="0590B2E7" w14:textId="77777777" w:rsidR="00FF5E9B" w:rsidRPr="003A0C5C" w:rsidRDefault="00FF5E9B" w:rsidP="003C2FE6">
            <w:pPr>
              <w:pStyle w:val="Tabletext"/>
              <w:jc w:val="center"/>
            </w:pPr>
            <w:r w:rsidRPr="003A0C5C">
              <w:t>55</w:t>
            </w:r>
          </w:p>
        </w:tc>
      </w:tr>
      <w:tr w:rsidR="003A0C5C" w:rsidRPr="003A0C5C" w14:paraId="078F2F0E" w14:textId="77777777" w:rsidTr="00160F99">
        <w:trPr>
          <w:cantSplit/>
          <w:jc w:val="center"/>
        </w:trPr>
        <w:tc>
          <w:tcPr>
            <w:tcW w:w="5778" w:type="dxa"/>
            <w:tcBorders>
              <w:bottom w:val="single" w:sz="4" w:space="0" w:color="auto"/>
            </w:tcBorders>
          </w:tcPr>
          <w:p w14:paraId="7F473B28" w14:textId="77777777" w:rsidR="00FF5E9B" w:rsidRPr="003A0C5C" w:rsidRDefault="00FF5E9B" w:rsidP="003C2FE6">
            <w:pPr>
              <w:pStyle w:val="Tabletext"/>
              <w:keepNext/>
            </w:pPr>
            <w:r w:rsidRPr="003A0C5C">
              <w:t>Threshold Exceeded?</w:t>
            </w:r>
          </w:p>
        </w:tc>
        <w:tc>
          <w:tcPr>
            <w:tcW w:w="0" w:type="auto"/>
            <w:tcBorders>
              <w:bottom w:val="single" w:sz="4" w:space="0" w:color="auto"/>
            </w:tcBorders>
          </w:tcPr>
          <w:p w14:paraId="6AB5644A" w14:textId="77777777" w:rsidR="00FF5E9B" w:rsidRPr="003A0C5C" w:rsidRDefault="00FF5E9B" w:rsidP="003C2FE6">
            <w:pPr>
              <w:pStyle w:val="Tabletext"/>
              <w:jc w:val="center"/>
            </w:pPr>
            <w:r w:rsidRPr="003A0C5C">
              <w:t>No</w:t>
            </w:r>
          </w:p>
        </w:tc>
        <w:tc>
          <w:tcPr>
            <w:tcW w:w="0" w:type="auto"/>
            <w:tcBorders>
              <w:bottom w:val="single" w:sz="4" w:space="0" w:color="auto"/>
            </w:tcBorders>
          </w:tcPr>
          <w:p w14:paraId="4BD56757" w14:textId="77777777" w:rsidR="00FF5E9B" w:rsidRPr="003A0C5C" w:rsidRDefault="00FF5E9B" w:rsidP="003C2FE6">
            <w:pPr>
              <w:pStyle w:val="Tabletext"/>
              <w:jc w:val="center"/>
            </w:pPr>
            <w:r w:rsidRPr="003A0C5C">
              <w:t>No</w:t>
            </w:r>
          </w:p>
        </w:tc>
        <w:tc>
          <w:tcPr>
            <w:tcW w:w="0" w:type="auto"/>
            <w:tcBorders>
              <w:bottom w:val="single" w:sz="4" w:space="0" w:color="auto"/>
            </w:tcBorders>
          </w:tcPr>
          <w:p w14:paraId="54EA4321" w14:textId="77777777" w:rsidR="00FF5E9B" w:rsidRPr="003A0C5C" w:rsidRDefault="00FF5E9B" w:rsidP="003C2FE6">
            <w:pPr>
              <w:pStyle w:val="Tabletext"/>
              <w:jc w:val="center"/>
            </w:pPr>
            <w:r w:rsidRPr="003A0C5C">
              <w:t>No</w:t>
            </w:r>
          </w:p>
        </w:tc>
        <w:tc>
          <w:tcPr>
            <w:tcW w:w="0" w:type="auto"/>
            <w:tcBorders>
              <w:bottom w:val="single" w:sz="4" w:space="0" w:color="auto"/>
            </w:tcBorders>
          </w:tcPr>
          <w:p w14:paraId="3A1E309D" w14:textId="77777777" w:rsidR="00FF5E9B" w:rsidRPr="003A0C5C" w:rsidRDefault="00FF5E9B" w:rsidP="003C2FE6">
            <w:pPr>
              <w:pStyle w:val="Tabletext"/>
              <w:jc w:val="center"/>
            </w:pPr>
            <w:r w:rsidRPr="003A0C5C">
              <w:t>No</w:t>
            </w:r>
          </w:p>
        </w:tc>
        <w:tc>
          <w:tcPr>
            <w:tcW w:w="0" w:type="auto"/>
            <w:tcBorders>
              <w:bottom w:val="single" w:sz="4" w:space="0" w:color="auto"/>
            </w:tcBorders>
          </w:tcPr>
          <w:p w14:paraId="333BD8E5" w14:textId="77777777" w:rsidR="00FF5E9B" w:rsidRPr="003A0C5C" w:rsidRDefault="00FF5E9B" w:rsidP="003C2FE6">
            <w:pPr>
              <w:pStyle w:val="Tabletext"/>
              <w:jc w:val="center"/>
            </w:pPr>
            <w:r w:rsidRPr="003A0C5C">
              <w:t>No</w:t>
            </w:r>
          </w:p>
        </w:tc>
        <w:tc>
          <w:tcPr>
            <w:tcW w:w="0" w:type="auto"/>
            <w:tcBorders>
              <w:bottom w:val="single" w:sz="4" w:space="0" w:color="auto"/>
            </w:tcBorders>
          </w:tcPr>
          <w:p w14:paraId="19FC8536" w14:textId="77777777" w:rsidR="00FF5E9B" w:rsidRPr="003A0C5C" w:rsidRDefault="00FF5E9B" w:rsidP="003C2FE6">
            <w:pPr>
              <w:pStyle w:val="Tabletext"/>
              <w:jc w:val="center"/>
            </w:pPr>
            <w:r w:rsidRPr="003A0C5C">
              <w:t>No</w:t>
            </w:r>
          </w:p>
        </w:tc>
      </w:tr>
      <w:tr w:rsidR="00FF5E9B" w:rsidRPr="003A0C5C" w14:paraId="3C6CBEA6" w14:textId="77777777" w:rsidTr="00160F99">
        <w:trPr>
          <w:cantSplit/>
          <w:jc w:val="center"/>
        </w:trPr>
        <w:tc>
          <w:tcPr>
            <w:tcW w:w="8910" w:type="dxa"/>
            <w:gridSpan w:val="7"/>
            <w:tcBorders>
              <w:top w:val="single" w:sz="4" w:space="0" w:color="auto"/>
              <w:bottom w:val="single" w:sz="4" w:space="0" w:color="auto"/>
            </w:tcBorders>
          </w:tcPr>
          <w:p w14:paraId="1B0CD5AC" w14:textId="77777777" w:rsidR="00FF5E9B" w:rsidRPr="003A0C5C" w:rsidRDefault="00FF5E9B" w:rsidP="00A52381">
            <w:pPr>
              <w:pStyle w:val="TableNotes"/>
              <w:spacing w:before="120"/>
            </w:pPr>
            <w:r w:rsidRPr="003A0C5C">
              <w:t>NOTE:</w:t>
            </w:r>
          </w:p>
          <w:p w14:paraId="566DFA0E" w14:textId="351FA635" w:rsidR="00FF5E9B" w:rsidRPr="003A0C5C" w:rsidRDefault="00FF5E9B" w:rsidP="00A52381">
            <w:pPr>
              <w:pStyle w:val="TableNotes"/>
              <w:spacing w:before="60" w:after="60"/>
            </w:pPr>
            <w:r w:rsidRPr="003A0C5C">
              <w:t xml:space="preserve">Totals may not add up exactly due to rounding in the modeling calculations. </w:t>
            </w:r>
            <w:r w:rsidR="00DE6129" w:rsidRPr="003A0C5C">
              <w:t>Refer to</w:t>
            </w:r>
            <w:r w:rsidRPr="003A0C5C">
              <w:t xml:space="preserve"> </w:t>
            </w:r>
            <w:r w:rsidRPr="003A0C5C">
              <w:rPr>
                <w:b/>
                <w:bCs/>
              </w:rPr>
              <w:t>Appendix A</w:t>
            </w:r>
            <w:r w:rsidRPr="003A0C5C">
              <w:t xml:space="preserve"> </w:t>
            </w:r>
            <w:r w:rsidR="00DE6129" w:rsidRPr="003A0C5C">
              <w:t xml:space="preserve">of this IS/MND </w:t>
            </w:r>
            <w:r w:rsidRPr="003A0C5C">
              <w:t>for details.</w:t>
            </w:r>
          </w:p>
          <w:p w14:paraId="541ECB5E" w14:textId="453D74A7" w:rsidR="00FF5E9B" w:rsidRPr="003A0C5C" w:rsidRDefault="00FF5E9B" w:rsidP="00A52381">
            <w:pPr>
              <w:pStyle w:val="TableSource"/>
              <w:spacing w:after="120"/>
              <w:rPr>
                <w:w w:val="99"/>
              </w:rPr>
            </w:pPr>
            <w:r w:rsidRPr="003A0C5C">
              <w:t>SOURCE:</w:t>
            </w:r>
            <w:r w:rsidRPr="003A0C5C">
              <w:tab/>
              <w:t xml:space="preserve">ESA </w:t>
            </w:r>
            <w:r w:rsidR="00E653B4" w:rsidRPr="003A0C5C">
              <w:t>2022</w:t>
            </w:r>
          </w:p>
        </w:tc>
      </w:tr>
    </w:tbl>
    <w:p w14:paraId="32DAB68E" w14:textId="77777777" w:rsidR="00FF5E9B" w:rsidRPr="003A0C5C" w:rsidRDefault="00FF5E9B" w:rsidP="00FF5E9B">
      <w:pPr>
        <w:pStyle w:val="TableSource"/>
        <w:rPr>
          <w:highlight w:val="yellow"/>
        </w:rPr>
      </w:pPr>
    </w:p>
    <w:p w14:paraId="0B9A2DAC" w14:textId="77777777" w:rsidR="00FF5E9B" w:rsidRPr="003A0C5C" w:rsidRDefault="00FF5E9B" w:rsidP="00FF5E9B">
      <w:pPr>
        <w:pStyle w:val="Heading6"/>
        <w:ind w:left="720"/>
        <w:rPr>
          <w:bCs/>
        </w:rPr>
      </w:pPr>
      <w:r w:rsidRPr="003A0C5C">
        <w:rPr>
          <w:bCs/>
        </w:rPr>
        <w:lastRenderedPageBreak/>
        <w:t>Operation</w:t>
      </w:r>
    </w:p>
    <w:p w14:paraId="34D6C8EC" w14:textId="15968823" w:rsidR="00FF5E9B" w:rsidRPr="003A0C5C" w:rsidRDefault="00FF5E9B" w:rsidP="0020432B">
      <w:pPr>
        <w:pStyle w:val="12spaceindentcontinue"/>
        <w:rPr>
          <w:rFonts w:cs="Times New Roman"/>
          <w:szCs w:val="22"/>
        </w:rPr>
      </w:pPr>
      <w:r w:rsidRPr="003A0C5C">
        <w:t xml:space="preserve">The proposed project is a </w:t>
      </w:r>
      <w:r w:rsidR="0007228F" w:rsidRPr="003A0C5C">
        <w:t xml:space="preserve">self-storage facility </w:t>
      </w:r>
      <w:r w:rsidR="00860FF2" w:rsidRPr="003A0C5C">
        <w:t>with</w:t>
      </w:r>
      <w:r w:rsidR="0007228F" w:rsidRPr="003A0C5C">
        <w:t xml:space="preserve"> ancillary </w:t>
      </w:r>
      <w:r w:rsidR="006555E9" w:rsidRPr="003A0C5C">
        <w:t xml:space="preserve">office and </w:t>
      </w:r>
      <w:r w:rsidR="0007228F" w:rsidRPr="003A0C5C">
        <w:t>retail uses</w:t>
      </w:r>
      <w:r w:rsidRPr="003A0C5C">
        <w:t xml:space="preserve">. The proposed project would include a surface parking lot with 41 parking spaces. During operation of </w:t>
      </w:r>
      <w:r w:rsidRPr="003A0C5C">
        <w:rPr>
          <w:rFonts w:cs="Times New Roman"/>
        </w:rPr>
        <w:t>the</w:t>
      </w:r>
      <w:r w:rsidRPr="003A0C5C">
        <w:t xml:space="preserve"> </w:t>
      </w:r>
      <w:r w:rsidR="0084727C" w:rsidRPr="003A0C5C">
        <w:t xml:space="preserve">proposed </w:t>
      </w:r>
      <w:r w:rsidRPr="003A0C5C">
        <w:t xml:space="preserve">project, the primary emission sources would consist of mobile sources, including visitors loading and unloading to the storage units, visitors traveling to and from the retail uses, and employees driving to and from the project site. </w:t>
      </w:r>
      <w:r w:rsidRPr="003A0C5C">
        <w:rPr>
          <w:lang w:eastAsia="ko-KR"/>
        </w:rPr>
        <w:t>Energy usage would come in the form of electricity and natural gas for building heating, ventilation</w:t>
      </w:r>
      <w:r w:rsidR="000A6A09" w:rsidRPr="003A0C5C">
        <w:rPr>
          <w:lang w:eastAsia="ko-KR"/>
        </w:rPr>
        <w:t>,</w:t>
      </w:r>
      <w:r w:rsidRPr="003A0C5C">
        <w:rPr>
          <w:lang w:eastAsia="ko-KR"/>
        </w:rPr>
        <w:t xml:space="preserve"> and air condition</w:t>
      </w:r>
      <w:r w:rsidR="00B75E9D" w:rsidRPr="003A0C5C">
        <w:rPr>
          <w:lang w:eastAsia="ko-KR"/>
        </w:rPr>
        <w:t>ing</w:t>
      </w:r>
      <w:r w:rsidRPr="003A0C5C">
        <w:rPr>
          <w:lang w:eastAsia="ko-KR"/>
        </w:rPr>
        <w:t xml:space="preserve"> (HVAC) systems, lighting, cooking in the </w:t>
      </w:r>
      <w:r w:rsidR="0060361D" w:rsidRPr="003A0C5C">
        <w:rPr>
          <w:lang w:eastAsia="ko-KR"/>
        </w:rPr>
        <w:t>cafe</w:t>
      </w:r>
      <w:r w:rsidRPr="003A0C5C">
        <w:rPr>
          <w:lang w:eastAsia="ko-KR"/>
        </w:rPr>
        <w:t xml:space="preserve">, and area sources such as landscaping equipment and the use of consumer products for routine cleaning and maintenance. The </w:t>
      </w:r>
      <w:r w:rsidR="0035379D" w:rsidRPr="003A0C5C">
        <w:rPr>
          <w:lang w:eastAsia="ko-KR"/>
        </w:rPr>
        <w:t xml:space="preserve">proposed </w:t>
      </w:r>
      <w:r w:rsidRPr="003A0C5C">
        <w:rPr>
          <w:lang w:eastAsia="ko-KR"/>
        </w:rPr>
        <w:t>project can expect most of the energy usage to come from lighting and the HVAC system required to provide air conditioning of the building.</w:t>
      </w:r>
    </w:p>
    <w:p w14:paraId="2EE6CA5F" w14:textId="2CE45F9E" w:rsidR="00FF5E9B" w:rsidRPr="003A0C5C" w:rsidRDefault="00FF5E9B" w:rsidP="0020432B">
      <w:pPr>
        <w:pStyle w:val="12spaceindentcontinue"/>
      </w:pPr>
      <w:r w:rsidRPr="003A0C5C">
        <w:t xml:space="preserve">Operational emissions for the </w:t>
      </w:r>
      <w:r w:rsidR="0084727C" w:rsidRPr="003A0C5C">
        <w:t xml:space="preserve">proposed </w:t>
      </w:r>
      <w:r w:rsidRPr="003A0C5C">
        <w:t xml:space="preserve">project were estimated using </w:t>
      </w:r>
      <w:proofErr w:type="spellStart"/>
      <w:r w:rsidRPr="003A0C5C">
        <w:t>CalEEMod</w:t>
      </w:r>
      <w:proofErr w:type="spellEnd"/>
      <w:r w:rsidRPr="003A0C5C">
        <w:t xml:space="preserve"> for the land uses </w:t>
      </w:r>
      <w:r w:rsidR="0084727C" w:rsidRPr="003A0C5C">
        <w:t>that would be developed under</w:t>
      </w:r>
      <w:r w:rsidRPr="003A0C5C">
        <w:t xml:space="preserve"> the </w:t>
      </w:r>
      <w:r w:rsidR="0084727C" w:rsidRPr="003A0C5C">
        <w:t xml:space="preserve">proposed </w:t>
      </w:r>
      <w:r w:rsidRPr="003A0C5C">
        <w:t>project (2024 project buildout) (</w:t>
      </w:r>
      <w:r w:rsidR="00DE6129" w:rsidRPr="003A0C5C">
        <w:t>refer to</w:t>
      </w:r>
      <w:r w:rsidRPr="003A0C5C">
        <w:t xml:space="preserve"> </w:t>
      </w:r>
      <w:r w:rsidRPr="003A0C5C">
        <w:rPr>
          <w:b/>
          <w:bCs/>
        </w:rPr>
        <w:t>Appendix A</w:t>
      </w:r>
      <w:r w:rsidRPr="003A0C5C">
        <w:t xml:space="preserve"> </w:t>
      </w:r>
      <w:r w:rsidR="00DE6129" w:rsidRPr="003A0C5C">
        <w:t xml:space="preserve">of this IS/MND </w:t>
      </w:r>
      <w:r w:rsidRPr="003A0C5C">
        <w:t xml:space="preserve">for compiled detailed assumptions, calculations, and modeling outputs). Mobile source emissions are based on the vehicle emission factors from EMFAC2021 and the default trip length values for the project land uses in </w:t>
      </w:r>
      <w:proofErr w:type="spellStart"/>
      <w:r w:rsidRPr="003A0C5C">
        <w:t>CalEEMod</w:t>
      </w:r>
      <w:proofErr w:type="spellEnd"/>
      <w:r w:rsidRPr="003A0C5C">
        <w:t xml:space="preserve">, which are Air District-wide average trip distance values. Daily trip generation from the </w:t>
      </w:r>
      <w:r w:rsidR="0084727C" w:rsidRPr="003A0C5C">
        <w:t xml:space="preserve">proposed </w:t>
      </w:r>
      <w:r w:rsidRPr="003A0C5C">
        <w:t xml:space="preserve">project’s </w:t>
      </w:r>
      <w:r w:rsidR="00B17DC0" w:rsidRPr="003A0C5C">
        <w:t>Local Transportation Assessment (LTA)</w:t>
      </w:r>
      <w:r w:rsidRPr="003A0C5C">
        <w:t xml:space="preserve">, provided in </w:t>
      </w:r>
      <w:r w:rsidRPr="003A0C5C">
        <w:rPr>
          <w:b/>
          <w:bCs/>
        </w:rPr>
        <w:t>Appendix </w:t>
      </w:r>
      <w:r w:rsidR="0050211E" w:rsidRPr="003A0C5C">
        <w:rPr>
          <w:b/>
          <w:bCs/>
        </w:rPr>
        <w:t>L</w:t>
      </w:r>
      <w:r w:rsidR="00DE6129" w:rsidRPr="003A0C5C">
        <w:rPr>
          <w:b/>
          <w:bCs/>
        </w:rPr>
        <w:t xml:space="preserve"> </w:t>
      </w:r>
      <w:r w:rsidR="00DE6129" w:rsidRPr="003A0C5C">
        <w:t>of this IS/MND</w:t>
      </w:r>
      <w:r w:rsidRPr="003A0C5C">
        <w:t xml:space="preserve">, were used to estimate the total VMT for the project trips (Fehr &amp; Peers </w:t>
      </w:r>
      <w:r w:rsidR="00B17DC0" w:rsidRPr="003A0C5C">
        <w:t>2022</w:t>
      </w:r>
      <w:r w:rsidRPr="003A0C5C">
        <w:t>).</w:t>
      </w:r>
    </w:p>
    <w:p w14:paraId="66EE60AC" w14:textId="49003EE5" w:rsidR="00FF5E9B" w:rsidRPr="003A0C5C" w:rsidRDefault="00FF5E9B" w:rsidP="0020432B">
      <w:pPr>
        <w:pStyle w:val="12spaceindentcontinue"/>
      </w:pPr>
      <w:r w:rsidRPr="003A0C5C">
        <w:t xml:space="preserve">The proposed project would also include landscaping equipment such as lawnmower and trimmers to maintain the approximately </w:t>
      </w:r>
      <w:r w:rsidR="00441D48" w:rsidRPr="003A0C5C">
        <w:t>12,134</w:t>
      </w:r>
      <w:r w:rsidR="00A334FD" w:rsidRPr="003A0C5C">
        <w:t xml:space="preserve"> </w:t>
      </w:r>
      <w:r w:rsidRPr="003A0C5C">
        <w:t xml:space="preserve">square feet of landscaping proposed around the perimeter of the project site. The </w:t>
      </w:r>
      <w:proofErr w:type="spellStart"/>
      <w:r w:rsidRPr="003A0C5C">
        <w:t>CalEEMod</w:t>
      </w:r>
      <w:proofErr w:type="spellEnd"/>
      <w:r w:rsidRPr="003A0C5C">
        <w:t xml:space="preserve"> tool uses landscaping equipment greenhouse gas (GHG) emission factors from the CARB OFFROAD model and the CARB Technical Memo: Change in Population and Activity Factors for Lawn and Garden Equipment (CARB 2003). The </w:t>
      </w:r>
      <w:proofErr w:type="spellStart"/>
      <w:r w:rsidRPr="003A0C5C">
        <w:t>CalEEMod</w:t>
      </w:r>
      <w:proofErr w:type="spellEnd"/>
      <w:r w:rsidRPr="003A0C5C">
        <w:t xml:space="preserve"> software estimates that landscaping equipment operate for 250 days per year in the Basin. Emissions of VOCs from the use of consumer products and architectural coatings are based on SCAQMD-specific emission factors for land uses in the Basin.</w:t>
      </w:r>
    </w:p>
    <w:p w14:paraId="2426C817" w14:textId="3416A761" w:rsidR="00FF5E9B" w:rsidRPr="003A0C5C" w:rsidRDefault="00FF5E9B" w:rsidP="000A59A2">
      <w:pPr>
        <w:pStyle w:val="12spaceindentcontinue"/>
      </w:pPr>
      <w:r w:rsidRPr="003A0C5C">
        <w:t xml:space="preserve">Operational-source emissions are summarized in </w:t>
      </w:r>
      <w:r w:rsidRPr="003A0C5C">
        <w:rPr>
          <w:rStyle w:val="Bold"/>
        </w:rPr>
        <w:t>Table </w:t>
      </w:r>
      <w:r w:rsidR="004D1D08" w:rsidRPr="003A0C5C">
        <w:rPr>
          <w:rStyle w:val="Bold"/>
        </w:rPr>
        <w:t>3</w:t>
      </w:r>
      <w:r w:rsidRPr="003A0C5C">
        <w:t xml:space="preserve">, </w:t>
      </w:r>
      <w:r w:rsidRPr="003A0C5C">
        <w:rPr>
          <w:rStyle w:val="Italic"/>
        </w:rPr>
        <w:t>Maximum Unmitigated Regional Operational Emissions (Pounds per Day)</w:t>
      </w:r>
      <w:r w:rsidRPr="003A0C5C">
        <w:t>. As shown, project operational-source emissions are below the applicable SCAQMD regional thresholds of significance</w:t>
      </w:r>
      <w:r w:rsidR="00CB1CE2" w:rsidRPr="003A0C5C">
        <w:t xml:space="preserve"> (SCAQMD 2015)</w:t>
      </w:r>
      <w:r w:rsidRPr="003A0C5C">
        <w:t>. Therefore, impacts would be considered less than significant, and no mitigation is required.</w:t>
      </w:r>
    </w:p>
    <w:p w14:paraId="3A8720EF" w14:textId="39BDA48F" w:rsidR="00160F99" w:rsidRPr="003A0C5C" w:rsidRDefault="00160F99" w:rsidP="00160F99">
      <w:pPr>
        <w:pStyle w:val="12spaceindentcontinue"/>
        <w:spacing w:after="180"/>
      </w:pPr>
      <w:r w:rsidRPr="003A0C5C">
        <w:t xml:space="preserve">The SCAQMD’s approach for assessing cumulative impacts related to operations is based on attainment of ambient </w:t>
      </w:r>
      <w:r w:rsidRPr="003A0C5C">
        <w:rPr>
          <w:szCs w:val="22"/>
        </w:rPr>
        <w:t>air</w:t>
      </w:r>
      <w:r w:rsidRPr="003A0C5C">
        <w:t xml:space="preserve"> quality standards in accordance with the requirements of the federal and California Clean Air Acts. As discussed earlier, the SCAQMD has developed a comprehensive plan, the 2016 AQMP, which addresses the region’s cumulative air quality condition.</w:t>
      </w:r>
    </w:p>
    <w:tbl>
      <w:tblPr>
        <w:tblW w:w="0" w:type="auto"/>
        <w:jc w:val="center"/>
        <w:tblCellMar>
          <w:left w:w="86" w:type="dxa"/>
          <w:right w:w="86" w:type="dxa"/>
        </w:tblCellMar>
        <w:tblLook w:val="01E0" w:firstRow="1" w:lastRow="1" w:firstColumn="1" w:lastColumn="1" w:noHBand="0" w:noVBand="0"/>
      </w:tblPr>
      <w:tblGrid>
        <w:gridCol w:w="4156"/>
        <w:gridCol w:w="607"/>
        <w:gridCol w:w="561"/>
        <w:gridCol w:w="514"/>
        <w:gridCol w:w="550"/>
        <w:gridCol w:w="691"/>
        <w:gridCol w:w="743"/>
      </w:tblGrid>
      <w:tr w:rsidR="003A0C5C" w:rsidRPr="003A0C5C" w14:paraId="1526ED93" w14:textId="77777777" w:rsidTr="00541876">
        <w:trPr>
          <w:cantSplit/>
          <w:tblHeader/>
          <w:jc w:val="center"/>
        </w:trPr>
        <w:tc>
          <w:tcPr>
            <w:tcW w:w="0" w:type="auto"/>
            <w:gridSpan w:val="7"/>
            <w:tcBorders>
              <w:bottom w:val="single" w:sz="4" w:space="0" w:color="auto"/>
            </w:tcBorders>
            <w:shd w:val="clear" w:color="auto" w:fill="auto"/>
            <w:vAlign w:val="bottom"/>
          </w:tcPr>
          <w:p w14:paraId="7ED6E548" w14:textId="096B6A58" w:rsidR="00FF5E9B" w:rsidRPr="003A0C5C" w:rsidRDefault="00FF5E9B" w:rsidP="004D1D08">
            <w:pPr>
              <w:pStyle w:val="TableNoTitle"/>
            </w:pPr>
            <w:bookmarkStart w:id="53" w:name="_Toc101792195"/>
            <w:r w:rsidRPr="003A0C5C">
              <w:lastRenderedPageBreak/>
              <w:t>Table </w:t>
            </w:r>
            <w:r w:rsidR="004D1D08" w:rsidRPr="003A0C5C">
              <w:t>3</w:t>
            </w:r>
            <w:r w:rsidRPr="003A0C5C">
              <w:br/>
            </w:r>
            <w:r w:rsidRPr="003A0C5C">
              <w:tab/>
              <w:t>Maximum Unmitigated Regional Operational Emissions (Pounds per Day)</w:t>
            </w:r>
            <w:bookmarkEnd w:id="53"/>
          </w:p>
        </w:tc>
      </w:tr>
      <w:tr w:rsidR="003A0C5C" w:rsidRPr="003A0C5C" w14:paraId="4090C8FB" w14:textId="77777777" w:rsidTr="00541876">
        <w:trPr>
          <w:cantSplit/>
          <w:tblHeader/>
          <w:jc w:val="center"/>
        </w:trPr>
        <w:tc>
          <w:tcPr>
            <w:tcW w:w="0" w:type="auto"/>
            <w:vMerge w:val="restart"/>
            <w:tcBorders>
              <w:top w:val="single" w:sz="4" w:space="0" w:color="auto"/>
            </w:tcBorders>
            <w:shd w:val="clear" w:color="auto" w:fill="auto"/>
            <w:vAlign w:val="bottom"/>
          </w:tcPr>
          <w:p w14:paraId="1174E1F8" w14:textId="77777777" w:rsidR="00FF5E9B" w:rsidRPr="003A0C5C" w:rsidRDefault="00FF5E9B" w:rsidP="003C2FE6">
            <w:pPr>
              <w:pStyle w:val="Tablecolumnheading"/>
            </w:pPr>
            <w:r w:rsidRPr="003A0C5C">
              <w:t>Source</w:t>
            </w:r>
          </w:p>
        </w:tc>
        <w:tc>
          <w:tcPr>
            <w:tcW w:w="0" w:type="auto"/>
            <w:gridSpan w:val="6"/>
            <w:tcBorders>
              <w:top w:val="single" w:sz="4" w:space="0" w:color="auto"/>
              <w:bottom w:val="single" w:sz="4" w:space="0" w:color="auto"/>
            </w:tcBorders>
            <w:shd w:val="clear" w:color="auto" w:fill="auto"/>
            <w:vAlign w:val="bottom"/>
          </w:tcPr>
          <w:p w14:paraId="4C0D9819" w14:textId="77777777" w:rsidR="00FF5E9B" w:rsidRPr="003A0C5C" w:rsidRDefault="00FF5E9B" w:rsidP="003C2FE6">
            <w:pPr>
              <w:pStyle w:val="Tablecolumnheading"/>
              <w:jc w:val="center"/>
            </w:pPr>
            <w:r w:rsidRPr="003A0C5C">
              <w:t>Emissions (pounds per day)</w:t>
            </w:r>
          </w:p>
        </w:tc>
      </w:tr>
      <w:tr w:rsidR="003A0C5C" w:rsidRPr="003A0C5C" w14:paraId="58FD0225" w14:textId="77777777" w:rsidTr="00541876">
        <w:trPr>
          <w:cantSplit/>
          <w:tblHeader/>
          <w:jc w:val="center"/>
        </w:trPr>
        <w:tc>
          <w:tcPr>
            <w:tcW w:w="0" w:type="auto"/>
            <w:vMerge/>
            <w:tcBorders>
              <w:bottom w:val="single" w:sz="12" w:space="0" w:color="000000"/>
            </w:tcBorders>
            <w:shd w:val="clear" w:color="auto" w:fill="auto"/>
            <w:vAlign w:val="bottom"/>
          </w:tcPr>
          <w:p w14:paraId="0D7B0D1E" w14:textId="77777777" w:rsidR="00FF5E9B" w:rsidRPr="003A0C5C" w:rsidRDefault="00FF5E9B" w:rsidP="003C2FE6">
            <w:pPr>
              <w:pStyle w:val="Tablecolumnheading"/>
            </w:pPr>
          </w:p>
        </w:tc>
        <w:tc>
          <w:tcPr>
            <w:tcW w:w="0" w:type="auto"/>
            <w:tcBorders>
              <w:top w:val="single" w:sz="4" w:space="0" w:color="auto"/>
              <w:bottom w:val="single" w:sz="12" w:space="0" w:color="000000"/>
            </w:tcBorders>
            <w:shd w:val="clear" w:color="auto" w:fill="auto"/>
            <w:vAlign w:val="bottom"/>
          </w:tcPr>
          <w:p w14:paraId="44B2F9C3" w14:textId="77777777" w:rsidR="00FF5E9B" w:rsidRPr="003A0C5C" w:rsidRDefault="00FF5E9B" w:rsidP="003C2FE6">
            <w:pPr>
              <w:pStyle w:val="Tablecolumnheading"/>
              <w:jc w:val="center"/>
            </w:pPr>
            <w:r w:rsidRPr="003A0C5C">
              <w:t>VOC</w:t>
            </w:r>
          </w:p>
        </w:tc>
        <w:tc>
          <w:tcPr>
            <w:tcW w:w="0" w:type="auto"/>
            <w:tcBorders>
              <w:top w:val="single" w:sz="4" w:space="0" w:color="auto"/>
              <w:bottom w:val="single" w:sz="12" w:space="0" w:color="000000"/>
            </w:tcBorders>
            <w:shd w:val="clear" w:color="auto" w:fill="auto"/>
            <w:vAlign w:val="bottom"/>
          </w:tcPr>
          <w:p w14:paraId="21247AB8" w14:textId="77777777" w:rsidR="00FF5E9B" w:rsidRPr="003A0C5C" w:rsidRDefault="00FF5E9B" w:rsidP="003C2FE6">
            <w:pPr>
              <w:pStyle w:val="Tablecolumnheading"/>
              <w:jc w:val="center"/>
            </w:pPr>
            <w:r w:rsidRPr="003A0C5C">
              <w:t>NO</w:t>
            </w:r>
            <w:r w:rsidRPr="003A0C5C">
              <w:rPr>
                <w:vertAlign w:val="subscript"/>
              </w:rPr>
              <w:t>X</w:t>
            </w:r>
          </w:p>
        </w:tc>
        <w:tc>
          <w:tcPr>
            <w:tcW w:w="0" w:type="auto"/>
            <w:tcBorders>
              <w:top w:val="single" w:sz="4" w:space="0" w:color="auto"/>
              <w:bottom w:val="single" w:sz="12" w:space="0" w:color="000000"/>
            </w:tcBorders>
            <w:shd w:val="clear" w:color="auto" w:fill="auto"/>
            <w:vAlign w:val="bottom"/>
          </w:tcPr>
          <w:p w14:paraId="0F84A642" w14:textId="77777777" w:rsidR="00FF5E9B" w:rsidRPr="003A0C5C" w:rsidRDefault="00FF5E9B" w:rsidP="003C2FE6">
            <w:pPr>
              <w:pStyle w:val="Tablecolumnheading"/>
              <w:jc w:val="center"/>
            </w:pPr>
            <w:r w:rsidRPr="003A0C5C">
              <w:t>CO</w:t>
            </w:r>
          </w:p>
        </w:tc>
        <w:tc>
          <w:tcPr>
            <w:tcW w:w="0" w:type="auto"/>
            <w:tcBorders>
              <w:top w:val="single" w:sz="4" w:space="0" w:color="auto"/>
              <w:bottom w:val="single" w:sz="12" w:space="0" w:color="000000"/>
            </w:tcBorders>
            <w:shd w:val="clear" w:color="auto" w:fill="auto"/>
            <w:vAlign w:val="bottom"/>
          </w:tcPr>
          <w:p w14:paraId="6EEAFB67" w14:textId="77777777" w:rsidR="00FF5E9B" w:rsidRPr="003A0C5C" w:rsidRDefault="00FF5E9B" w:rsidP="003C2FE6">
            <w:pPr>
              <w:pStyle w:val="Tablecolumnheading"/>
              <w:jc w:val="center"/>
            </w:pPr>
            <w:r w:rsidRPr="003A0C5C">
              <w:t>SO</w:t>
            </w:r>
            <w:r w:rsidRPr="003A0C5C">
              <w:rPr>
                <w:vertAlign w:val="subscript"/>
              </w:rPr>
              <w:t>X</w:t>
            </w:r>
          </w:p>
        </w:tc>
        <w:tc>
          <w:tcPr>
            <w:tcW w:w="0" w:type="auto"/>
            <w:tcBorders>
              <w:top w:val="single" w:sz="4" w:space="0" w:color="auto"/>
              <w:bottom w:val="single" w:sz="12" w:space="0" w:color="000000"/>
            </w:tcBorders>
            <w:shd w:val="clear" w:color="auto" w:fill="auto"/>
            <w:vAlign w:val="bottom"/>
          </w:tcPr>
          <w:p w14:paraId="47BB9EEB" w14:textId="77777777" w:rsidR="00FF5E9B" w:rsidRPr="003A0C5C" w:rsidRDefault="00FF5E9B" w:rsidP="003C2FE6">
            <w:pPr>
              <w:pStyle w:val="Tablecolumnheading"/>
              <w:jc w:val="center"/>
            </w:pPr>
            <w:r w:rsidRPr="003A0C5C">
              <w:t>PM10</w:t>
            </w:r>
          </w:p>
        </w:tc>
        <w:tc>
          <w:tcPr>
            <w:tcW w:w="0" w:type="auto"/>
            <w:tcBorders>
              <w:top w:val="single" w:sz="4" w:space="0" w:color="auto"/>
              <w:bottom w:val="single" w:sz="12" w:space="0" w:color="000000"/>
            </w:tcBorders>
            <w:shd w:val="clear" w:color="auto" w:fill="auto"/>
            <w:vAlign w:val="bottom"/>
          </w:tcPr>
          <w:p w14:paraId="03CC8AFF" w14:textId="77777777" w:rsidR="00FF5E9B" w:rsidRPr="003A0C5C" w:rsidRDefault="00FF5E9B" w:rsidP="003C2FE6">
            <w:pPr>
              <w:pStyle w:val="Tablecolumnheading"/>
              <w:jc w:val="center"/>
            </w:pPr>
            <w:r w:rsidRPr="003A0C5C">
              <w:t>PM2.5</w:t>
            </w:r>
          </w:p>
        </w:tc>
      </w:tr>
      <w:tr w:rsidR="003A0C5C" w:rsidRPr="003A0C5C" w14:paraId="667FE171" w14:textId="77777777" w:rsidTr="00541876">
        <w:trPr>
          <w:cantSplit/>
          <w:jc w:val="center"/>
        </w:trPr>
        <w:tc>
          <w:tcPr>
            <w:tcW w:w="0" w:type="auto"/>
          </w:tcPr>
          <w:p w14:paraId="7D483767" w14:textId="77777777" w:rsidR="00FF5E9B" w:rsidRPr="003A0C5C" w:rsidRDefault="00FF5E9B" w:rsidP="003C2FE6">
            <w:pPr>
              <w:pStyle w:val="Tabletext"/>
              <w:keepNext/>
            </w:pPr>
            <w:r w:rsidRPr="003A0C5C">
              <w:t>Area (Consumer Products, Landscaping)</w:t>
            </w:r>
          </w:p>
        </w:tc>
        <w:tc>
          <w:tcPr>
            <w:tcW w:w="0" w:type="auto"/>
            <w:tcBorders>
              <w:top w:val="nil"/>
              <w:left w:val="nil"/>
              <w:bottom w:val="nil"/>
              <w:right w:val="nil"/>
            </w:tcBorders>
            <w:shd w:val="clear" w:color="auto" w:fill="auto"/>
            <w:vAlign w:val="center"/>
          </w:tcPr>
          <w:p w14:paraId="5682752F" w14:textId="77777777" w:rsidR="00FF5E9B" w:rsidRPr="003A0C5C" w:rsidRDefault="00FF5E9B" w:rsidP="003C2FE6">
            <w:pPr>
              <w:pStyle w:val="Tabletext"/>
              <w:jc w:val="center"/>
              <w:rPr>
                <w:rFonts w:cs="Arial"/>
                <w:szCs w:val="16"/>
              </w:rPr>
            </w:pPr>
            <w:r w:rsidRPr="003A0C5C">
              <w:rPr>
                <w:rFonts w:cs="Arial"/>
                <w:szCs w:val="16"/>
              </w:rPr>
              <w:t>3</w:t>
            </w:r>
          </w:p>
        </w:tc>
        <w:tc>
          <w:tcPr>
            <w:tcW w:w="0" w:type="auto"/>
            <w:tcBorders>
              <w:top w:val="nil"/>
              <w:left w:val="nil"/>
              <w:bottom w:val="nil"/>
              <w:right w:val="nil"/>
            </w:tcBorders>
            <w:shd w:val="clear" w:color="auto" w:fill="auto"/>
            <w:vAlign w:val="center"/>
          </w:tcPr>
          <w:p w14:paraId="65D67532" w14:textId="77777777" w:rsidR="00FF5E9B" w:rsidRPr="003A0C5C" w:rsidRDefault="00FF5E9B" w:rsidP="003C2FE6">
            <w:pPr>
              <w:pStyle w:val="Tabletext"/>
              <w:jc w:val="center"/>
              <w:rPr>
                <w:rFonts w:cs="Arial"/>
                <w:szCs w:val="16"/>
              </w:rPr>
            </w:pPr>
            <w:r w:rsidRPr="003A0C5C">
              <w:rPr>
                <w:rFonts w:cs="Arial"/>
                <w:szCs w:val="16"/>
              </w:rPr>
              <w:t>&lt;1</w:t>
            </w:r>
          </w:p>
        </w:tc>
        <w:tc>
          <w:tcPr>
            <w:tcW w:w="0" w:type="auto"/>
            <w:tcBorders>
              <w:top w:val="nil"/>
              <w:left w:val="nil"/>
              <w:bottom w:val="nil"/>
              <w:right w:val="nil"/>
            </w:tcBorders>
            <w:shd w:val="clear" w:color="auto" w:fill="auto"/>
            <w:vAlign w:val="center"/>
          </w:tcPr>
          <w:p w14:paraId="6F5AF94B" w14:textId="77777777" w:rsidR="00FF5E9B" w:rsidRPr="003A0C5C" w:rsidRDefault="00FF5E9B" w:rsidP="003C2FE6">
            <w:pPr>
              <w:pStyle w:val="Tabletext"/>
              <w:jc w:val="center"/>
              <w:rPr>
                <w:rFonts w:cs="Arial"/>
                <w:szCs w:val="16"/>
              </w:rPr>
            </w:pPr>
            <w:r w:rsidRPr="003A0C5C">
              <w:rPr>
                <w:rFonts w:cs="Arial"/>
                <w:szCs w:val="16"/>
              </w:rPr>
              <w:t>&lt;1</w:t>
            </w:r>
          </w:p>
        </w:tc>
        <w:tc>
          <w:tcPr>
            <w:tcW w:w="0" w:type="auto"/>
            <w:tcBorders>
              <w:top w:val="nil"/>
              <w:left w:val="nil"/>
              <w:bottom w:val="nil"/>
              <w:right w:val="nil"/>
            </w:tcBorders>
            <w:shd w:val="clear" w:color="auto" w:fill="auto"/>
            <w:vAlign w:val="center"/>
          </w:tcPr>
          <w:p w14:paraId="101AB54D" w14:textId="77777777" w:rsidR="00FF5E9B" w:rsidRPr="003A0C5C" w:rsidRDefault="00FF5E9B" w:rsidP="003C2FE6">
            <w:pPr>
              <w:pStyle w:val="Tabletext"/>
              <w:jc w:val="center"/>
              <w:rPr>
                <w:rFonts w:cs="Arial"/>
                <w:szCs w:val="16"/>
              </w:rPr>
            </w:pPr>
            <w:r w:rsidRPr="003A0C5C">
              <w:rPr>
                <w:rFonts w:cs="Arial"/>
                <w:szCs w:val="16"/>
              </w:rPr>
              <w:t>&lt;1</w:t>
            </w:r>
          </w:p>
        </w:tc>
        <w:tc>
          <w:tcPr>
            <w:tcW w:w="0" w:type="auto"/>
            <w:tcBorders>
              <w:top w:val="nil"/>
              <w:left w:val="nil"/>
              <w:bottom w:val="nil"/>
              <w:right w:val="nil"/>
            </w:tcBorders>
            <w:shd w:val="clear" w:color="auto" w:fill="auto"/>
            <w:vAlign w:val="center"/>
          </w:tcPr>
          <w:p w14:paraId="6BA9F29B" w14:textId="77777777" w:rsidR="00FF5E9B" w:rsidRPr="003A0C5C" w:rsidRDefault="00FF5E9B" w:rsidP="003C2FE6">
            <w:pPr>
              <w:pStyle w:val="Tabletext"/>
              <w:jc w:val="center"/>
              <w:rPr>
                <w:rFonts w:cs="Arial"/>
                <w:szCs w:val="16"/>
              </w:rPr>
            </w:pPr>
            <w:r w:rsidRPr="003A0C5C">
              <w:rPr>
                <w:rFonts w:cs="Arial"/>
                <w:szCs w:val="16"/>
              </w:rPr>
              <w:t>&lt;1</w:t>
            </w:r>
          </w:p>
        </w:tc>
        <w:tc>
          <w:tcPr>
            <w:tcW w:w="0" w:type="auto"/>
            <w:tcBorders>
              <w:top w:val="nil"/>
              <w:left w:val="nil"/>
              <w:bottom w:val="nil"/>
              <w:right w:val="nil"/>
            </w:tcBorders>
            <w:shd w:val="clear" w:color="auto" w:fill="auto"/>
            <w:vAlign w:val="center"/>
          </w:tcPr>
          <w:p w14:paraId="71CD27E1" w14:textId="77777777" w:rsidR="00FF5E9B" w:rsidRPr="003A0C5C" w:rsidRDefault="00FF5E9B" w:rsidP="003C2FE6">
            <w:pPr>
              <w:pStyle w:val="Tabletext"/>
              <w:jc w:val="center"/>
              <w:rPr>
                <w:rFonts w:cs="Arial"/>
                <w:szCs w:val="16"/>
              </w:rPr>
            </w:pPr>
            <w:r w:rsidRPr="003A0C5C">
              <w:rPr>
                <w:rFonts w:cs="Arial"/>
                <w:szCs w:val="16"/>
              </w:rPr>
              <w:t>&lt;1</w:t>
            </w:r>
          </w:p>
        </w:tc>
      </w:tr>
      <w:tr w:rsidR="003A0C5C" w:rsidRPr="003A0C5C" w14:paraId="44904EB3" w14:textId="77777777" w:rsidTr="00541876">
        <w:trPr>
          <w:cantSplit/>
          <w:jc w:val="center"/>
        </w:trPr>
        <w:tc>
          <w:tcPr>
            <w:tcW w:w="0" w:type="auto"/>
          </w:tcPr>
          <w:p w14:paraId="52F88BE2" w14:textId="77777777" w:rsidR="00FF5E9B" w:rsidRPr="003A0C5C" w:rsidRDefault="00FF5E9B" w:rsidP="003C2FE6">
            <w:pPr>
              <w:pStyle w:val="Tabletext"/>
              <w:keepNext/>
            </w:pPr>
            <w:r w:rsidRPr="003A0C5C">
              <w:t>Energy (Natural Gas)</w:t>
            </w:r>
          </w:p>
        </w:tc>
        <w:tc>
          <w:tcPr>
            <w:tcW w:w="0" w:type="auto"/>
            <w:tcBorders>
              <w:top w:val="nil"/>
              <w:left w:val="nil"/>
              <w:bottom w:val="nil"/>
              <w:right w:val="nil"/>
            </w:tcBorders>
            <w:shd w:val="clear" w:color="auto" w:fill="auto"/>
            <w:vAlign w:val="center"/>
          </w:tcPr>
          <w:p w14:paraId="241B4328" w14:textId="77777777" w:rsidR="00FF5E9B" w:rsidRPr="003A0C5C" w:rsidRDefault="00FF5E9B" w:rsidP="003C2FE6">
            <w:pPr>
              <w:pStyle w:val="Tabletext"/>
              <w:jc w:val="center"/>
              <w:rPr>
                <w:rFonts w:cs="Arial"/>
                <w:szCs w:val="16"/>
              </w:rPr>
            </w:pPr>
            <w:r w:rsidRPr="003A0C5C">
              <w:rPr>
                <w:rFonts w:cs="Arial"/>
                <w:szCs w:val="16"/>
              </w:rPr>
              <w:t>&lt;1</w:t>
            </w:r>
          </w:p>
        </w:tc>
        <w:tc>
          <w:tcPr>
            <w:tcW w:w="0" w:type="auto"/>
            <w:tcBorders>
              <w:top w:val="nil"/>
              <w:left w:val="nil"/>
              <w:bottom w:val="nil"/>
              <w:right w:val="nil"/>
            </w:tcBorders>
            <w:shd w:val="clear" w:color="auto" w:fill="auto"/>
            <w:vAlign w:val="center"/>
          </w:tcPr>
          <w:p w14:paraId="44EC1824" w14:textId="77777777" w:rsidR="00FF5E9B" w:rsidRPr="003A0C5C" w:rsidRDefault="00FF5E9B" w:rsidP="003C2FE6">
            <w:pPr>
              <w:pStyle w:val="Tabletext"/>
              <w:jc w:val="center"/>
              <w:rPr>
                <w:rFonts w:cs="Arial"/>
                <w:szCs w:val="16"/>
              </w:rPr>
            </w:pPr>
            <w:r w:rsidRPr="003A0C5C">
              <w:rPr>
                <w:rFonts w:cs="Arial"/>
                <w:szCs w:val="16"/>
              </w:rPr>
              <w:t>&lt;1</w:t>
            </w:r>
          </w:p>
        </w:tc>
        <w:tc>
          <w:tcPr>
            <w:tcW w:w="0" w:type="auto"/>
            <w:tcBorders>
              <w:top w:val="nil"/>
              <w:left w:val="nil"/>
              <w:bottom w:val="nil"/>
              <w:right w:val="nil"/>
            </w:tcBorders>
            <w:shd w:val="clear" w:color="auto" w:fill="auto"/>
            <w:vAlign w:val="center"/>
          </w:tcPr>
          <w:p w14:paraId="30670947" w14:textId="77777777" w:rsidR="00FF5E9B" w:rsidRPr="003A0C5C" w:rsidRDefault="00FF5E9B" w:rsidP="003C2FE6">
            <w:pPr>
              <w:pStyle w:val="Tabletext"/>
              <w:jc w:val="center"/>
              <w:rPr>
                <w:rFonts w:cs="Arial"/>
                <w:szCs w:val="16"/>
              </w:rPr>
            </w:pPr>
            <w:r w:rsidRPr="003A0C5C">
              <w:rPr>
                <w:rFonts w:cs="Arial"/>
                <w:szCs w:val="16"/>
              </w:rPr>
              <w:t>&lt;1</w:t>
            </w:r>
          </w:p>
        </w:tc>
        <w:tc>
          <w:tcPr>
            <w:tcW w:w="0" w:type="auto"/>
            <w:tcBorders>
              <w:top w:val="nil"/>
              <w:left w:val="nil"/>
              <w:bottom w:val="nil"/>
              <w:right w:val="nil"/>
            </w:tcBorders>
            <w:shd w:val="clear" w:color="auto" w:fill="auto"/>
            <w:vAlign w:val="center"/>
          </w:tcPr>
          <w:p w14:paraId="7BDBA75B" w14:textId="77777777" w:rsidR="00FF5E9B" w:rsidRPr="003A0C5C" w:rsidRDefault="00FF5E9B" w:rsidP="003C2FE6">
            <w:pPr>
              <w:pStyle w:val="Tabletext"/>
              <w:jc w:val="center"/>
              <w:rPr>
                <w:rFonts w:cs="Arial"/>
                <w:szCs w:val="16"/>
              </w:rPr>
            </w:pPr>
            <w:r w:rsidRPr="003A0C5C">
              <w:rPr>
                <w:rFonts w:cs="Arial"/>
                <w:szCs w:val="16"/>
              </w:rPr>
              <w:t>&lt;1</w:t>
            </w:r>
          </w:p>
        </w:tc>
        <w:tc>
          <w:tcPr>
            <w:tcW w:w="0" w:type="auto"/>
            <w:tcBorders>
              <w:top w:val="nil"/>
              <w:left w:val="nil"/>
              <w:bottom w:val="nil"/>
              <w:right w:val="nil"/>
            </w:tcBorders>
            <w:shd w:val="clear" w:color="auto" w:fill="auto"/>
            <w:vAlign w:val="center"/>
          </w:tcPr>
          <w:p w14:paraId="34B04199" w14:textId="77777777" w:rsidR="00FF5E9B" w:rsidRPr="003A0C5C" w:rsidRDefault="00FF5E9B" w:rsidP="003C2FE6">
            <w:pPr>
              <w:pStyle w:val="Tabletext"/>
              <w:jc w:val="center"/>
              <w:rPr>
                <w:rFonts w:cs="Arial"/>
                <w:szCs w:val="16"/>
              </w:rPr>
            </w:pPr>
            <w:r w:rsidRPr="003A0C5C">
              <w:rPr>
                <w:rFonts w:cs="Arial"/>
                <w:szCs w:val="16"/>
              </w:rPr>
              <w:t>&lt;1</w:t>
            </w:r>
          </w:p>
        </w:tc>
        <w:tc>
          <w:tcPr>
            <w:tcW w:w="0" w:type="auto"/>
            <w:tcBorders>
              <w:top w:val="nil"/>
              <w:left w:val="nil"/>
              <w:bottom w:val="nil"/>
              <w:right w:val="nil"/>
            </w:tcBorders>
            <w:shd w:val="clear" w:color="auto" w:fill="auto"/>
            <w:vAlign w:val="center"/>
          </w:tcPr>
          <w:p w14:paraId="68D16804" w14:textId="77777777" w:rsidR="00FF5E9B" w:rsidRPr="003A0C5C" w:rsidRDefault="00FF5E9B" w:rsidP="003C2FE6">
            <w:pPr>
              <w:pStyle w:val="Tabletext"/>
              <w:jc w:val="center"/>
              <w:rPr>
                <w:rFonts w:cs="Arial"/>
                <w:szCs w:val="16"/>
              </w:rPr>
            </w:pPr>
            <w:r w:rsidRPr="003A0C5C">
              <w:rPr>
                <w:rFonts w:cs="Arial"/>
                <w:szCs w:val="16"/>
              </w:rPr>
              <w:t>&lt;1</w:t>
            </w:r>
          </w:p>
        </w:tc>
      </w:tr>
      <w:tr w:rsidR="003A0C5C" w:rsidRPr="003A0C5C" w14:paraId="7A047F61" w14:textId="77777777" w:rsidTr="00541876">
        <w:trPr>
          <w:cantSplit/>
          <w:jc w:val="center"/>
        </w:trPr>
        <w:tc>
          <w:tcPr>
            <w:tcW w:w="0" w:type="auto"/>
          </w:tcPr>
          <w:p w14:paraId="6F27FC6C" w14:textId="77777777" w:rsidR="00FF5E9B" w:rsidRPr="003A0C5C" w:rsidRDefault="00FF5E9B" w:rsidP="003C2FE6">
            <w:pPr>
              <w:pStyle w:val="Tabletext"/>
              <w:keepNext/>
            </w:pPr>
            <w:r w:rsidRPr="003A0C5C">
              <w:t>Motor Vehicles</w:t>
            </w:r>
          </w:p>
        </w:tc>
        <w:tc>
          <w:tcPr>
            <w:tcW w:w="0" w:type="auto"/>
            <w:tcBorders>
              <w:top w:val="nil"/>
              <w:left w:val="nil"/>
              <w:bottom w:val="nil"/>
              <w:right w:val="nil"/>
            </w:tcBorders>
            <w:shd w:val="clear" w:color="auto" w:fill="auto"/>
            <w:vAlign w:val="center"/>
          </w:tcPr>
          <w:p w14:paraId="6C0B9B71" w14:textId="77777777" w:rsidR="00FF5E9B" w:rsidRPr="003A0C5C" w:rsidRDefault="00FF5E9B" w:rsidP="003C2FE6">
            <w:pPr>
              <w:pStyle w:val="Tabletext"/>
              <w:jc w:val="center"/>
              <w:rPr>
                <w:rFonts w:cs="Arial"/>
                <w:szCs w:val="16"/>
              </w:rPr>
            </w:pPr>
            <w:r w:rsidRPr="003A0C5C">
              <w:rPr>
                <w:rFonts w:cs="Arial"/>
                <w:szCs w:val="16"/>
              </w:rPr>
              <w:t>1</w:t>
            </w:r>
          </w:p>
        </w:tc>
        <w:tc>
          <w:tcPr>
            <w:tcW w:w="0" w:type="auto"/>
            <w:tcBorders>
              <w:top w:val="nil"/>
              <w:left w:val="nil"/>
              <w:bottom w:val="nil"/>
              <w:right w:val="nil"/>
            </w:tcBorders>
            <w:shd w:val="clear" w:color="auto" w:fill="auto"/>
            <w:vAlign w:val="center"/>
          </w:tcPr>
          <w:p w14:paraId="14572096" w14:textId="77777777" w:rsidR="00FF5E9B" w:rsidRPr="003A0C5C" w:rsidRDefault="00FF5E9B" w:rsidP="003C2FE6">
            <w:pPr>
              <w:pStyle w:val="Tabletext"/>
              <w:jc w:val="center"/>
              <w:rPr>
                <w:rFonts w:cs="Arial"/>
                <w:szCs w:val="16"/>
              </w:rPr>
            </w:pPr>
            <w:r w:rsidRPr="003A0C5C">
              <w:rPr>
                <w:rFonts w:cs="Arial"/>
                <w:szCs w:val="16"/>
              </w:rPr>
              <w:t>1</w:t>
            </w:r>
          </w:p>
        </w:tc>
        <w:tc>
          <w:tcPr>
            <w:tcW w:w="0" w:type="auto"/>
            <w:tcBorders>
              <w:top w:val="nil"/>
              <w:left w:val="nil"/>
              <w:bottom w:val="nil"/>
              <w:right w:val="nil"/>
            </w:tcBorders>
            <w:shd w:val="clear" w:color="auto" w:fill="auto"/>
            <w:vAlign w:val="center"/>
          </w:tcPr>
          <w:p w14:paraId="6D89C892" w14:textId="417234E9" w:rsidR="00FF5E9B" w:rsidRPr="003A0C5C" w:rsidRDefault="00FF5E9B" w:rsidP="003C2FE6">
            <w:pPr>
              <w:pStyle w:val="Tabletext"/>
              <w:jc w:val="center"/>
              <w:rPr>
                <w:rFonts w:cs="Arial"/>
                <w:szCs w:val="16"/>
              </w:rPr>
            </w:pPr>
            <w:r w:rsidRPr="003A0C5C">
              <w:rPr>
                <w:rFonts w:cs="Arial"/>
                <w:szCs w:val="16"/>
              </w:rPr>
              <w:t>1</w:t>
            </w:r>
            <w:r w:rsidR="00313B2A" w:rsidRPr="003A0C5C">
              <w:rPr>
                <w:rFonts w:cs="Arial"/>
                <w:szCs w:val="16"/>
              </w:rPr>
              <w:t>4</w:t>
            </w:r>
          </w:p>
        </w:tc>
        <w:tc>
          <w:tcPr>
            <w:tcW w:w="0" w:type="auto"/>
            <w:tcBorders>
              <w:top w:val="nil"/>
              <w:left w:val="nil"/>
              <w:bottom w:val="nil"/>
              <w:right w:val="nil"/>
            </w:tcBorders>
            <w:shd w:val="clear" w:color="auto" w:fill="auto"/>
            <w:vAlign w:val="center"/>
          </w:tcPr>
          <w:p w14:paraId="59E07E13" w14:textId="77777777" w:rsidR="00FF5E9B" w:rsidRPr="003A0C5C" w:rsidRDefault="00FF5E9B" w:rsidP="003C2FE6">
            <w:pPr>
              <w:pStyle w:val="Tabletext"/>
              <w:jc w:val="center"/>
              <w:rPr>
                <w:rFonts w:cs="Arial"/>
                <w:szCs w:val="16"/>
              </w:rPr>
            </w:pPr>
            <w:r w:rsidRPr="003A0C5C">
              <w:rPr>
                <w:rFonts w:cs="Arial"/>
                <w:szCs w:val="16"/>
              </w:rPr>
              <w:t>&lt;1</w:t>
            </w:r>
          </w:p>
        </w:tc>
        <w:tc>
          <w:tcPr>
            <w:tcW w:w="0" w:type="auto"/>
            <w:tcBorders>
              <w:top w:val="nil"/>
              <w:left w:val="nil"/>
              <w:bottom w:val="nil"/>
              <w:right w:val="nil"/>
            </w:tcBorders>
            <w:shd w:val="clear" w:color="auto" w:fill="auto"/>
            <w:vAlign w:val="center"/>
          </w:tcPr>
          <w:p w14:paraId="1451949E" w14:textId="77777777" w:rsidR="00FF5E9B" w:rsidRPr="003A0C5C" w:rsidRDefault="00FF5E9B" w:rsidP="003C2FE6">
            <w:pPr>
              <w:pStyle w:val="Tabletext"/>
              <w:jc w:val="center"/>
              <w:rPr>
                <w:rFonts w:cs="Arial"/>
                <w:szCs w:val="16"/>
              </w:rPr>
            </w:pPr>
            <w:r w:rsidRPr="003A0C5C">
              <w:rPr>
                <w:rFonts w:cs="Arial"/>
                <w:szCs w:val="16"/>
              </w:rPr>
              <w:t>&lt;1</w:t>
            </w:r>
          </w:p>
        </w:tc>
        <w:tc>
          <w:tcPr>
            <w:tcW w:w="0" w:type="auto"/>
            <w:tcBorders>
              <w:top w:val="nil"/>
              <w:left w:val="nil"/>
              <w:bottom w:val="nil"/>
              <w:right w:val="nil"/>
            </w:tcBorders>
            <w:shd w:val="clear" w:color="auto" w:fill="auto"/>
            <w:vAlign w:val="center"/>
          </w:tcPr>
          <w:p w14:paraId="18BF3297" w14:textId="77777777" w:rsidR="00FF5E9B" w:rsidRPr="003A0C5C" w:rsidRDefault="00FF5E9B" w:rsidP="003C2FE6">
            <w:pPr>
              <w:pStyle w:val="Tabletext"/>
              <w:jc w:val="center"/>
              <w:rPr>
                <w:rFonts w:cs="Arial"/>
                <w:szCs w:val="16"/>
              </w:rPr>
            </w:pPr>
            <w:r w:rsidRPr="003A0C5C">
              <w:rPr>
                <w:rFonts w:cs="Arial"/>
                <w:szCs w:val="16"/>
              </w:rPr>
              <w:t>&lt;1</w:t>
            </w:r>
          </w:p>
        </w:tc>
      </w:tr>
      <w:tr w:rsidR="003A0C5C" w:rsidRPr="003A0C5C" w14:paraId="0117810E" w14:textId="77777777" w:rsidTr="00541876">
        <w:trPr>
          <w:cantSplit/>
          <w:jc w:val="center"/>
        </w:trPr>
        <w:tc>
          <w:tcPr>
            <w:tcW w:w="0" w:type="auto"/>
          </w:tcPr>
          <w:p w14:paraId="199792BE" w14:textId="77777777" w:rsidR="00FF5E9B" w:rsidRPr="003A0C5C" w:rsidRDefault="00FF5E9B" w:rsidP="003C2FE6">
            <w:pPr>
              <w:pStyle w:val="Tabletext"/>
              <w:keepNext/>
              <w:rPr>
                <w:rStyle w:val="BoldItalic"/>
              </w:rPr>
            </w:pPr>
            <w:r w:rsidRPr="003A0C5C">
              <w:rPr>
                <w:rStyle w:val="BoldItalic"/>
              </w:rPr>
              <w:t>Total Project On-Site and Off-Site Emissions</w:t>
            </w:r>
          </w:p>
        </w:tc>
        <w:tc>
          <w:tcPr>
            <w:tcW w:w="0" w:type="auto"/>
            <w:tcBorders>
              <w:top w:val="nil"/>
              <w:left w:val="nil"/>
              <w:bottom w:val="nil"/>
              <w:right w:val="nil"/>
            </w:tcBorders>
            <w:shd w:val="clear" w:color="auto" w:fill="auto"/>
            <w:vAlign w:val="center"/>
          </w:tcPr>
          <w:p w14:paraId="66E54914" w14:textId="77777777" w:rsidR="00FF5E9B" w:rsidRPr="003A0C5C" w:rsidRDefault="00FF5E9B" w:rsidP="003C2FE6">
            <w:pPr>
              <w:pStyle w:val="Tabletext"/>
              <w:jc w:val="center"/>
              <w:rPr>
                <w:rStyle w:val="BoldItalic"/>
                <w:rFonts w:cs="Arial"/>
                <w:szCs w:val="16"/>
              </w:rPr>
            </w:pPr>
            <w:r w:rsidRPr="003A0C5C">
              <w:rPr>
                <w:rFonts w:cs="Arial"/>
                <w:b/>
                <w:bCs/>
                <w:szCs w:val="16"/>
              </w:rPr>
              <w:t>4</w:t>
            </w:r>
          </w:p>
        </w:tc>
        <w:tc>
          <w:tcPr>
            <w:tcW w:w="0" w:type="auto"/>
            <w:tcBorders>
              <w:top w:val="nil"/>
              <w:left w:val="nil"/>
              <w:bottom w:val="nil"/>
              <w:right w:val="nil"/>
            </w:tcBorders>
            <w:shd w:val="clear" w:color="auto" w:fill="auto"/>
            <w:vAlign w:val="center"/>
          </w:tcPr>
          <w:p w14:paraId="05317E1A" w14:textId="77777777" w:rsidR="00FF5E9B" w:rsidRPr="003A0C5C" w:rsidRDefault="00FF5E9B" w:rsidP="003C2FE6">
            <w:pPr>
              <w:pStyle w:val="Tabletext"/>
              <w:jc w:val="center"/>
              <w:rPr>
                <w:rStyle w:val="BoldItalic"/>
                <w:rFonts w:cs="Arial"/>
                <w:szCs w:val="16"/>
              </w:rPr>
            </w:pPr>
            <w:r w:rsidRPr="003A0C5C">
              <w:rPr>
                <w:rFonts w:cs="Arial"/>
                <w:b/>
                <w:bCs/>
                <w:szCs w:val="16"/>
              </w:rPr>
              <w:t>2</w:t>
            </w:r>
          </w:p>
        </w:tc>
        <w:tc>
          <w:tcPr>
            <w:tcW w:w="0" w:type="auto"/>
            <w:tcBorders>
              <w:top w:val="nil"/>
              <w:left w:val="nil"/>
              <w:bottom w:val="nil"/>
              <w:right w:val="nil"/>
            </w:tcBorders>
            <w:shd w:val="clear" w:color="auto" w:fill="auto"/>
            <w:vAlign w:val="center"/>
          </w:tcPr>
          <w:p w14:paraId="56BF6C42" w14:textId="7A303EB9" w:rsidR="00FF5E9B" w:rsidRPr="003A0C5C" w:rsidRDefault="00FF5E9B" w:rsidP="003C2FE6">
            <w:pPr>
              <w:pStyle w:val="Tabletext"/>
              <w:jc w:val="center"/>
              <w:rPr>
                <w:rStyle w:val="BoldItalic"/>
                <w:rFonts w:cs="Arial"/>
                <w:szCs w:val="16"/>
              </w:rPr>
            </w:pPr>
            <w:r w:rsidRPr="003A0C5C">
              <w:rPr>
                <w:rFonts w:cs="Arial"/>
                <w:b/>
                <w:bCs/>
                <w:szCs w:val="16"/>
              </w:rPr>
              <w:t>1</w:t>
            </w:r>
            <w:r w:rsidR="002749F5" w:rsidRPr="003A0C5C">
              <w:rPr>
                <w:rFonts w:cs="Arial"/>
                <w:b/>
                <w:bCs/>
                <w:szCs w:val="16"/>
              </w:rPr>
              <w:t>4</w:t>
            </w:r>
          </w:p>
        </w:tc>
        <w:tc>
          <w:tcPr>
            <w:tcW w:w="0" w:type="auto"/>
            <w:tcBorders>
              <w:top w:val="nil"/>
              <w:left w:val="nil"/>
              <w:bottom w:val="nil"/>
              <w:right w:val="nil"/>
            </w:tcBorders>
            <w:shd w:val="clear" w:color="auto" w:fill="auto"/>
            <w:vAlign w:val="center"/>
          </w:tcPr>
          <w:p w14:paraId="08A8FE64" w14:textId="77777777" w:rsidR="00FF5E9B" w:rsidRPr="003A0C5C" w:rsidRDefault="00FF5E9B" w:rsidP="003C2FE6">
            <w:pPr>
              <w:pStyle w:val="Tabletext"/>
              <w:jc w:val="center"/>
              <w:rPr>
                <w:rStyle w:val="BoldItalic"/>
                <w:rFonts w:cs="Arial"/>
                <w:b w:val="0"/>
                <w:szCs w:val="16"/>
              </w:rPr>
            </w:pPr>
            <w:r w:rsidRPr="003A0C5C">
              <w:rPr>
                <w:rFonts w:cs="Arial"/>
                <w:b/>
                <w:szCs w:val="16"/>
              </w:rPr>
              <w:t>&lt;1</w:t>
            </w:r>
          </w:p>
        </w:tc>
        <w:tc>
          <w:tcPr>
            <w:tcW w:w="0" w:type="auto"/>
            <w:tcBorders>
              <w:top w:val="nil"/>
              <w:left w:val="nil"/>
              <w:bottom w:val="nil"/>
              <w:right w:val="nil"/>
            </w:tcBorders>
            <w:shd w:val="clear" w:color="auto" w:fill="auto"/>
            <w:vAlign w:val="center"/>
          </w:tcPr>
          <w:p w14:paraId="5633F0B5" w14:textId="77777777" w:rsidR="00FF5E9B" w:rsidRPr="003A0C5C" w:rsidRDefault="00FF5E9B" w:rsidP="003C2FE6">
            <w:pPr>
              <w:pStyle w:val="Tabletext"/>
              <w:jc w:val="center"/>
              <w:rPr>
                <w:rStyle w:val="BoldItalic"/>
                <w:rFonts w:cs="Arial"/>
                <w:szCs w:val="16"/>
              </w:rPr>
            </w:pPr>
            <w:r w:rsidRPr="003A0C5C">
              <w:rPr>
                <w:rFonts w:cs="Arial"/>
                <w:b/>
                <w:bCs/>
                <w:szCs w:val="16"/>
              </w:rPr>
              <w:t>&lt;1</w:t>
            </w:r>
          </w:p>
        </w:tc>
        <w:tc>
          <w:tcPr>
            <w:tcW w:w="0" w:type="auto"/>
            <w:tcBorders>
              <w:top w:val="nil"/>
              <w:left w:val="nil"/>
              <w:bottom w:val="nil"/>
              <w:right w:val="nil"/>
            </w:tcBorders>
            <w:shd w:val="clear" w:color="auto" w:fill="auto"/>
            <w:vAlign w:val="center"/>
          </w:tcPr>
          <w:p w14:paraId="21A63A4E" w14:textId="77777777" w:rsidR="00FF5E9B" w:rsidRPr="003A0C5C" w:rsidRDefault="00FF5E9B" w:rsidP="003C2FE6">
            <w:pPr>
              <w:pStyle w:val="Tabletext"/>
              <w:jc w:val="center"/>
              <w:rPr>
                <w:rStyle w:val="BoldItalic"/>
                <w:rFonts w:cs="Arial"/>
                <w:szCs w:val="16"/>
              </w:rPr>
            </w:pPr>
            <w:r w:rsidRPr="003A0C5C">
              <w:rPr>
                <w:rFonts w:cs="Arial"/>
                <w:b/>
                <w:szCs w:val="16"/>
              </w:rPr>
              <w:t>&lt;1</w:t>
            </w:r>
          </w:p>
        </w:tc>
      </w:tr>
      <w:tr w:rsidR="003A0C5C" w:rsidRPr="003A0C5C" w14:paraId="1922EE4E" w14:textId="77777777" w:rsidTr="00541876">
        <w:trPr>
          <w:cantSplit/>
          <w:jc w:val="center"/>
        </w:trPr>
        <w:tc>
          <w:tcPr>
            <w:tcW w:w="0" w:type="auto"/>
            <w:tcBorders>
              <w:top w:val="single" w:sz="4" w:space="0" w:color="auto"/>
            </w:tcBorders>
          </w:tcPr>
          <w:p w14:paraId="7DBEAAD5" w14:textId="77777777" w:rsidR="00FF5E9B" w:rsidRPr="003A0C5C" w:rsidRDefault="00FF5E9B" w:rsidP="003C2FE6">
            <w:pPr>
              <w:pStyle w:val="Tabletext"/>
              <w:keepNext/>
            </w:pPr>
            <w:r w:rsidRPr="003A0C5C">
              <w:t>SCAQMD Regional Threshold</w:t>
            </w:r>
          </w:p>
        </w:tc>
        <w:tc>
          <w:tcPr>
            <w:tcW w:w="0" w:type="auto"/>
            <w:tcBorders>
              <w:top w:val="single" w:sz="4" w:space="0" w:color="auto"/>
            </w:tcBorders>
          </w:tcPr>
          <w:p w14:paraId="16ACA8CA" w14:textId="77777777" w:rsidR="00FF5E9B" w:rsidRPr="003A0C5C" w:rsidRDefault="00FF5E9B" w:rsidP="003C2FE6">
            <w:pPr>
              <w:pStyle w:val="Tabletext"/>
              <w:jc w:val="center"/>
            </w:pPr>
            <w:r w:rsidRPr="003A0C5C">
              <w:t>55</w:t>
            </w:r>
          </w:p>
        </w:tc>
        <w:tc>
          <w:tcPr>
            <w:tcW w:w="0" w:type="auto"/>
            <w:tcBorders>
              <w:top w:val="single" w:sz="4" w:space="0" w:color="auto"/>
            </w:tcBorders>
          </w:tcPr>
          <w:p w14:paraId="78D412B0" w14:textId="77777777" w:rsidR="00FF5E9B" w:rsidRPr="003A0C5C" w:rsidRDefault="00FF5E9B" w:rsidP="003C2FE6">
            <w:pPr>
              <w:pStyle w:val="Tabletext"/>
              <w:jc w:val="center"/>
            </w:pPr>
            <w:r w:rsidRPr="003A0C5C">
              <w:t>55</w:t>
            </w:r>
          </w:p>
        </w:tc>
        <w:tc>
          <w:tcPr>
            <w:tcW w:w="0" w:type="auto"/>
            <w:tcBorders>
              <w:top w:val="single" w:sz="4" w:space="0" w:color="auto"/>
            </w:tcBorders>
          </w:tcPr>
          <w:p w14:paraId="7ADDEAD0" w14:textId="77777777" w:rsidR="00FF5E9B" w:rsidRPr="003A0C5C" w:rsidRDefault="00FF5E9B" w:rsidP="003C2FE6">
            <w:pPr>
              <w:pStyle w:val="Tabletext"/>
              <w:jc w:val="center"/>
            </w:pPr>
            <w:r w:rsidRPr="003A0C5C">
              <w:t>550</w:t>
            </w:r>
          </w:p>
        </w:tc>
        <w:tc>
          <w:tcPr>
            <w:tcW w:w="0" w:type="auto"/>
            <w:tcBorders>
              <w:top w:val="single" w:sz="4" w:space="0" w:color="auto"/>
            </w:tcBorders>
          </w:tcPr>
          <w:p w14:paraId="2E861796" w14:textId="77777777" w:rsidR="00FF5E9B" w:rsidRPr="003A0C5C" w:rsidRDefault="00FF5E9B" w:rsidP="003C2FE6">
            <w:pPr>
              <w:pStyle w:val="Tabletext"/>
              <w:jc w:val="center"/>
            </w:pPr>
            <w:r w:rsidRPr="003A0C5C">
              <w:t>150</w:t>
            </w:r>
          </w:p>
        </w:tc>
        <w:tc>
          <w:tcPr>
            <w:tcW w:w="0" w:type="auto"/>
            <w:tcBorders>
              <w:top w:val="single" w:sz="4" w:space="0" w:color="auto"/>
            </w:tcBorders>
          </w:tcPr>
          <w:p w14:paraId="6943B03A" w14:textId="77777777" w:rsidR="00FF5E9B" w:rsidRPr="003A0C5C" w:rsidRDefault="00FF5E9B" w:rsidP="003C2FE6">
            <w:pPr>
              <w:pStyle w:val="Tabletext"/>
              <w:jc w:val="center"/>
            </w:pPr>
            <w:r w:rsidRPr="003A0C5C">
              <w:t>150</w:t>
            </w:r>
          </w:p>
        </w:tc>
        <w:tc>
          <w:tcPr>
            <w:tcW w:w="0" w:type="auto"/>
            <w:tcBorders>
              <w:top w:val="single" w:sz="4" w:space="0" w:color="auto"/>
            </w:tcBorders>
          </w:tcPr>
          <w:p w14:paraId="64CC9FFF" w14:textId="77777777" w:rsidR="00FF5E9B" w:rsidRPr="003A0C5C" w:rsidRDefault="00FF5E9B" w:rsidP="003C2FE6">
            <w:pPr>
              <w:pStyle w:val="Tabletext"/>
              <w:jc w:val="center"/>
            </w:pPr>
            <w:r w:rsidRPr="003A0C5C">
              <w:t>55</w:t>
            </w:r>
          </w:p>
        </w:tc>
      </w:tr>
      <w:tr w:rsidR="003A0C5C" w:rsidRPr="003A0C5C" w14:paraId="451A52AE" w14:textId="77777777" w:rsidTr="00541876">
        <w:trPr>
          <w:cantSplit/>
          <w:jc w:val="center"/>
        </w:trPr>
        <w:tc>
          <w:tcPr>
            <w:tcW w:w="0" w:type="auto"/>
            <w:tcBorders>
              <w:bottom w:val="single" w:sz="4" w:space="0" w:color="000000"/>
            </w:tcBorders>
          </w:tcPr>
          <w:p w14:paraId="6C1CD2B1" w14:textId="77777777" w:rsidR="00FF5E9B" w:rsidRPr="003A0C5C" w:rsidRDefault="00FF5E9B" w:rsidP="003C2FE6">
            <w:pPr>
              <w:pStyle w:val="Tabletext"/>
              <w:keepNext/>
            </w:pPr>
            <w:r w:rsidRPr="003A0C5C">
              <w:t>Threshold Exceeded?</w:t>
            </w:r>
          </w:p>
        </w:tc>
        <w:tc>
          <w:tcPr>
            <w:tcW w:w="0" w:type="auto"/>
            <w:tcBorders>
              <w:bottom w:val="single" w:sz="4" w:space="0" w:color="000000"/>
            </w:tcBorders>
          </w:tcPr>
          <w:p w14:paraId="28CBBE86" w14:textId="77777777" w:rsidR="00FF5E9B" w:rsidRPr="003A0C5C" w:rsidRDefault="00FF5E9B" w:rsidP="003C2FE6">
            <w:pPr>
              <w:pStyle w:val="Tabletext"/>
              <w:jc w:val="center"/>
            </w:pPr>
            <w:r w:rsidRPr="003A0C5C">
              <w:t>No</w:t>
            </w:r>
          </w:p>
        </w:tc>
        <w:tc>
          <w:tcPr>
            <w:tcW w:w="0" w:type="auto"/>
            <w:tcBorders>
              <w:bottom w:val="single" w:sz="4" w:space="0" w:color="000000"/>
            </w:tcBorders>
          </w:tcPr>
          <w:p w14:paraId="2B58D5A6" w14:textId="77777777" w:rsidR="00FF5E9B" w:rsidRPr="003A0C5C" w:rsidRDefault="00FF5E9B" w:rsidP="003C2FE6">
            <w:pPr>
              <w:pStyle w:val="Tabletext"/>
              <w:jc w:val="center"/>
            </w:pPr>
            <w:r w:rsidRPr="003A0C5C">
              <w:t>No</w:t>
            </w:r>
          </w:p>
        </w:tc>
        <w:tc>
          <w:tcPr>
            <w:tcW w:w="0" w:type="auto"/>
            <w:tcBorders>
              <w:bottom w:val="single" w:sz="4" w:space="0" w:color="000000"/>
            </w:tcBorders>
          </w:tcPr>
          <w:p w14:paraId="0A091946" w14:textId="77777777" w:rsidR="00FF5E9B" w:rsidRPr="003A0C5C" w:rsidRDefault="00FF5E9B" w:rsidP="003C2FE6">
            <w:pPr>
              <w:pStyle w:val="Tabletext"/>
              <w:jc w:val="center"/>
            </w:pPr>
            <w:r w:rsidRPr="003A0C5C">
              <w:t>No</w:t>
            </w:r>
          </w:p>
        </w:tc>
        <w:tc>
          <w:tcPr>
            <w:tcW w:w="0" w:type="auto"/>
            <w:tcBorders>
              <w:bottom w:val="single" w:sz="4" w:space="0" w:color="000000"/>
            </w:tcBorders>
          </w:tcPr>
          <w:p w14:paraId="1A1B4F59" w14:textId="77777777" w:rsidR="00FF5E9B" w:rsidRPr="003A0C5C" w:rsidRDefault="00FF5E9B" w:rsidP="003C2FE6">
            <w:pPr>
              <w:pStyle w:val="Tabletext"/>
              <w:jc w:val="center"/>
            </w:pPr>
            <w:r w:rsidRPr="003A0C5C">
              <w:t>No</w:t>
            </w:r>
          </w:p>
        </w:tc>
        <w:tc>
          <w:tcPr>
            <w:tcW w:w="0" w:type="auto"/>
            <w:tcBorders>
              <w:bottom w:val="single" w:sz="4" w:space="0" w:color="000000"/>
            </w:tcBorders>
          </w:tcPr>
          <w:p w14:paraId="24BFD6A9" w14:textId="77777777" w:rsidR="00FF5E9B" w:rsidRPr="003A0C5C" w:rsidRDefault="00FF5E9B" w:rsidP="003C2FE6">
            <w:pPr>
              <w:pStyle w:val="Tabletext"/>
              <w:jc w:val="center"/>
            </w:pPr>
            <w:r w:rsidRPr="003A0C5C">
              <w:t>No</w:t>
            </w:r>
          </w:p>
        </w:tc>
        <w:tc>
          <w:tcPr>
            <w:tcW w:w="0" w:type="auto"/>
            <w:tcBorders>
              <w:bottom w:val="single" w:sz="4" w:space="0" w:color="000000"/>
            </w:tcBorders>
          </w:tcPr>
          <w:p w14:paraId="6E9AD640" w14:textId="77777777" w:rsidR="00FF5E9B" w:rsidRPr="003A0C5C" w:rsidRDefault="00FF5E9B" w:rsidP="003C2FE6">
            <w:pPr>
              <w:pStyle w:val="Tabletext"/>
              <w:jc w:val="center"/>
            </w:pPr>
            <w:r w:rsidRPr="003A0C5C">
              <w:t>No</w:t>
            </w:r>
          </w:p>
        </w:tc>
      </w:tr>
      <w:tr w:rsidR="00FF5E9B" w:rsidRPr="003A0C5C" w14:paraId="7D0F3E26" w14:textId="77777777" w:rsidTr="00541876">
        <w:trPr>
          <w:cantSplit/>
          <w:jc w:val="center"/>
        </w:trPr>
        <w:tc>
          <w:tcPr>
            <w:tcW w:w="0" w:type="auto"/>
            <w:gridSpan w:val="7"/>
            <w:tcBorders>
              <w:top w:val="single" w:sz="4" w:space="0" w:color="000000"/>
              <w:bottom w:val="single" w:sz="4" w:space="0" w:color="000000"/>
            </w:tcBorders>
          </w:tcPr>
          <w:p w14:paraId="1DE2B9C0" w14:textId="77777777" w:rsidR="00FF5E9B" w:rsidRPr="003A0C5C" w:rsidRDefault="00FF5E9B" w:rsidP="00A52381">
            <w:pPr>
              <w:pStyle w:val="TableNotes"/>
              <w:spacing w:before="120"/>
            </w:pPr>
            <w:r w:rsidRPr="003A0C5C">
              <w:t>NOTES:</w:t>
            </w:r>
          </w:p>
          <w:p w14:paraId="1DFCBABE" w14:textId="57E5EBD6" w:rsidR="00FF5E9B" w:rsidRPr="003A0C5C" w:rsidRDefault="00FF5E9B" w:rsidP="00A52381">
            <w:pPr>
              <w:pStyle w:val="TableNotes"/>
              <w:spacing w:before="60" w:after="60"/>
            </w:pPr>
            <w:r w:rsidRPr="003A0C5C">
              <w:t xml:space="preserve">Totals may not add up exactly due to rounding in the modeling calculations. </w:t>
            </w:r>
            <w:r w:rsidR="00DE6129" w:rsidRPr="003A0C5C">
              <w:t xml:space="preserve">Refer to </w:t>
            </w:r>
            <w:r w:rsidR="00DE6129" w:rsidRPr="003A0C5C">
              <w:rPr>
                <w:b/>
                <w:bCs/>
              </w:rPr>
              <w:t>Appendix A</w:t>
            </w:r>
            <w:r w:rsidR="00DE6129" w:rsidRPr="003A0C5C">
              <w:t xml:space="preserve"> of this IS/MND for details.</w:t>
            </w:r>
          </w:p>
          <w:p w14:paraId="0394C326" w14:textId="61B0F452" w:rsidR="00FF5E9B" w:rsidRPr="003A0C5C" w:rsidRDefault="00FF5E9B" w:rsidP="00A52381">
            <w:pPr>
              <w:pStyle w:val="TableSource"/>
              <w:spacing w:after="120"/>
              <w:rPr>
                <w:w w:val="99"/>
                <w:highlight w:val="yellow"/>
              </w:rPr>
            </w:pPr>
            <w:r w:rsidRPr="003A0C5C">
              <w:t>SOURCE:</w:t>
            </w:r>
            <w:r w:rsidRPr="003A0C5C">
              <w:tab/>
              <w:t xml:space="preserve">ESA </w:t>
            </w:r>
            <w:r w:rsidR="00E653B4" w:rsidRPr="003A0C5C">
              <w:t>2022</w:t>
            </w:r>
          </w:p>
        </w:tc>
      </w:tr>
    </w:tbl>
    <w:p w14:paraId="4CD04498" w14:textId="77777777" w:rsidR="00FF5E9B" w:rsidRPr="003A0C5C" w:rsidRDefault="00FF5E9B" w:rsidP="00160F99">
      <w:pPr>
        <w:pStyle w:val="12spaceindentcontinue"/>
        <w:spacing w:after="180"/>
      </w:pPr>
    </w:p>
    <w:p w14:paraId="6CE460BF" w14:textId="1FCDF795" w:rsidR="00FF5E9B" w:rsidRPr="003A0C5C" w:rsidRDefault="00FF5E9B" w:rsidP="0020432B">
      <w:pPr>
        <w:pStyle w:val="12spaceindentcontinue"/>
        <w:keepNext/>
        <w:spacing w:after="180"/>
      </w:pPr>
      <w:r w:rsidRPr="003A0C5C">
        <w:t xml:space="preserve">A significant impact may occur if a project were to add a cumulatively considerable contribution of a federal or </w:t>
      </w:r>
      <w:r w:rsidR="001C20F9" w:rsidRPr="003A0C5C">
        <w:t>State</w:t>
      </w:r>
      <w:r w:rsidRPr="003A0C5C">
        <w:t xml:space="preserve"> non-attainment pollutant. The Basin is currently in non-attainment for ozone (federal and </w:t>
      </w:r>
      <w:r w:rsidR="001C20F9" w:rsidRPr="003A0C5C">
        <w:t>State</w:t>
      </w:r>
      <w:r w:rsidRPr="003A0C5C">
        <w:t xml:space="preserve"> standards), PM10 (</w:t>
      </w:r>
      <w:r w:rsidR="001C20F9" w:rsidRPr="003A0C5C">
        <w:t>State</w:t>
      </w:r>
      <w:r w:rsidRPr="003A0C5C">
        <w:t xml:space="preserve"> standards only) and PM2.5 (federal and </w:t>
      </w:r>
      <w:r w:rsidR="001C20F9" w:rsidRPr="003A0C5C">
        <w:t>State</w:t>
      </w:r>
      <w:r w:rsidRPr="003A0C5C">
        <w:t xml:space="preserve"> standards); therefore, related projects could cause ambient concentrations to exceed an air quality standard or contribute to an existing or projected air quality exceedance. Cumulative impacts to air quality are evaluated under two sets of thresholds for CEQA and SCAQMD. In particular, CEQA Guidelines </w:t>
      </w:r>
      <w:r w:rsidR="00D67C7E" w:rsidRPr="003A0C5C">
        <w:t>S</w:t>
      </w:r>
      <w:r w:rsidRPr="003A0C5C">
        <w:t xml:space="preserve">ection 15064(h)(3) provides guidance in determining the significance of cumulative impacts. Specifically, </w:t>
      </w:r>
      <w:r w:rsidR="00D67C7E" w:rsidRPr="003A0C5C">
        <w:t>CEQA Guidelines S</w:t>
      </w:r>
      <w:r w:rsidRPr="003A0C5C">
        <w:t>ection 15064(h)(3) states in part that:</w:t>
      </w:r>
    </w:p>
    <w:p w14:paraId="10605DF3" w14:textId="77777777" w:rsidR="00FF5E9B" w:rsidRPr="003A0C5C" w:rsidRDefault="00FF5E9B" w:rsidP="00446F53">
      <w:pPr>
        <w:pStyle w:val="Quote"/>
        <w:ind w:left="1440"/>
        <w:rPr>
          <w:rFonts w:cs="Times New Roman"/>
          <w:spacing w:val="-2"/>
        </w:rPr>
      </w:pPr>
      <w:r w:rsidRPr="003A0C5C">
        <w:rPr>
          <w:spacing w:val="-2"/>
        </w:rPr>
        <w:t>A lead agency may determine that a project’s incremental contribution to a cumulative effect is not cumulatively considerable if the project will comply with the requirements in a previously approved plan or mitigation program which provides specific requirements that will avoid or substantially lessen the cumulative problem (e.g., water quality control plan, air quality plan, integrated waste management plan) within the geographic area in which the project is located. Such plans or programs must be specified in law or adopted by the public agency with jurisdiction over the affected resources through a public review process to implement, interpret, or make specific the law enforced or administered by the public agency …</w:t>
      </w:r>
    </w:p>
    <w:p w14:paraId="5C00EFBE" w14:textId="3B9FC2AE" w:rsidR="00FF5E9B" w:rsidRPr="003A0C5C" w:rsidRDefault="00FF5E9B" w:rsidP="0020432B">
      <w:pPr>
        <w:pStyle w:val="12spaceindentcontinue"/>
        <w:rPr>
          <w:spacing w:val="-2"/>
        </w:rPr>
      </w:pPr>
      <w:r w:rsidRPr="003A0C5C">
        <w:rPr>
          <w:spacing w:val="-2"/>
        </w:rPr>
        <w:t xml:space="preserve">For purposes of the cumulative air quality analysis with respect to CEQA Guidelines </w:t>
      </w:r>
      <w:r w:rsidR="00356D58" w:rsidRPr="003A0C5C">
        <w:rPr>
          <w:spacing w:val="-2"/>
        </w:rPr>
        <w:t>Section </w:t>
      </w:r>
      <w:r w:rsidRPr="003A0C5C">
        <w:rPr>
          <w:spacing w:val="-2"/>
        </w:rPr>
        <w:t xml:space="preserve">15064(h)(3), the </w:t>
      </w:r>
      <w:r w:rsidR="0084727C" w:rsidRPr="003A0C5C">
        <w:rPr>
          <w:spacing w:val="-2"/>
        </w:rPr>
        <w:t xml:space="preserve">proposed </w:t>
      </w:r>
      <w:r w:rsidRPr="003A0C5C">
        <w:rPr>
          <w:spacing w:val="-2"/>
        </w:rPr>
        <w:t xml:space="preserve">project’s incremental contribution to cumulative air quality impacts is determined based on compliance with the SCAQMD adopted 2016 AQMP. As discussed previously under </w:t>
      </w:r>
      <w:r w:rsidR="00CE64B3" w:rsidRPr="003A0C5C">
        <w:rPr>
          <w:spacing w:val="-2"/>
        </w:rPr>
        <w:t>Section III</w:t>
      </w:r>
      <w:r w:rsidRPr="003A0C5C">
        <w:rPr>
          <w:spacing w:val="-2"/>
        </w:rPr>
        <w:t> </w:t>
      </w:r>
      <w:r w:rsidR="00CE64B3" w:rsidRPr="003A0C5C">
        <w:rPr>
          <w:spacing w:val="-2"/>
        </w:rPr>
        <w:t>(</w:t>
      </w:r>
      <w:r w:rsidRPr="003A0C5C">
        <w:rPr>
          <w:spacing w:val="-2"/>
        </w:rPr>
        <w:t>a</w:t>
      </w:r>
      <w:r w:rsidR="00CE64B3" w:rsidRPr="003A0C5C">
        <w:rPr>
          <w:spacing w:val="-2"/>
        </w:rPr>
        <w:t>)</w:t>
      </w:r>
      <w:r w:rsidRPr="003A0C5C">
        <w:rPr>
          <w:spacing w:val="-2"/>
        </w:rPr>
        <w:t xml:space="preserve"> above, the </w:t>
      </w:r>
      <w:r w:rsidR="007C360E" w:rsidRPr="003A0C5C">
        <w:rPr>
          <w:spacing w:val="-2"/>
        </w:rPr>
        <w:t xml:space="preserve">proposed </w:t>
      </w:r>
      <w:r w:rsidRPr="003A0C5C">
        <w:rPr>
          <w:spacing w:val="-2"/>
        </w:rPr>
        <w:t xml:space="preserve">project would be consistent with the 2016 AQMP and would not have a cumulatively considerable air quality impact. Although the </w:t>
      </w:r>
      <w:r w:rsidR="007C360E" w:rsidRPr="003A0C5C">
        <w:rPr>
          <w:spacing w:val="-2"/>
        </w:rPr>
        <w:t xml:space="preserve">proposed </w:t>
      </w:r>
      <w:r w:rsidRPr="003A0C5C">
        <w:rPr>
          <w:spacing w:val="-2"/>
        </w:rPr>
        <w:t>project’s employment would increase compared to existing conditions, this growth would be well within the employment projections for the City.</w:t>
      </w:r>
    </w:p>
    <w:p w14:paraId="2AFA3C45" w14:textId="222ED469" w:rsidR="00FF5E9B" w:rsidRPr="003A0C5C" w:rsidRDefault="00FF5E9B" w:rsidP="0020432B">
      <w:pPr>
        <w:pStyle w:val="12spaceindentcontinue"/>
      </w:pPr>
      <w:r w:rsidRPr="003A0C5C">
        <w:t xml:space="preserve">As the </w:t>
      </w:r>
      <w:r w:rsidR="007C360E" w:rsidRPr="003A0C5C">
        <w:t xml:space="preserve">proposed </w:t>
      </w:r>
      <w:r w:rsidRPr="003A0C5C">
        <w:t xml:space="preserve">project is not part of an ongoing regulatory program, the SCAQMD also recommends that project-specific air quality impacts be used to determine the potential </w:t>
      </w:r>
      <w:r w:rsidRPr="003A0C5C">
        <w:lastRenderedPageBreak/>
        <w:t xml:space="preserve">cumulative impacts to regional air quality. As shown in </w:t>
      </w:r>
      <w:r w:rsidRPr="003A0C5C">
        <w:rPr>
          <w:rStyle w:val="Bold"/>
        </w:rPr>
        <w:t>Table </w:t>
      </w:r>
      <w:r w:rsidR="004D1D08" w:rsidRPr="003A0C5C">
        <w:rPr>
          <w:rStyle w:val="Bold"/>
        </w:rPr>
        <w:t>2</w:t>
      </w:r>
      <w:r w:rsidRPr="003A0C5C">
        <w:t xml:space="preserve"> and </w:t>
      </w:r>
      <w:r w:rsidRPr="003A0C5C">
        <w:rPr>
          <w:rStyle w:val="Bold"/>
        </w:rPr>
        <w:t>Table </w:t>
      </w:r>
      <w:r w:rsidR="004D1D08" w:rsidRPr="003A0C5C">
        <w:rPr>
          <w:rStyle w:val="Bold"/>
        </w:rPr>
        <w:t>3</w:t>
      </w:r>
      <w:r w:rsidRPr="003A0C5C">
        <w:t xml:space="preserve">, peak daily emissions of construction and operation-related pollutants would not exceed SCAQMD regional significance thresholds. By applying SCAQMD’s cumulative air quality impact methodology, even though implementation of the </w:t>
      </w:r>
      <w:r w:rsidR="0084727C" w:rsidRPr="003A0C5C">
        <w:t xml:space="preserve">proposed </w:t>
      </w:r>
      <w:r w:rsidRPr="003A0C5C">
        <w:t xml:space="preserve">project would result in an addition of criteria pollutants, in conjunction with related projects in the region, cumulatively significant impacts would not occur. Therefore, the emissions of non-attainment pollutants and precursors generated by the </w:t>
      </w:r>
      <w:r w:rsidR="0084727C" w:rsidRPr="003A0C5C">
        <w:t xml:space="preserve">proposed </w:t>
      </w:r>
      <w:r w:rsidRPr="003A0C5C">
        <w:t>project would be less than significant and would not result in a cumulatively considerable air quality impact.</w:t>
      </w:r>
    </w:p>
    <w:p w14:paraId="5CE6DA4A" w14:textId="052D6DD0" w:rsidR="00FF5E9B" w:rsidRPr="003A0C5C" w:rsidRDefault="00FF5E9B" w:rsidP="0020432B">
      <w:pPr>
        <w:pStyle w:val="12spaceindent"/>
        <w:rPr>
          <w:rStyle w:val="12spaceChar"/>
        </w:rPr>
      </w:pPr>
      <w:r w:rsidRPr="003A0C5C">
        <w:rPr>
          <w:rFonts w:cs="Times New Roman"/>
        </w:rPr>
        <w:t>c)</w:t>
      </w:r>
      <w:r w:rsidRPr="003A0C5C">
        <w:rPr>
          <w:rFonts w:cs="Times New Roman"/>
        </w:rPr>
        <w:tab/>
      </w:r>
      <w:r w:rsidRPr="003A0C5C">
        <w:t>According to the SCAQMD CEQA Air Quality Handbook, sensitive receptors include residences, schools, playgrounds, childcare centers, athletic facilities, long-term health care facilities, rehabilitation centers, convalescent centers, and retirement homes.</w:t>
      </w:r>
      <w:r w:rsidR="002749F5" w:rsidRPr="003A0C5C">
        <w:t xml:space="preserve"> </w:t>
      </w:r>
    </w:p>
    <w:p w14:paraId="1F511DB4" w14:textId="7AFC65D9" w:rsidR="00FF5E9B" w:rsidRPr="003A0C5C" w:rsidRDefault="00FF5E9B" w:rsidP="0020432B">
      <w:pPr>
        <w:pStyle w:val="12spaceindentcontinue"/>
      </w:pPr>
      <w:r w:rsidRPr="003A0C5C">
        <w:rPr>
          <w:rFonts w:cs="Times New Roman"/>
          <w:lang w:eastAsia="ko-KR"/>
        </w:rPr>
        <w:t>The localized effects from the on</w:t>
      </w:r>
      <w:r w:rsidR="00FD5F91" w:rsidRPr="003A0C5C">
        <w:rPr>
          <w:rFonts w:cs="Times New Roman"/>
          <w:lang w:eastAsia="ko-KR"/>
        </w:rPr>
        <w:t>-</w:t>
      </w:r>
      <w:r w:rsidRPr="003A0C5C">
        <w:rPr>
          <w:rFonts w:cs="Times New Roman"/>
          <w:lang w:eastAsia="ko-KR"/>
        </w:rPr>
        <w:t>site portion of the</w:t>
      </w:r>
      <w:r w:rsidRPr="003A0C5C">
        <w:rPr>
          <w:lang w:eastAsia="ko-KR"/>
        </w:rPr>
        <w:t xml:space="preserve"> emissions </w:t>
      </w:r>
      <w:r w:rsidR="00B9384C" w:rsidRPr="003A0C5C">
        <w:rPr>
          <w:lang w:eastAsia="ko-KR"/>
        </w:rPr>
        <w:t xml:space="preserve">were </w:t>
      </w:r>
      <w:r w:rsidRPr="003A0C5C">
        <w:rPr>
          <w:lang w:eastAsia="ko-KR"/>
        </w:rPr>
        <w:t>evaluated at nearby sensitive receptor locations potentially impacted by the proposed project</w:t>
      </w:r>
      <w:r w:rsidRPr="003A0C5C" w:rsidDel="00993FC0">
        <w:rPr>
          <w:lang w:eastAsia="ko-KR"/>
        </w:rPr>
        <w:t xml:space="preserve"> </w:t>
      </w:r>
      <w:r w:rsidRPr="003A0C5C">
        <w:rPr>
          <w:lang w:eastAsia="ko-KR"/>
        </w:rPr>
        <w:t xml:space="preserve">according to the SCAQMD’s Localized Significance Threshold Methodology (June 2003, revised July 2008), which relies on on-site mass emission rate screening tables and project-specific dispersion modeling, which may be used for sites greater than 5 acres or for projects that exceed the screening tables, as appropriate (SCAQMD 2008). </w:t>
      </w:r>
      <w:r w:rsidRPr="003A0C5C">
        <w:t>LSTs represent the maximum emissions from a project site that are not expected to result in an exceedance of a NAAQS or CAAQS.</w:t>
      </w:r>
    </w:p>
    <w:p w14:paraId="05ED4D8C" w14:textId="3FDC3177" w:rsidR="00FF5E9B" w:rsidRPr="003A0C5C" w:rsidRDefault="00FF5E9B" w:rsidP="00A52381">
      <w:pPr>
        <w:pStyle w:val="12spaceindentcontinue"/>
      </w:pPr>
      <w:r w:rsidRPr="003A0C5C">
        <w:rPr>
          <w:lang w:eastAsia="ko-KR"/>
        </w:rPr>
        <w:t xml:space="preserve">The </w:t>
      </w:r>
      <w:r w:rsidR="00822499" w:rsidRPr="003A0C5C">
        <w:rPr>
          <w:lang w:eastAsia="ko-KR"/>
        </w:rPr>
        <w:t>LSTs</w:t>
      </w:r>
      <w:r w:rsidRPr="003A0C5C">
        <w:rPr>
          <w:lang w:eastAsia="ko-KR"/>
        </w:rPr>
        <w:t xml:space="preserve"> are applicable to NO</w:t>
      </w:r>
      <w:r w:rsidRPr="003A0C5C">
        <w:rPr>
          <w:vertAlign w:val="subscript"/>
          <w:lang w:eastAsia="ko-KR"/>
        </w:rPr>
        <w:t>X</w:t>
      </w:r>
      <w:r w:rsidRPr="003A0C5C">
        <w:rPr>
          <w:lang w:eastAsia="ko-KR"/>
        </w:rPr>
        <w:t>, CO, PM10, and PM2.5. For NO</w:t>
      </w:r>
      <w:r w:rsidRPr="003A0C5C">
        <w:rPr>
          <w:vertAlign w:val="subscript"/>
          <w:lang w:eastAsia="ko-KR"/>
        </w:rPr>
        <w:t>X</w:t>
      </w:r>
      <w:r w:rsidRPr="003A0C5C">
        <w:rPr>
          <w:lang w:eastAsia="ko-KR"/>
        </w:rPr>
        <w:t xml:space="preserve"> and CO, the thresholds are based on the ambient air quality standards. For PM10 and PM2.5, the thresholds are based on requirements in SCAQMD Rule 403 (Fugitive Dust) for construction and Rule 1303 (New Source Review Requirements) for operations. The SCAQMD has established screening criteria that can be used to determine the maximum allowable daily emissions that would satisfy the </w:t>
      </w:r>
      <w:r w:rsidR="00822499" w:rsidRPr="003A0C5C">
        <w:rPr>
          <w:lang w:eastAsia="ko-KR"/>
        </w:rPr>
        <w:t>LSTs</w:t>
      </w:r>
      <w:r w:rsidRPr="003A0C5C">
        <w:rPr>
          <w:lang w:eastAsia="ko-KR"/>
        </w:rPr>
        <w:t xml:space="preserve"> and, therefore, not cause or contribute to an exceedance of the applicable ambient air quality standards without project-specific dispersion modeling. The screening criteria depend on: (1) the area in which the project is located, (2) the size of the project area, and (3) the distance between the project area and the nearest sensitive receptor (e.g., residences, schools, hospitals). </w:t>
      </w:r>
      <w:r w:rsidRPr="003A0C5C">
        <w:t xml:space="preserve">For the </w:t>
      </w:r>
      <w:r w:rsidR="0084727C" w:rsidRPr="003A0C5C">
        <w:t xml:space="preserve">proposed </w:t>
      </w:r>
      <w:r w:rsidRPr="003A0C5C">
        <w:t>project, the appropriate Source Receptor Area (SRA) for the LST</w:t>
      </w:r>
      <w:r w:rsidR="00822499" w:rsidRPr="003A0C5C">
        <w:t>s</w:t>
      </w:r>
      <w:r w:rsidRPr="003A0C5C">
        <w:t xml:space="preserve"> is the South Los Angeles County Coastal monitoring station (SRA 4). </w:t>
      </w:r>
      <w:r w:rsidR="00B91F51" w:rsidRPr="003A0C5C">
        <w:t xml:space="preserve">The nearest sensitive receptors to the proposed project are the residential uses located </w:t>
      </w:r>
      <w:r w:rsidR="00FB7F45" w:rsidRPr="003A0C5C">
        <w:t>50 feet to</w:t>
      </w:r>
      <w:r w:rsidR="00B91F51" w:rsidRPr="003A0C5C">
        <w:t xml:space="preserve"> the north</w:t>
      </w:r>
      <w:r w:rsidR="00FB7F45" w:rsidRPr="003A0C5C">
        <w:t xml:space="preserve"> of the project site</w:t>
      </w:r>
      <w:r w:rsidR="00B91F51" w:rsidRPr="003A0C5C">
        <w:t xml:space="preserve">. </w:t>
      </w:r>
      <w:r w:rsidRPr="003A0C5C">
        <w:t>Since the total acreage disturbed is less than 5 acres, the LST analysis were based on the SCAQMD’s look-up tables for a 2.80-acre site in SRA 4 with sensitive receptors located 25 meters (82 feet) from the project site</w:t>
      </w:r>
      <w:r w:rsidR="00DE4F4B" w:rsidRPr="003A0C5C">
        <w:t xml:space="preserve"> </w:t>
      </w:r>
      <w:r w:rsidR="00DE4F4B" w:rsidRPr="003A0C5C">
        <w:rPr>
          <w:lang w:eastAsia="ko-KR"/>
        </w:rPr>
        <w:t>(June 2003, revised July 2008)</w:t>
      </w:r>
      <w:r w:rsidRPr="003A0C5C">
        <w:t>.</w:t>
      </w:r>
      <w:r w:rsidR="00DE4F4B" w:rsidRPr="003A0C5C">
        <w:rPr>
          <w:rStyle w:val="FootnoteReference"/>
        </w:rPr>
        <w:footnoteReference w:id="4"/>
      </w:r>
      <w:r w:rsidR="008A3B87" w:rsidRPr="003A0C5C">
        <w:t xml:space="preserve"> </w:t>
      </w:r>
    </w:p>
    <w:p w14:paraId="7BC4AE73" w14:textId="29FDE5E0" w:rsidR="00FF5E9B" w:rsidRPr="003A0C5C" w:rsidRDefault="00FF5E9B" w:rsidP="00A52381">
      <w:pPr>
        <w:pStyle w:val="12spaceindentcontinue"/>
      </w:pPr>
      <w:r w:rsidRPr="003A0C5C">
        <w:t>The localized effects from the on</w:t>
      </w:r>
      <w:r w:rsidR="00FD5F91" w:rsidRPr="003A0C5C">
        <w:t>-</w:t>
      </w:r>
      <w:r w:rsidRPr="003A0C5C">
        <w:t xml:space="preserve">site portion of the </w:t>
      </w:r>
      <w:r w:rsidR="007C360E" w:rsidRPr="003A0C5C">
        <w:t xml:space="preserve">proposed project’s </w:t>
      </w:r>
      <w:r w:rsidRPr="003A0C5C">
        <w:t xml:space="preserve">daily emissions were evaluated at the sensitive receptor locations that would be potentially impacted by the </w:t>
      </w:r>
      <w:r w:rsidR="007C360E" w:rsidRPr="003A0C5C">
        <w:t xml:space="preserve">proposed </w:t>
      </w:r>
      <w:r w:rsidRPr="003A0C5C">
        <w:t xml:space="preserve">project according to the SCAQMD’s LST methodology. SCAQMD’s </w:t>
      </w:r>
      <w:r w:rsidRPr="003A0C5C">
        <w:lastRenderedPageBreak/>
        <w:t xml:space="preserve">Methodology clearly states that “off-site mobile emissions from the project should not be included in the emissions compared to LSTs.” Therefore, for purposes of the LST analysis, only emissions included in the </w:t>
      </w:r>
      <w:proofErr w:type="spellStart"/>
      <w:r w:rsidRPr="003A0C5C">
        <w:t>CalEEMod</w:t>
      </w:r>
      <w:proofErr w:type="spellEnd"/>
      <w:r w:rsidRPr="003A0C5C">
        <w:t xml:space="preserve"> “on-site” emissions outputs were considered, plus the truck idling emissions (e.g., haul trucks and vendor trucks) that were calculated separately using the EMFAC emission factors for heavy-heavy-duty (HHD) vehicles. Daily localized emissions caused by the </w:t>
      </w:r>
      <w:r w:rsidR="00477C51" w:rsidRPr="003A0C5C">
        <w:t xml:space="preserve">proposed project </w:t>
      </w:r>
      <w:r w:rsidRPr="003A0C5C">
        <w:t>were compared to the LSTs in the SCAQMD’s look-up tables to determine whether the emissions would cause violations of ambient air quality standards.</w:t>
      </w:r>
    </w:p>
    <w:p w14:paraId="436573A1" w14:textId="77777777" w:rsidR="00FF5E9B" w:rsidRPr="003A0C5C" w:rsidRDefault="00FF5E9B" w:rsidP="00FF5E9B">
      <w:pPr>
        <w:pStyle w:val="Heading6"/>
        <w:ind w:left="720"/>
        <w:rPr>
          <w:bCs/>
        </w:rPr>
      </w:pPr>
      <w:r w:rsidRPr="003A0C5C">
        <w:rPr>
          <w:bCs/>
        </w:rPr>
        <w:t>Construction Emissions</w:t>
      </w:r>
    </w:p>
    <w:p w14:paraId="2611B916" w14:textId="77777777" w:rsidR="00FF5E9B" w:rsidRPr="003A0C5C" w:rsidRDefault="00FF5E9B" w:rsidP="00FF5E9B">
      <w:pPr>
        <w:pStyle w:val="Heading7"/>
        <w:ind w:left="720"/>
      </w:pPr>
      <w:r w:rsidRPr="003A0C5C">
        <w:t>Localized Construction Emissions</w:t>
      </w:r>
    </w:p>
    <w:p w14:paraId="10F6536B" w14:textId="74C19C71" w:rsidR="00FF5E9B" w:rsidRPr="003A0C5C" w:rsidRDefault="00FF5E9B" w:rsidP="0020432B">
      <w:pPr>
        <w:pStyle w:val="12spaceindentcontinue"/>
        <w:rPr>
          <w:spacing w:val="-2"/>
        </w:rPr>
      </w:pPr>
      <w:r w:rsidRPr="003A0C5C">
        <w:rPr>
          <w:rStyle w:val="Bold"/>
          <w:spacing w:val="-2"/>
        </w:rPr>
        <w:t>Table </w:t>
      </w:r>
      <w:r w:rsidR="004D1D08" w:rsidRPr="003A0C5C">
        <w:rPr>
          <w:rStyle w:val="Bold"/>
          <w:spacing w:val="-2"/>
        </w:rPr>
        <w:t>4</w:t>
      </w:r>
      <w:r w:rsidRPr="003A0C5C">
        <w:rPr>
          <w:spacing w:val="-2"/>
        </w:rPr>
        <w:t xml:space="preserve">, </w:t>
      </w:r>
      <w:r w:rsidRPr="003A0C5C">
        <w:rPr>
          <w:rStyle w:val="Italic"/>
          <w:spacing w:val="-2"/>
        </w:rPr>
        <w:t>Maximum Daily Localized Construction Emissions</w:t>
      </w:r>
      <w:r w:rsidRPr="003A0C5C">
        <w:rPr>
          <w:spacing w:val="-2"/>
        </w:rPr>
        <w:t>, presents the localized emissions from on-site equipment during the construction of the proposed project, located 25 meters (82 feet) north of the project site, in the vicinity of the project area without mitigation.</w:t>
      </w:r>
    </w:p>
    <w:tbl>
      <w:tblPr>
        <w:tblW w:w="0" w:type="auto"/>
        <w:jc w:val="center"/>
        <w:tblLayout w:type="fixed"/>
        <w:tblCellMar>
          <w:left w:w="86" w:type="dxa"/>
          <w:right w:w="86" w:type="dxa"/>
        </w:tblCellMar>
        <w:tblLook w:val="01E0" w:firstRow="1" w:lastRow="1" w:firstColumn="1" w:lastColumn="1" w:noHBand="0" w:noVBand="0"/>
      </w:tblPr>
      <w:tblGrid>
        <w:gridCol w:w="5649"/>
        <w:gridCol w:w="503"/>
        <w:gridCol w:w="508"/>
        <w:gridCol w:w="593"/>
        <w:gridCol w:w="757"/>
      </w:tblGrid>
      <w:tr w:rsidR="003A0C5C" w:rsidRPr="003A0C5C" w14:paraId="51012BF0" w14:textId="77777777" w:rsidTr="00160F99">
        <w:trPr>
          <w:cantSplit/>
          <w:tblHeader/>
          <w:jc w:val="center"/>
        </w:trPr>
        <w:tc>
          <w:tcPr>
            <w:tcW w:w="8010" w:type="dxa"/>
            <w:gridSpan w:val="5"/>
            <w:shd w:val="clear" w:color="auto" w:fill="auto"/>
            <w:vAlign w:val="bottom"/>
          </w:tcPr>
          <w:p w14:paraId="54EADBDA" w14:textId="5A702DAE" w:rsidR="00FF5E9B" w:rsidRPr="003A0C5C" w:rsidRDefault="00FF5E9B" w:rsidP="004D1D08">
            <w:pPr>
              <w:pStyle w:val="TableNoTitle"/>
            </w:pPr>
            <w:bookmarkStart w:id="54" w:name="_Toc60058008"/>
            <w:bookmarkStart w:id="55" w:name="_Toc101792196"/>
            <w:r w:rsidRPr="003A0C5C">
              <w:t>Table </w:t>
            </w:r>
            <w:r w:rsidR="004D1D08" w:rsidRPr="003A0C5C">
              <w:t>4</w:t>
            </w:r>
            <w:r w:rsidRPr="003A0C5C">
              <w:br/>
            </w:r>
            <w:r w:rsidRPr="003A0C5C">
              <w:tab/>
              <w:t>Maximum Daily Localized Construction Emissions</w:t>
            </w:r>
            <w:bookmarkEnd w:id="54"/>
            <w:bookmarkEnd w:id="55"/>
          </w:p>
        </w:tc>
      </w:tr>
      <w:tr w:rsidR="003A0C5C" w:rsidRPr="003A0C5C" w14:paraId="4E5C9875" w14:textId="77777777" w:rsidTr="00160F99">
        <w:trPr>
          <w:cantSplit/>
          <w:tblHeader/>
          <w:jc w:val="center"/>
        </w:trPr>
        <w:tc>
          <w:tcPr>
            <w:tcW w:w="5649" w:type="dxa"/>
            <w:vMerge w:val="restart"/>
            <w:tcBorders>
              <w:top w:val="single" w:sz="4" w:space="0" w:color="000000"/>
            </w:tcBorders>
            <w:shd w:val="clear" w:color="auto" w:fill="auto"/>
            <w:vAlign w:val="bottom"/>
          </w:tcPr>
          <w:p w14:paraId="34FF65B0" w14:textId="77777777" w:rsidR="00FF5E9B" w:rsidRPr="003A0C5C" w:rsidRDefault="00FF5E9B" w:rsidP="003C2FE6">
            <w:pPr>
              <w:pStyle w:val="Tablecolumnheading"/>
            </w:pPr>
            <w:r w:rsidRPr="003A0C5C">
              <w:t>Year</w:t>
            </w:r>
          </w:p>
        </w:tc>
        <w:tc>
          <w:tcPr>
            <w:tcW w:w="2361" w:type="dxa"/>
            <w:gridSpan w:val="4"/>
            <w:tcBorders>
              <w:top w:val="single" w:sz="4" w:space="0" w:color="000000"/>
              <w:bottom w:val="single" w:sz="4" w:space="0" w:color="000000"/>
            </w:tcBorders>
            <w:shd w:val="clear" w:color="auto" w:fill="auto"/>
            <w:vAlign w:val="bottom"/>
          </w:tcPr>
          <w:p w14:paraId="44ECE010" w14:textId="77777777" w:rsidR="00FF5E9B" w:rsidRPr="003A0C5C" w:rsidRDefault="00FF5E9B" w:rsidP="003C2FE6">
            <w:pPr>
              <w:pStyle w:val="Tablecolumnheading"/>
              <w:jc w:val="center"/>
            </w:pPr>
            <w:r w:rsidRPr="003A0C5C">
              <w:t>Emissions (pounds per day)</w:t>
            </w:r>
          </w:p>
        </w:tc>
      </w:tr>
      <w:tr w:rsidR="003A0C5C" w:rsidRPr="003A0C5C" w14:paraId="729140B9" w14:textId="77777777" w:rsidTr="00160F99">
        <w:trPr>
          <w:cantSplit/>
          <w:tblHeader/>
          <w:jc w:val="center"/>
        </w:trPr>
        <w:tc>
          <w:tcPr>
            <w:tcW w:w="5649" w:type="dxa"/>
            <w:vMerge/>
            <w:tcBorders>
              <w:bottom w:val="single" w:sz="12" w:space="0" w:color="000000"/>
            </w:tcBorders>
            <w:shd w:val="clear" w:color="auto" w:fill="auto"/>
            <w:vAlign w:val="bottom"/>
          </w:tcPr>
          <w:p w14:paraId="5151A7C1" w14:textId="77777777" w:rsidR="00FF5E9B" w:rsidRPr="003A0C5C" w:rsidRDefault="00FF5E9B" w:rsidP="003C2FE6">
            <w:pPr>
              <w:pStyle w:val="Tablecolumnheading"/>
            </w:pPr>
          </w:p>
        </w:tc>
        <w:tc>
          <w:tcPr>
            <w:tcW w:w="503" w:type="dxa"/>
            <w:tcBorders>
              <w:top w:val="single" w:sz="4" w:space="0" w:color="000000"/>
              <w:bottom w:val="single" w:sz="12" w:space="0" w:color="000000"/>
            </w:tcBorders>
            <w:shd w:val="clear" w:color="auto" w:fill="auto"/>
            <w:vAlign w:val="bottom"/>
          </w:tcPr>
          <w:p w14:paraId="449D7C7E" w14:textId="77777777" w:rsidR="00FF5E9B" w:rsidRPr="003A0C5C" w:rsidRDefault="00FF5E9B" w:rsidP="003C2FE6">
            <w:pPr>
              <w:pStyle w:val="Tablecolumnheading"/>
              <w:jc w:val="center"/>
            </w:pPr>
            <w:r w:rsidRPr="003A0C5C">
              <w:t>NO</w:t>
            </w:r>
            <w:r w:rsidRPr="003A0C5C">
              <w:rPr>
                <w:vertAlign w:val="subscript"/>
              </w:rPr>
              <w:t>X</w:t>
            </w:r>
          </w:p>
        </w:tc>
        <w:tc>
          <w:tcPr>
            <w:tcW w:w="508" w:type="dxa"/>
            <w:tcBorders>
              <w:top w:val="single" w:sz="4" w:space="0" w:color="000000"/>
              <w:bottom w:val="single" w:sz="12" w:space="0" w:color="000000"/>
            </w:tcBorders>
            <w:shd w:val="clear" w:color="auto" w:fill="auto"/>
            <w:vAlign w:val="bottom"/>
          </w:tcPr>
          <w:p w14:paraId="68BDBE65" w14:textId="77777777" w:rsidR="00FF5E9B" w:rsidRPr="003A0C5C" w:rsidRDefault="00FF5E9B" w:rsidP="003C2FE6">
            <w:pPr>
              <w:pStyle w:val="Tablecolumnheading"/>
              <w:jc w:val="center"/>
            </w:pPr>
            <w:r w:rsidRPr="003A0C5C">
              <w:t>CO</w:t>
            </w:r>
          </w:p>
        </w:tc>
        <w:tc>
          <w:tcPr>
            <w:tcW w:w="593" w:type="dxa"/>
            <w:tcBorders>
              <w:top w:val="single" w:sz="4" w:space="0" w:color="000000"/>
              <w:bottom w:val="single" w:sz="12" w:space="0" w:color="000000"/>
            </w:tcBorders>
            <w:shd w:val="clear" w:color="auto" w:fill="auto"/>
            <w:vAlign w:val="bottom"/>
          </w:tcPr>
          <w:p w14:paraId="523E139D" w14:textId="77777777" w:rsidR="00FF5E9B" w:rsidRPr="003A0C5C" w:rsidRDefault="00FF5E9B" w:rsidP="003C2FE6">
            <w:pPr>
              <w:pStyle w:val="Tablecolumnheading"/>
              <w:jc w:val="center"/>
            </w:pPr>
            <w:r w:rsidRPr="003A0C5C">
              <w:t>PM10</w:t>
            </w:r>
          </w:p>
        </w:tc>
        <w:tc>
          <w:tcPr>
            <w:tcW w:w="757" w:type="dxa"/>
            <w:tcBorders>
              <w:top w:val="single" w:sz="4" w:space="0" w:color="000000"/>
              <w:bottom w:val="single" w:sz="12" w:space="0" w:color="000000"/>
            </w:tcBorders>
            <w:shd w:val="clear" w:color="auto" w:fill="auto"/>
            <w:vAlign w:val="bottom"/>
          </w:tcPr>
          <w:p w14:paraId="32834F98" w14:textId="77777777" w:rsidR="00FF5E9B" w:rsidRPr="003A0C5C" w:rsidRDefault="00FF5E9B" w:rsidP="003C2FE6">
            <w:pPr>
              <w:pStyle w:val="Tablecolumnheading"/>
              <w:jc w:val="center"/>
            </w:pPr>
            <w:r w:rsidRPr="003A0C5C">
              <w:t>PM2.5</w:t>
            </w:r>
          </w:p>
        </w:tc>
      </w:tr>
      <w:tr w:rsidR="003A0C5C" w:rsidRPr="003A0C5C" w14:paraId="7438E7DB" w14:textId="77777777" w:rsidTr="00160F99">
        <w:trPr>
          <w:cantSplit/>
          <w:jc w:val="center"/>
        </w:trPr>
        <w:tc>
          <w:tcPr>
            <w:tcW w:w="8010" w:type="dxa"/>
            <w:gridSpan w:val="5"/>
            <w:tcBorders>
              <w:top w:val="single" w:sz="12" w:space="0" w:color="000000"/>
            </w:tcBorders>
            <w:shd w:val="clear" w:color="auto" w:fill="D9D9D9" w:themeFill="background1" w:themeFillShade="D9"/>
          </w:tcPr>
          <w:p w14:paraId="496CF67D" w14:textId="77777777" w:rsidR="00FF5E9B" w:rsidRPr="003A0C5C" w:rsidRDefault="00FF5E9B" w:rsidP="00160F99">
            <w:pPr>
              <w:pStyle w:val="Tablerowheading"/>
              <w:spacing w:before="50" w:after="50"/>
            </w:pPr>
            <w:r w:rsidRPr="003A0C5C">
              <w:t>Construction Phases</w:t>
            </w:r>
          </w:p>
        </w:tc>
      </w:tr>
      <w:tr w:rsidR="003A0C5C" w:rsidRPr="003A0C5C" w14:paraId="243660C2" w14:textId="77777777" w:rsidTr="00160F99">
        <w:trPr>
          <w:cantSplit/>
          <w:jc w:val="center"/>
        </w:trPr>
        <w:tc>
          <w:tcPr>
            <w:tcW w:w="5649" w:type="dxa"/>
          </w:tcPr>
          <w:p w14:paraId="4623C394" w14:textId="77777777" w:rsidR="00FF5E9B" w:rsidRPr="003A0C5C" w:rsidRDefault="00FF5E9B" w:rsidP="00160F99">
            <w:pPr>
              <w:pStyle w:val="Tabletext"/>
              <w:keepNext/>
              <w:spacing w:before="50" w:after="50"/>
            </w:pPr>
            <w:r w:rsidRPr="003A0C5C">
              <w:t>Demolition &amp; Site Preparation – 2023</w:t>
            </w:r>
          </w:p>
        </w:tc>
        <w:tc>
          <w:tcPr>
            <w:tcW w:w="503" w:type="dxa"/>
            <w:tcBorders>
              <w:top w:val="nil"/>
              <w:bottom w:val="nil"/>
            </w:tcBorders>
            <w:shd w:val="clear" w:color="auto" w:fill="auto"/>
          </w:tcPr>
          <w:p w14:paraId="6512EAE4" w14:textId="77777777" w:rsidR="00FF5E9B" w:rsidRPr="003A0C5C" w:rsidRDefault="00FF5E9B" w:rsidP="00160F99">
            <w:pPr>
              <w:pStyle w:val="Tabletext"/>
              <w:tabs>
                <w:tab w:val="decimal" w:pos="285"/>
              </w:tabs>
              <w:spacing w:before="50" w:after="50"/>
              <w:jc w:val="center"/>
              <w:rPr>
                <w:rFonts w:cs="Arial"/>
                <w:szCs w:val="16"/>
              </w:rPr>
            </w:pPr>
            <w:r w:rsidRPr="003A0C5C">
              <w:rPr>
                <w:rFonts w:cs="Arial"/>
                <w:szCs w:val="16"/>
              </w:rPr>
              <w:t>15</w:t>
            </w:r>
          </w:p>
        </w:tc>
        <w:tc>
          <w:tcPr>
            <w:tcW w:w="508" w:type="dxa"/>
            <w:tcBorders>
              <w:top w:val="nil"/>
              <w:bottom w:val="nil"/>
            </w:tcBorders>
            <w:shd w:val="clear" w:color="auto" w:fill="auto"/>
          </w:tcPr>
          <w:p w14:paraId="21CA1CC6" w14:textId="77777777" w:rsidR="00FF5E9B" w:rsidRPr="003A0C5C" w:rsidRDefault="00FF5E9B" w:rsidP="00160F99">
            <w:pPr>
              <w:pStyle w:val="Tabletext"/>
              <w:tabs>
                <w:tab w:val="decimal" w:pos="285"/>
              </w:tabs>
              <w:spacing w:before="50" w:after="50"/>
              <w:jc w:val="center"/>
              <w:rPr>
                <w:rFonts w:cs="Arial"/>
                <w:szCs w:val="16"/>
              </w:rPr>
            </w:pPr>
            <w:r w:rsidRPr="003A0C5C">
              <w:rPr>
                <w:rFonts w:cs="Arial"/>
                <w:szCs w:val="16"/>
              </w:rPr>
              <w:t>21</w:t>
            </w:r>
          </w:p>
        </w:tc>
        <w:tc>
          <w:tcPr>
            <w:tcW w:w="593" w:type="dxa"/>
            <w:tcBorders>
              <w:top w:val="nil"/>
              <w:bottom w:val="nil"/>
            </w:tcBorders>
            <w:shd w:val="clear" w:color="auto" w:fill="auto"/>
          </w:tcPr>
          <w:p w14:paraId="61BE99A4" w14:textId="77777777" w:rsidR="00FF5E9B" w:rsidRPr="003A0C5C" w:rsidRDefault="00FF5E9B" w:rsidP="00160F99">
            <w:pPr>
              <w:pStyle w:val="Tabletext"/>
              <w:tabs>
                <w:tab w:val="decimal" w:pos="285"/>
              </w:tabs>
              <w:spacing w:before="50" w:after="50"/>
              <w:jc w:val="center"/>
              <w:rPr>
                <w:rFonts w:cs="Arial"/>
                <w:szCs w:val="16"/>
              </w:rPr>
            </w:pPr>
            <w:r w:rsidRPr="003A0C5C">
              <w:rPr>
                <w:rFonts w:cs="Arial"/>
                <w:szCs w:val="16"/>
              </w:rPr>
              <w:t>1</w:t>
            </w:r>
          </w:p>
        </w:tc>
        <w:tc>
          <w:tcPr>
            <w:tcW w:w="757" w:type="dxa"/>
            <w:tcBorders>
              <w:top w:val="nil"/>
              <w:bottom w:val="nil"/>
            </w:tcBorders>
            <w:shd w:val="clear" w:color="auto" w:fill="auto"/>
          </w:tcPr>
          <w:p w14:paraId="68190DE1" w14:textId="77777777" w:rsidR="00FF5E9B" w:rsidRPr="003A0C5C" w:rsidRDefault="00FF5E9B" w:rsidP="00160F99">
            <w:pPr>
              <w:pStyle w:val="Tabletext"/>
              <w:tabs>
                <w:tab w:val="decimal" w:pos="285"/>
              </w:tabs>
              <w:spacing w:before="50" w:after="50"/>
              <w:jc w:val="center"/>
              <w:rPr>
                <w:rFonts w:cs="Arial"/>
                <w:szCs w:val="16"/>
              </w:rPr>
            </w:pPr>
            <w:r w:rsidRPr="003A0C5C">
              <w:rPr>
                <w:rFonts w:cs="Arial"/>
                <w:szCs w:val="16"/>
              </w:rPr>
              <w:t>1</w:t>
            </w:r>
          </w:p>
        </w:tc>
      </w:tr>
      <w:tr w:rsidR="003A0C5C" w:rsidRPr="003A0C5C" w14:paraId="509ABE6B" w14:textId="77777777" w:rsidTr="00160F99">
        <w:trPr>
          <w:cantSplit/>
          <w:jc w:val="center"/>
        </w:trPr>
        <w:tc>
          <w:tcPr>
            <w:tcW w:w="5649" w:type="dxa"/>
          </w:tcPr>
          <w:p w14:paraId="552ABB28" w14:textId="77777777" w:rsidR="00FF5E9B" w:rsidRPr="003A0C5C" w:rsidRDefault="00FF5E9B" w:rsidP="00160F99">
            <w:pPr>
              <w:pStyle w:val="Tabletext"/>
              <w:keepNext/>
              <w:spacing w:before="50" w:after="50"/>
            </w:pPr>
            <w:r w:rsidRPr="003A0C5C">
              <w:t>Grading/Excavation – 2023</w:t>
            </w:r>
          </w:p>
        </w:tc>
        <w:tc>
          <w:tcPr>
            <w:tcW w:w="503" w:type="dxa"/>
            <w:tcBorders>
              <w:top w:val="nil"/>
              <w:bottom w:val="nil"/>
            </w:tcBorders>
            <w:shd w:val="clear" w:color="auto" w:fill="auto"/>
          </w:tcPr>
          <w:p w14:paraId="635ACEB6" w14:textId="77777777" w:rsidR="00FF5E9B" w:rsidRPr="003A0C5C" w:rsidRDefault="00FF5E9B" w:rsidP="00160F99">
            <w:pPr>
              <w:pStyle w:val="Tabletext"/>
              <w:tabs>
                <w:tab w:val="decimal" w:pos="285"/>
              </w:tabs>
              <w:spacing w:before="50" w:after="50"/>
              <w:jc w:val="center"/>
              <w:rPr>
                <w:rFonts w:cs="Arial"/>
                <w:szCs w:val="16"/>
              </w:rPr>
            </w:pPr>
            <w:r w:rsidRPr="003A0C5C">
              <w:rPr>
                <w:rFonts w:cs="Arial"/>
                <w:szCs w:val="16"/>
              </w:rPr>
              <w:t>52</w:t>
            </w:r>
          </w:p>
        </w:tc>
        <w:tc>
          <w:tcPr>
            <w:tcW w:w="508" w:type="dxa"/>
            <w:tcBorders>
              <w:top w:val="nil"/>
              <w:bottom w:val="nil"/>
            </w:tcBorders>
            <w:shd w:val="clear" w:color="auto" w:fill="auto"/>
          </w:tcPr>
          <w:p w14:paraId="2DB90C83" w14:textId="77777777" w:rsidR="00FF5E9B" w:rsidRPr="003A0C5C" w:rsidRDefault="00FF5E9B" w:rsidP="00160F99">
            <w:pPr>
              <w:pStyle w:val="Tabletext"/>
              <w:tabs>
                <w:tab w:val="decimal" w:pos="285"/>
              </w:tabs>
              <w:spacing w:before="50" w:after="50"/>
              <w:jc w:val="center"/>
              <w:rPr>
                <w:rFonts w:cs="Arial"/>
                <w:szCs w:val="16"/>
              </w:rPr>
            </w:pPr>
            <w:r w:rsidRPr="003A0C5C">
              <w:rPr>
                <w:rFonts w:cs="Arial"/>
                <w:szCs w:val="16"/>
              </w:rPr>
              <w:t>42</w:t>
            </w:r>
          </w:p>
        </w:tc>
        <w:tc>
          <w:tcPr>
            <w:tcW w:w="593" w:type="dxa"/>
            <w:tcBorders>
              <w:top w:val="nil"/>
              <w:bottom w:val="nil"/>
            </w:tcBorders>
            <w:shd w:val="clear" w:color="auto" w:fill="auto"/>
          </w:tcPr>
          <w:p w14:paraId="2F21C2C0" w14:textId="77777777" w:rsidR="00FF5E9B" w:rsidRPr="003A0C5C" w:rsidRDefault="00FF5E9B" w:rsidP="00160F99">
            <w:pPr>
              <w:pStyle w:val="Tabletext"/>
              <w:tabs>
                <w:tab w:val="decimal" w:pos="285"/>
              </w:tabs>
              <w:spacing w:before="50" w:after="50"/>
              <w:jc w:val="center"/>
              <w:rPr>
                <w:rFonts w:cs="Arial"/>
                <w:szCs w:val="16"/>
              </w:rPr>
            </w:pPr>
            <w:r w:rsidRPr="003A0C5C">
              <w:rPr>
                <w:rFonts w:cs="Arial"/>
                <w:szCs w:val="16"/>
              </w:rPr>
              <w:t>4</w:t>
            </w:r>
          </w:p>
        </w:tc>
        <w:tc>
          <w:tcPr>
            <w:tcW w:w="757" w:type="dxa"/>
            <w:tcBorders>
              <w:top w:val="nil"/>
              <w:bottom w:val="nil"/>
            </w:tcBorders>
            <w:shd w:val="clear" w:color="auto" w:fill="auto"/>
          </w:tcPr>
          <w:p w14:paraId="3D390C54" w14:textId="77777777" w:rsidR="00FF5E9B" w:rsidRPr="003A0C5C" w:rsidRDefault="00FF5E9B" w:rsidP="00160F99">
            <w:pPr>
              <w:pStyle w:val="Tabletext"/>
              <w:tabs>
                <w:tab w:val="decimal" w:pos="285"/>
              </w:tabs>
              <w:spacing w:before="50" w:after="50"/>
              <w:jc w:val="center"/>
              <w:rPr>
                <w:rFonts w:cs="Arial"/>
                <w:szCs w:val="16"/>
              </w:rPr>
            </w:pPr>
            <w:r w:rsidRPr="003A0C5C">
              <w:rPr>
                <w:rFonts w:cs="Arial"/>
                <w:szCs w:val="16"/>
              </w:rPr>
              <w:t>2</w:t>
            </w:r>
          </w:p>
        </w:tc>
      </w:tr>
      <w:tr w:rsidR="003A0C5C" w:rsidRPr="003A0C5C" w14:paraId="132E5068" w14:textId="77777777" w:rsidTr="00160F99">
        <w:trPr>
          <w:cantSplit/>
          <w:jc w:val="center"/>
        </w:trPr>
        <w:tc>
          <w:tcPr>
            <w:tcW w:w="5649" w:type="dxa"/>
          </w:tcPr>
          <w:p w14:paraId="5B87E8C9" w14:textId="4E4DA72B" w:rsidR="00FF5E9B" w:rsidRPr="003A0C5C" w:rsidRDefault="00FF5E9B" w:rsidP="00160F99">
            <w:pPr>
              <w:pStyle w:val="Tabletext"/>
              <w:keepNext/>
              <w:spacing w:before="50" w:after="50"/>
            </w:pPr>
            <w:r w:rsidRPr="003A0C5C">
              <w:t xml:space="preserve">Drainage/Utilities/Trenching </w:t>
            </w:r>
            <w:r w:rsidR="00D12F03" w:rsidRPr="003A0C5C">
              <w:t>–</w:t>
            </w:r>
            <w:r w:rsidRPr="003A0C5C">
              <w:t xml:space="preserve"> 2023</w:t>
            </w:r>
          </w:p>
        </w:tc>
        <w:tc>
          <w:tcPr>
            <w:tcW w:w="503" w:type="dxa"/>
            <w:tcBorders>
              <w:top w:val="nil"/>
              <w:bottom w:val="nil"/>
            </w:tcBorders>
            <w:shd w:val="clear" w:color="auto" w:fill="auto"/>
          </w:tcPr>
          <w:p w14:paraId="07FA3FAA" w14:textId="77777777" w:rsidR="00FF5E9B" w:rsidRPr="003A0C5C" w:rsidRDefault="00FF5E9B" w:rsidP="00160F99">
            <w:pPr>
              <w:pStyle w:val="Tabletext"/>
              <w:tabs>
                <w:tab w:val="decimal" w:pos="285"/>
              </w:tabs>
              <w:spacing w:before="50" w:after="50"/>
              <w:jc w:val="center"/>
              <w:rPr>
                <w:rFonts w:cs="Arial"/>
                <w:szCs w:val="16"/>
              </w:rPr>
            </w:pPr>
            <w:r w:rsidRPr="003A0C5C">
              <w:rPr>
                <w:rFonts w:cs="Arial"/>
                <w:szCs w:val="16"/>
              </w:rPr>
              <w:t>19</w:t>
            </w:r>
          </w:p>
        </w:tc>
        <w:tc>
          <w:tcPr>
            <w:tcW w:w="508" w:type="dxa"/>
            <w:tcBorders>
              <w:top w:val="nil"/>
              <w:bottom w:val="nil"/>
            </w:tcBorders>
            <w:shd w:val="clear" w:color="auto" w:fill="auto"/>
          </w:tcPr>
          <w:p w14:paraId="26690BAA" w14:textId="77777777" w:rsidR="00FF5E9B" w:rsidRPr="003A0C5C" w:rsidRDefault="00FF5E9B" w:rsidP="00160F99">
            <w:pPr>
              <w:pStyle w:val="Tabletext"/>
              <w:tabs>
                <w:tab w:val="decimal" w:pos="285"/>
              </w:tabs>
              <w:spacing w:before="50" w:after="50"/>
              <w:jc w:val="center"/>
              <w:rPr>
                <w:rFonts w:cs="Arial"/>
                <w:szCs w:val="16"/>
              </w:rPr>
            </w:pPr>
            <w:r w:rsidRPr="003A0C5C">
              <w:rPr>
                <w:rFonts w:cs="Arial"/>
                <w:szCs w:val="16"/>
              </w:rPr>
              <w:t>26</w:t>
            </w:r>
          </w:p>
        </w:tc>
        <w:tc>
          <w:tcPr>
            <w:tcW w:w="593" w:type="dxa"/>
            <w:tcBorders>
              <w:top w:val="nil"/>
              <w:bottom w:val="nil"/>
            </w:tcBorders>
            <w:shd w:val="clear" w:color="auto" w:fill="auto"/>
          </w:tcPr>
          <w:p w14:paraId="26F1475C" w14:textId="77777777" w:rsidR="00FF5E9B" w:rsidRPr="003A0C5C" w:rsidRDefault="00FF5E9B" w:rsidP="00160F99">
            <w:pPr>
              <w:pStyle w:val="Tabletext"/>
              <w:tabs>
                <w:tab w:val="decimal" w:pos="285"/>
              </w:tabs>
              <w:spacing w:before="50" w:after="50"/>
              <w:jc w:val="center"/>
              <w:rPr>
                <w:rFonts w:cs="Arial"/>
                <w:szCs w:val="16"/>
              </w:rPr>
            </w:pPr>
            <w:r w:rsidRPr="003A0C5C">
              <w:rPr>
                <w:rFonts w:cs="Arial"/>
                <w:szCs w:val="16"/>
              </w:rPr>
              <w:t>1</w:t>
            </w:r>
          </w:p>
        </w:tc>
        <w:tc>
          <w:tcPr>
            <w:tcW w:w="757" w:type="dxa"/>
            <w:tcBorders>
              <w:top w:val="nil"/>
              <w:bottom w:val="nil"/>
            </w:tcBorders>
            <w:shd w:val="clear" w:color="auto" w:fill="auto"/>
          </w:tcPr>
          <w:p w14:paraId="114B5CA8" w14:textId="77777777" w:rsidR="00FF5E9B" w:rsidRPr="003A0C5C" w:rsidRDefault="00FF5E9B" w:rsidP="00160F99">
            <w:pPr>
              <w:pStyle w:val="Tabletext"/>
              <w:tabs>
                <w:tab w:val="decimal" w:pos="285"/>
              </w:tabs>
              <w:spacing w:before="50" w:after="50"/>
              <w:jc w:val="center"/>
              <w:rPr>
                <w:rFonts w:cs="Arial"/>
                <w:szCs w:val="16"/>
              </w:rPr>
            </w:pPr>
            <w:r w:rsidRPr="003A0C5C">
              <w:rPr>
                <w:rFonts w:cs="Arial"/>
                <w:szCs w:val="16"/>
              </w:rPr>
              <w:t>1</w:t>
            </w:r>
          </w:p>
        </w:tc>
      </w:tr>
      <w:tr w:rsidR="003A0C5C" w:rsidRPr="003A0C5C" w14:paraId="048F792E" w14:textId="77777777" w:rsidTr="00160F99">
        <w:trPr>
          <w:cantSplit/>
          <w:jc w:val="center"/>
        </w:trPr>
        <w:tc>
          <w:tcPr>
            <w:tcW w:w="5649" w:type="dxa"/>
          </w:tcPr>
          <w:p w14:paraId="72CF622C" w14:textId="141304C6" w:rsidR="00FF5E9B" w:rsidRPr="003A0C5C" w:rsidRDefault="00FF5E9B" w:rsidP="00160F99">
            <w:pPr>
              <w:pStyle w:val="Tabletext"/>
              <w:keepNext/>
              <w:spacing w:before="50" w:after="50"/>
            </w:pPr>
            <w:r w:rsidRPr="003A0C5C">
              <w:t xml:space="preserve">Foundations/Concrete Pour </w:t>
            </w:r>
            <w:r w:rsidR="00D12F03" w:rsidRPr="003A0C5C">
              <w:t>–</w:t>
            </w:r>
            <w:r w:rsidRPr="003A0C5C">
              <w:t xml:space="preserve"> 2023</w:t>
            </w:r>
          </w:p>
        </w:tc>
        <w:tc>
          <w:tcPr>
            <w:tcW w:w="503" w:type="dxa"/>
            <w:tcBorders>
              <w:top w:val="nil"/>
              <w:bottom w:val="nil"/>
            </w:tcBorders>
            <w:shd w:val="clear" w:color="auto" w:fill="auto"/>
          </w:tcPr>
          <w:p w14:paraId="18F61B43" w14:textId="77777777" w:rsidR="00FF5E9B" w:rsidRPr="003A0C5C" w:rsidRDefault="00FF5E9B" w:rsidP="00160F99">
            <w:pPr>
              <w:pStyle w:val="Tabletext"/>
              <w:tabs>
                <w:tab w:val="decimal" w:pos="285"/>
              </w:tabs>
              <w:spacing w:before="50" w:after="50"/>
              <w:jc w:val="center"/>
              <w:rPr>
                <w:rFonts w:cs="Arial"/>
                <w:szCs w:val="16"/>
              </w:rPr>
            </w:pPr>
            <w:r w:rsidRPr="003A0C5C">
              <w:rPr>
                <w:rFonts w:cs="Arial"/>
                <w:szCs w:val="16"/>
              </w:rPr>
              <w:t>15</w:t>
            </w:r>
          </w:p>
        </w:tc>
        <w:tc>
          <w:tcPr>
            <w:tcW w:w="508" w:type="dxa"/>
            <w:tcBorders>
              <w:top w:val="nil"/>
              <w:bottom w:val="nil"/>
            </w:tcBorders>
            <w:shd w:val="clear" w:color="auto" w:fill="auto"/>
          </w:tcPr>
          <w:p w14:paraId="348094C2" w14:textId="77777777" w:rsidR="00FF5E9B" w:rsidRPr="003A0C5C" w:rsidRDefault="00FF5E9B" w:rsidP="00160F99">
            <w:pPr>
              <w:pStyle w:val="Tabletext"/>
              <w:tabs>
                <w:tab w:val="decimal" w:pos="285"/>
              </w:tabs>
              <w:spacing w:before="50" w:after="50"/>
              <w:jc w:val="center"/>
              <w:rPr>
                <w:rFonts w:cs="Arial"/>
                <w:szCs w:val="16"/>
              </w:rPr>
            </w:pPr>
            <w:r w:rsidRPr="003A0C5C">
              <w:rPr>
                <w:rFonts w:cs="Arial"/>
                <w:szCs w:val="16"/>
              </w:rPr>
              <w:t>21</w:t>
            </w:r>
          </w:p>
        </w:tc>
        <w:tc>
          <w:tcPr>
            <w:tcW w:w="593" w:type="dxa"/>
            <w:tcBorders>
              <w:top w:val="nil"/>
              <w:bottom w:val="nil"/>
            </w:tcBorders>
            <w:shd w:val="clear" w:color="auto" w:fill="auto"/>
          </w:tcPr>
          <w:p w14:paraId="43D7B1E4" w14:textId="77777777" w:rsidR="00FF5E9B" w:rsidRPr="003A0C5C" w:rsidRDefault="00FF5E9B" w:rsidP="00160F99">
            <w:pPr>
              <w:pStyle w:val="Tabletext"/>
              <w:tabs>
                <w:tab w:val="decimal" w:pos="285"/>
              </w:tabs>
              <w:spacing w:before="50" w:after="50"/>
              <w:jc w:val="center"/>
              <w:rPr>
                <w:rFonts w:cs="Arial"/>
                <w:szCs w:val="16"/>
              </w:rPr>
            </w:pPr>
            <w:r w:rsidRPr="003A0C5C">
              <w:rPr>
                <w:rFonts w:cs="Arial"/>
                <w:szCs w:val="16"/>
              </w:rPr>
              <w:t>1</w:t>
            </w:r>
          </w:p>
        </w:tc>
        <w:tc>
          <w:tcPr>
            <w:tcW w:w="757" w:type="dxa"/>
            <w:tcBorders>
              <w:top w:val="nil"/>
              <w:bottom w:val="nil"/>
            </w:tcBorders>
            <w:shd w:val="clear" w:color="auto" w:fill="auto"/>
          </w:tcPr>
          <w:p w14:paraId="44D04262" w14:textId="77777777" w:rsidR="00FF5E9B" w:rsidRPr="003A0C5C" w:rsidRDefault="00FF5E9B" w:rsidP="00160F99">
            <w:pPr>
              <w:pStyle w:val="Tabletext"/>
              <w:tabs>
                <w:tab w:val="decimal" w:pos="285"/>
              </w:tabs>
              <w:spacing w:before="50" w:after="50"/>
              <w:jc w:val="center"/>
              <w:rPr>
                <w:rFonts w:cs="Arial"/>
                <w:szCs w:val="16"/>
              </w:rPr>
            </w:pPr>
            <w:r w:rsidRPr="003A0C5C">
              <w:rPr>
                <w:rFonts w:cs="Arial"/>
                <w:szCs w:val="16"/>
              </w:rPr>
              <w:t>1</w:t>
            </w:r>
          </w:p>
        </w:tc>
      </w:tr>
      <w:tr w:rsidR="003A0C5C" w:rsidRPr="003A0C5C" w14:paraId="303CD91F" w14:textId="77777777" w:rsidTr="00160F99">
        <w:trPr>
          <w:cantSplit/>
          <w:jc w:val="center"/>
        </w:trPr>
        <w:tc>
          <w:tcPr>
            <w:tcW w:w="5649" w:type="dxa"/>
          </w:tcPr>
          <w:p w14:paraId="0F288972" w14:textId="77777777" w:rsidR="00FF5E9B" w:rsidRPr="003A0C5C" w:rsidRDefault="00FF5E9B" w:rsidP="00160F99">
            <w:pPr>
              <w:pStyle w:val="Tabletext"/>
              <w:keepNext/>
              <w:spacing w:before="50" w:after="50"/>
            </w:pPr>
            <w:r w:rsidRPr="003A0C5C">
              <w:t>Building Construction – 2023</w:t>
            </w:r>
          </w:p>
        </w:tc>
        <w:tc>
          <w:tcPr>
            <w:tcW w:w="503" w:type="dxa"/>
            <w:tcBorders>
              <w:top w:val="nil"/>
              <w:bottom w:val="nil"/>
            </w:tcBorders>
            <w:shd w:val="clear" w:color="auto" w:fill="auto"/>
          </w:tcPr>
          <w:p w14:paraId="212D8294" w14:textId="77777777" w:rsidR="00FF5E9B" w:rsidRPr="003A0C5C" w:rsidRDefault="00FF5E9B" w:rsidP="00160F99">
            <w:pPr>
              <w:pStyle w:val="Tabletext"/>
              <w:tabs>
                <w:tab w:val="decimal" w:pos="285"/>
              </w:tabs>
              <w:spacing w:before="50" w:after="50"/>
              <w:jc w:val="center"/>
              <w:rPr>
                <w:rFonts w:cs="Arial"/>
                <w:szCs w:val="16"/>
              </w:rPr>
            </w:pPr>
            <w:r w:rsidRPr="003A0C5C">
              <w:rPr>
                <w:rFonts w:cs="Arial"/>
                <w:szCs w:val="16"/>
              </w:rPr>
              <w:t>29</w:t>
            </w:r>
          </w:p>
        </w:tc>
        <w:tc>
          <w:tcPr>
            <w:tcW w:w="508" w:type="dxa"/>
            <w:tcBorders>
              <w:top w:val="nil"/>
              <w:bottom w:val="nil"/>
            </w:tcBorders>
            <w:shd w:val="clear" w:color="auto" w:fill="auto"/>
          </w:tcPr>
          <w:p w14:paraId="69F72907" w14:textId="77777777" w:rsidR="00FF5E9B" w:rsidRPr="003A0C5C" w:rsidRDefault="00FF5E9B" w:rsidP="00160F99">
            <w:pPr>
              <w:pStyle w:val="Tabletext"/>
              <w:tabs>
                <w:tab w:val="decimal" w:pos="285"/>
              </w:tabs>
              <w:spacing w:before="50" w:after="50"/>
              <w:jc w:val="center"/>
              <w:rPr>
                <w:rFonts w:cs="Arial"/>
                <w:szCs w:val="16"/>
              </w:rPr>
            </w:pPr>
            <w:r w:rsidRPr="003A0C5C">
              <w:rPr>
                <w:rFonts w:cs="Arial"/>
                <w:szCs w:val="16"/>
              </w:rPr>
              <w:t>36</w:t>
            </w:r>
          </w:p>
        </w:tc>
        <w:tc>
          <w:tcPr>
            <w:tcW w:w="593" w:type="dxa"/>
            <w:tcBorders>
              <w:top w:val="nil"/>
              <w:bottom w:val="nil"/>
            </w:tcBorders>
            <w:shd w:val="clear" w:color="auto" w:fill="auto"/>
          </w:tcPr>
          <w:p w14:paraId="49EDD366" w14:textId="77777777" w:rsidR="00FF5E9B" w:rsidRPr="003A0C5C" w:rsidRDefault="00FF5E9B" w:rsidP="00160F99">
            <w:pPr>
              <w:pStyle w:val="Tabletext"/>
              <w:tabs>
                <w:tab w:val="decimal" w:pos="285"/>
              </w:tabs>
              <w:spacing w:before="50" w:after="50"/>
              <w:jc w:val="center"/>
              <w:rPr>
                <w:rFonts w:cs="Arial"/>
                <w:szCs w:val="16"/>
              </w:rPr>
            </w:pPr>
            <w:r w:rsidRPr="003A0C5C">
              <w:rPr>
                <w:rFonts w:cs="Arial"/>
                <w:szCs w:val="16"/>
              </w:rPr>
              <w:t>1</w:t>
            </w:r>
          </w:p>
        </w:tc>
        <w:tc>
          <w:tcPr>
            <w:tcW w:w="757" w:type="dxa"/>
            <w:tcBorders>
              <w:top w:val="nil"/>
              <w:bottom w:val="nil"/>
            </w:tcBorders>
            <w:shd w:val="clear" w:color="auto" w:fill="auto"/>
          </w:tcPr>
          <w:p w14:paraId="43D3D270" w14:textId="77777777" w:rsidR="00FF5E9B" w:rsidRPr="003A0C5C" w:rsidRDefault="00FF5E9B" w:rsidP="00160F99">
            <w:pPr>
              <w:pStyle w:val="Tabletext"/>
              <w:tabs>
                <w:tab w:val="decimal" w:pos="285"/>
              </w:tabs>
              <w:spacing w:before="50" w:after="50"/>
              <w:jc w:val="center"/>
              <w:rPr>
                <w:rFonts w:cs="Arial"/>
                <w:szCs w:val="16"/>
              </w:rPr>
            </w:pPr>
            <w:r w:rsidRPr="003A0C5C">
              <w:rPr>
                <w:rFonts w:cs="Arial"/>
                <w:szCs w:val="16"/>
              </w:rPr>
              <w:t>1</w:t>
            </w:r>
          </w:p>
        </w:tc>
      </w:tr>
      <w:tr w:rsidR="003A0C5C" w:rsidRPr="003A0C5C" w14:paraId="5218696D" w14:textId="77777777" w:rsidTr="00160F99">
        <w:trPr>
          <w:cantSplit/>
          <w:jc w:val="center"/>
        </w:trPr>
        <w:tc>
          <w:tcPr>
            <w:tcW w:w="5649" w:type="dxa"/>
          </w:tcPr>
          <w:p w14:paraId="29624A36" w14:textId="77777777" w:rsidR="00FF5E9B" w:rsidRPr="003A0C5C" w:rsidRDefault="00FF5E9B" w:rsidP="00160F99">
            <w:pPr>
              <w:pStyle w:val="Tabletext"/>
              <w:keepNext/>
              <w:spacing w:before="50" w:after="50"/>
            </w:pPr>
            <w:r w:rsidRPr="003A0C5C">
              <w:t>Building Construction – 2024</w:t>
            </w:r>
          </w:p>
        </w:tc>
        <w:tc>
          <w:tcPr>
            <w:tcW w:w="503" w:type="dxa"/>
            <w:tcBorders>
              <w:top w:val="nil"/>
              <w:bottom w:val="nil"/>
            </w:tcBorders>
            <w:shd w:val="clear" w:color="auto" w:fill="auto"/>
          </w:tcPr>
          <w:p w14:paraId="3AC5CC30" w14:textId="77777777" w:rsidR="00FF5E9B" w:rsidRPr="003A0C5C" w:rsidRDefault="00FF5E9B" w:rsidP="00160F99">
            <w:pPr>
              <w:pStyle w:val="Tabletext"/>
              <w:tabs>
                <w:tab w:val="decimal" w:pos="285"/>
              </w:tabs>
              <w:spacing w:before="50" w:after="50"/>
              <w:jc w:val="center"/>
              <w:rPr>
                <w:rFonts w:cs="Arial"/>
                <w:szCs w:val="16"/>
              </w:rPr>
            </w:pPr>
            <w:r w:rsidRPr="003A0C5C">
              <w:rPr>
                <w:rFonts w:cs="Arial"/>
                <w:szCs w:val="16"/>
              </w:rPr>
              <w:t>27</w:t>
            </w:r>
          </w:p>
        </w:tc>
        <w:tc>
          <w:tcPr>
            <w:tcW w:w="508" w:type="dxa"/>
            <w:tcBorders>
              <w:top w:val="nil"/>
              <w:bottom w:val="nil"/>
            </w:tcBorders>
            <w:shd w:val="clear" w:color="auto" w:fill="auto"/>
          </w:tcPr>
          <w:p w14:paraId="51372DB8" w14:textId="77777777" w:rsidR="00FF5E9B" w:rsidRPr="003A0C5C" w:rsidRDefault="00FF5E9B" w:rsidP="00160F99">
            <w:pPr>
              <w:pStyle w:val="Tabletext"/>
              <w:tabs>
                <w:tab w:val="decimal" w:pos="285"/>
              </w:tabs>
              <w:spacing w:before="50" w:after="50"/>
              <w:jc w:val="center"/>
              <w:rPr>
                <w:rFonts w:cs="Arial"/>
                <w:szCs w:val="16"/>
              </w:rPr>
            </w:pPr>
            <w:r w:rsidRPr="003A0C5C">
              <w:rPr>
                <w:rFonts w:cs="Arial"/>
                <w:szCs w:val="16"/>
              </w:rPr>
              <w:t>36</w:t>
            </w:r>
          </w:p>
        </w:tc>
        <w:tc>
          <w:tcPr>
            <w:tcW w:w="593" w:type="dxa"/>
            <w:tcBorders>
              <w:top w:val="nil"/>
              <w:bottom w:val="nil"/>
            </w:tcBorders>
            <w:shd w:val="clear" w:color="auto" w:fill="auto"/>
          </w:tcPr>
          <w:p w14:paraId="4CE1D558" w14:textId="77777777" w:rsidR="00FF5E9B" w:rsidRPr="003A0C5C" w:rsidRDefault="00FF5E9B" w:rsidP="00160F99">
            <w:pPr>
              <w:pStyle w:val="Tabletext"/>
              <w:tabs>
                <w:tab w:val="decimal" w:pos="285"/>
              </w:tabs>
              <w:spacing w:before="50" w:after="50"/>
              <w:jc w:val="center"/>
              <w:rPr>
                <w:rFonts w:cs="Arial"/>
                <w:szCs w:val="16"/>
              </w:rPr>
            </w:pPr>
            <w:r w:rsidRPr="003A0C5C">
              <w:rPr>
                <w:rFonts w:cs="Arial"/>
                <w:szCs w:val="16"/>
              </w:rPr>
              <w:t>1</w:t>
            </w:r>
          </w:p>
        </w:tc>
        <w:tc>
          <w:tcPr>
            <w:tcW w:w="757" w:type="dxa"/>
            <w:tcBorders>
              <w:top w:val="nil"/>
              <w:bottom w:val="nil"/>
            </w:tcBorders>
            <w:shd w:val="clear" w:color="auto" w:fill="auto"/>
          </w:tcPr>
          <w:p w14:paraId="0EC26138" w14:textId="77777777" w:rsidR="00FF5E9B" w:rsidRPr="003A0C5C" w:rsidRDefault="00FF5E9B" w:rsidP="00160F99">
            <w:pPr>
              <w:pStyle w:val="Tabletext"/>
              <w:tabs>
                <w:tab w:val="decimal" w:pos="285"/>
              </w:tabs>
              <w:spacing w:before="50" w:after="50"/>
              <w:jc w:val="center"/>
              <w:rPr>
                <w:rFonts w:cs="Arial"/>
                <w:szCs w:val="16"/>
              </w:rPr>
            </w:pPr>
            <w:r w:rsidRPr="003A0C5C">
              <w:rPr>
                <w:rFonts w:cs="Arial"/>
                <w:szCs w:val="16"/>
              </w:rPr>
              <w:t>1</w:t>
            </w:r>
          </w:p>
        </w:tc>
      </w:tr>
      <w:tr w:rsidR="003A0C5C" w:rsidRPr="003A0C5C" w14:paraId="15825B3B" w14:textId="77777777" w:rsidTr="00160F99">
        <w:trPr>
          <w:cantSplit/>
          <w:jc w:val="center"/>
        </w:trPr>
        <w:tc>
          <w:tcPr>
            <w:tcW w:w="5649" w:type="dxa"/>
          </w:tcPr>
          <w:p w14:paraId="0D914A66" w14:textId="38AAE5D7" w:rsidR="00FF5E9B" w:rsidRPr="003A0C5C" w:rsidRDefault="00FF5E9B" w:rsidP="00160F99">
            <w:pPr>
              <w:pStyle w:val="Tabletext"/>
              <w:keepNext/>
              <w:spacing w:before="50" w:after="50"/>
            </w:pPr>
            <w:r w:rsidRPr="003A0C5C">
              <w:t xml:space="preserve">Architectural Coating </w:t>
            </w:r>
            <w:r w:rsidR="00D12F03" w:rsidRPr="003A0C5C">
              <w:t>–</w:t>
            </w:r>
            <w:r w:rsidRPr="003A0C5C">
              <w:t xml:space="preserve"> 2023</w:t>
            </w:r>
          </w:p>
        </w:tc>
        <w:tc>
          <w:tcPr>
            <w:tcW w:w="503" w:type="dxa"/>
            <w:tcBorders>
              <w:top w:val="nil"/>
              <w:bottom w:val="nil"/>
            </w:tcBorders>
            <w:shd w:val="clear" w:color="auto" w:fill="auto"/>
          </w:tcPr>
          <w:p w14:paraId="19DFEFB1" w14:textId="77777777" w:rsidR="00FF5E9B" w:rsidRPr="003A0C5C" w:rsidRDefault="00FF5E9B" w:rsidP="00160F99">
            <w:pPr>
              <w:pStyle w:val="Tabletext"/>
              <w:tabs>
                <w:tab w:val="decimal" w:pos="285"/>
              </w:tabs>
              <w:spacing w:before="50" w:after="50"/>
              <w:jc w:val="center"/>
              <w:rPr>
                <w:rFonts w:cs="Arial"/>
                <w:szCs w:val="16"/>
              </w:rPr>
            </w:pPr>
            <w:r w:rsidRPr="003A0C5C">
              <w:rPr>
                <w:rFonts w:cs="Arial"/>
                <w:szCs w:val="16"/>
              </w:rPr>
              <w:t>3</w:t>
            </w:r>
          </w:p>
        </w:tc>
        <w:tc>
          <w:tcPr>
            <w:tcW w:w="508" w:type="dxa"/>
            <w:tcBorders>
              <w:top w:val="nil"/>
              <w:bottom w:val="nil"/>
            </w:tcBorders>
            <w:shd w:val="clear" w:color="auto" w:fill="auto"/>
          </w:tcPr>
          <w:p w14:paraId="3EFB1B76" w14:textId="77777777" w:rsidR="00FF5E9B" w:rsidRPr="003A0C5C" w:rsidRDefault="00FF5E9B" w:rsidP="00160F99">
            <w:pPr>
              <w:pStyle w:val="Tabletext"/>
              <w:tabs>
                <w:tab w:val="decimal" w:pos="285"/>
              </w:tabs>
              <w:spacing w:before="50" w:after="50"/>
              <w:jc w:val="center"/>
              <w:rPr>
                <w:rFonts w:cs="Arial"/>
                <w:szCs w:val="16"/>
              </w:rPr>
            </w:pPr>
            <w:r w:rsidRPr="003A0C5C">
              <w:rPr>
                <w:rFonts w:cs="Arial"/>
                <w:szCs w:val="16"/>
              </w:rPr>
              <w:t>4</w:t>
            </w:r>
          </w:p>
        </w:tc>
        <w:tc>
          <w:tcPr>
            <w:tcW w:w="593" w:type="dxa"/>
            <w:tcBorders>
              <w:top w:val="nil"/>
              <w:bottom w:val="nil"/>
            </w:tcBorders>
            <w:shd w:val="clear" w:color="auto" w:fill="auto"/>
          </w:tcPr>
          <w:p w14:paraId="4259669E" w14:textId="77777777" w:rsidR="00FF5E9B" w:rsidRPr="003A0C5C" w:rsidRDefault="00FF5E9B" w:rsidP="00160F99">
            <w:pPr>
              <w:pStyle w:val="Tabletext"/>
              <w:tabs>
                <w:tab w:val="decimal" w:pos="285"/>
              </w:tabs>
              <w:spacing w:before="50" w:after="50"/>
              <w:jc w:val="center"/>
              <w:rPr>
                <w:rFonts w:cs="Arial"/>
                <w:szCs w:val="16"/>
              </w:rPr>
            </w:pPr>
            <w:r w:rsidRPr="003A0C5C">
              <w:rPr>
                <w:rFonts w:cs="Arial"/>
                <w:szCs w:val="16"/>
              </w:rPr>
              <w:t>&lt;1</w:t>
            </w:r>
          </w:p>
        </w:tc>
        <w:tc>
          <w:tcPr>
            <w:tcW w:w="757" w:type="dxa"/>
            <w:tcBorders>
              <w:top w:val="nil"/>
              <w:bottom w:val="nil"/>
            </w:tcBorders>
            <w:shd w:val="clear" w:color="auto" w:fill="auto"/>
          </w:tcPr>
          <w:p w14:paraId="7AC292B0" w14:textId="77777777" w:rsidR="00FF5E9B" w:rsidRPr="003A0C5C" w:rsidRDefault="00FF5E9B" w:rsidP="00160F99">
            <w:pPr>
              <w:pStyle w:val="Tabletext"/>
              <w:tabs>
                <w:tab w:val="decimal" w:pos="285"/>
              </w:tabs>
              <w:spacing w:before="50" w:after="50"/>
              <w:jc w:val="center"/>
              <w:rPr>
                <w:rFonts w:cs="Arial"/>
                <w:szCs w:val="16"/>
              </w:rPr>
            </w:pPr>
            <w:r w:rsidRPr="003A0C5C">
              <w:rPr>
                <w:rFonts w:cs="Arial"/>
                <w:szCs w:val="16"/>
              </w:rPr>
              <w:t>&lt;1</w:t>
            </w:r>
          </w:p>
        </w:tc>
      </w:tr>
      <w:tr w:rsidR="003A0C5C" w:rsidRPr="003A0C5C" w14:paraId="635F4706" w14:textId="77777777" w:rsidTr="00160F99">
        <w:trPr>
          <w:cantSplit/>
          <w:jc w:val="center"/>
        </w:trPr>
        <w:tc>
          <w:tcPr>
            <w:tcW w:w="5649" w:type="dxa"/>
          </w:tcPr>
          <w:p w14:paraId="44F2B27C" w14:textId="77777777" w:rsidR="00FF5E9B" w:rsidRPr="003A0C5C" w:rsidRDefault="00FF5E9B" w:rsidP="00160F99">
            <w:pPr>
              <w:pStyle w:val="Tabletext"/>
              <w:keepNext/>
              <w:spacing w:before="50" w:after="50"/>
            </w:pPr>
            <w:r w:rsidRPr="003A0C5C">
              <w:t>Architectural Coating – 2024</w:t>
            </w:r>
          </w:p>
        </w:tc>
        <w:tc>
          <w:tcPr>
            <w:tcW w:w="503" w:type="dxa"/>
            <w:tcBorders>
              <w:top w:val="nil"/>
              <w:bottom w:val="nil"/>
            </w:tcBorders>
            <w:shd w:val="clear" w:color="auto" w:fill="auto"/>
          </w:tcPr>
          <w:p w14:paraId="2DB626E6" w14:textId="77777777" w:rsidR="00FF5E9B" w:rsidRPr="003A0C5C" w:rsidRDefault="00FF5E9B" w:rsidP="00160F99">
            <w:pPr>
              <w:pStyle w:val="Tabletext"/>
              <w:tabs>
                <w:tab w:val="decimal" w:pos="285"/>
              </w:tabs>
              <w:spacing w:before="50" w:after="50"/>
              <w:jc w:val="center"/>
              <w:rPr>
                <w:rFonts w:cs="Arial"/>
                <w:szCs w:val="16"/>
              </w:rPr>
            </w:pPr>
            <w:r w:rsidRPr="003A0C5C">
              <w:rPr>
                <w:rFonts w:cs="Arial"/>
                <w:szCs w:val="16"/>
              </w:rPr>
              <w:t>3</w:t>
            </w:r>
          </w:p>
        </w:tc>
        <w:tc>
          <w:tcPr>
            <w:tcW w:w="508" w:type="dxa"/>
            <w:tcBorders>
              <w:top w:val="nil"/>
              <w:bottom w:val="nil"/>
            </w:tcBorders>
            <w:shd w:val="clear" w:color="auto" w:fill="auto"/>
          </w:tcPr>
          <w:p w14:paraId="3FFF15F4" w14:textId="77777777" w:rsidR="00FF5E9B" w:rsidRPr="003A0C5C" w:rsidRDefault="00FF5E9B" w:rsidP="00160F99">
            <w:pPr>
              <w:pStyle w:val="Tabletext"/>
              <w:tabs>
                <w:tab w:val="decimal" w:pos="285"/>
              </w:tabs>
              <w:spacing w:before="50" w:after="50"/>
              <w:jc w:val="center"/>
              <w:rPr>
                <w:rFonts w:cs="Arial"/>
                <w:szCs w:val="16"/>
              </w:rPr>
            </w:pPr>
            <w:r w:rsidRPr="003A0C5C">
              <w:rPr>
                <w:rFonts w:cs="Arial"/>
                <w:szCs w:val="16"/>
              </w:rPr>
              <w:t>4</w:t>
            </w:r>
          </w:p>
        </w:tc>
        <w:tc>
          <w:tcPr>
            <w:tcW w:w="593" w:type="dxa"/>
            <w:tcBorders>
              <w:top w:val="nil"/>
              <w:bottom w:val="nil"/>
            </w:tcBorders>
            <w:shd w:val="clear" w:color="auto" w:fill="auto"/>
          </w:tcPr>
          <w:p w14:paraId="37FA07A9" w14:textId="77777777" w:rsidR="00FF5E9B" w:rsidRPr="003A0C5C" w:rsidRDefault="00FF5E9B" w:rsidP="00160F99">
            <w:pPr>
              <w:pStyle w:val="Tabletext"/>
              <w:tabs>
                <w:tab w:val="decimal" w:pos="285"/>
              </w:tabs>
              <w:spacing w:before="50" w:after="50"/>
              <w:jc w:val="center"/>
              <w:rPr>
                <w:rFonts w:cs="Arial"/>
                <w:szCs w:val="16"/>
              </w:rPr>
            </w:pPr>
            <w:r w:rsidRPr="003A0C5C">
              <w:rPr>
                <w:rFonts w:cs="Arial"/>
                <w:szCs w:val="16"/>
              </w:rPr>
              <w:t>&lt;1</w:t>
            </w:r>
          </w:p>
        </w:tc>
        <w:tc>
          <w:tcPr>
            <w:tcW w:w="757" w:type="dxa"/>
            <w:tcBorders>
              <w:top w:val="nil"/>
              <w:bottom w:val="nil"/>
            </w:tcBorders>
            <w:shd w:val="clear" w:color="auto" w:fill="auto"/>
          </w:tcPr>
          <w:p w14:paraId="0E04A5F4" w14:textId="77777777" w:rsidR="00FF5E9B" w:rsidRPr="003A0C5C" w:rsidRDefault="00FF5E9B" w:rsidP="00160F99">
            <w:pPr>
              <w:pStyle w:val="Tabletext"/>
              <w:tabs>
                <w:tab w:val="decimal" w:pos="285"/>
              </w:tabs>
              <w:spacing w:before="50" w:after="50"/>
              <w:jc w:val="center"/>
              <w:rPr>
                <w:rFonts w:cs="Arial"/>
                <w:szCs w:val="16"/>
              </w:rPr>
            </w:pPr>
            <w:r w:rsidRPr="003A0C5C">
              <w:rPr>
                <w:rFonts w:cs="Arial"/>
                <w:szCs w:val="16"/>
              </w:rPr>
              <w:t>&lt;1</w:t>
            </w:r>
          </w:p>
        </w:tc>
      </w:tr>
      <w:tr w:rsidR="003A0C5C" w:rsidRPr="003A0C5C" w14:paraId="2442BCD5" w14:textId="77777777" w:rsidTr="00160F99">
        <w:trPr>
          <w:cantSplit/>
          <w:jc w:val="center"/>
        </w:trPr>
        <w:tc>
          <w:tcPr>
            <w:tcW w:w="5649" w:type="dxa"/>
          </w:tcPr>
          <w:p w14:paraId="593492A9" w14:textId="0F402EA4" w:rsidR="00FF5E9B" w:rsidRPr="003A0C5C" w:rsidRDefault="00FF5E9B" w:rsidP="00160F99">
            <w:pPr>
              <w:pStyle w:val="Tabletext"/>
              <w:keepNext/>
              <w:spacing w:before="50" w:after="50"/>
            </w:pPr>
            <w:r w:rsidRPr="003A0C5C">
              <w:t xml:space="preserve">Landscaping </w:t>
            </w:r>
            <w:r w:rsidR="00D12F03" w:rsidRPr="003A0C5C">
              <w:t>–</w:t>
            </w:r>
            <w:r w:rsidRPr="003A0C5C">
              <w:t xml:space="preserve"> 2023</w:t>
            </w:r>
          </w:p>
        </w:tc>
        <w:tc>
          <w:tcPr>
            <w:tcW w:w="503" w:type="dxa"/>
            <w:tcBorders>
              <w:top w:val="nil"/>
              <w:bottom w:val="nil"/>
            </w:tcBorders>
            <w:shd w:val="clear" w:color="auto" w:fill="auto"/>
          </w:tcPr>
          <w:p w14:paraId="50EB434C" w14:textId="77777777" w:rsidR="00FF5E9B" w:rsidRPr="003A0C5C" w:rsidRDefault="00FF5E9B" w:rsidP="00160F99">
            <w:pPr>
              <w:pStyle w:val="Tabletext"/>
              <w:tabs>
                <w:tab w:val="decimal" w:pos="285"/>
              </w:tabs>
              <w:spacing w:before="50" w:after="50"/>
              <w:jc w:val="center"/>
              <w:rPr>
                <w:rFonts w:cs="Arial"/>
                <w:szCs w:val="16"/>
              </w:rPr>
            </w:pPr>
            <w:r w:rsidRPr="003A0C5C">
              <w:rPr>
                <w:rFonts w:cs="Arial"/>
                <w:szCs w:val="16"/>
              </w:rPr>
              <w:t>&lt;1</w:t>
            </w:r>
          </w:p>
        </w:tc>
        <w:tc>
          <w:tcPr>
            <w:tcW w:w="508" w:type="dxa"/>
            <w:tcBorders>
              <w:top w:val="nil"/>
              <w:bottom w:val="nil"/>
            </w:tcBorders>
            <w:shd w:val="clear" w:color="auto" w:fill="auto"/>
          </w:tcPr>
          <w:p w14:paraId="6C8195A5" w14:textId="77777777" w:rsidR="00FF5E9B" w:rsidRPr="003A0C5C" w:rsidRDefault="00FF5E9B" w:rsidP="00160F99">
            <w:pPr>
              <w:pStyle w:val="Tabletext"/>
              <w:tabs>
                <w:tab w:val="decimal" w:pos="285"/>
              </w:tabs>
              <w:spacing w:before="50" w:after="50"/>
              <w:jc w:val="center"/>
              <w:rPr>
                <w:rFonts w:cs="Arial"/>
                <w:szCs w:val="16"/>
              </w:rPr>
            </w:pPr>
            <w:r w:rsidRPr="003A0C5C">
              <w:rPr>
                <w:rFonts w:cs="Arial"/>
                <w:szCs w:val="16"/>
              </w:rPr>
              <w:t>2</w:t>
            </w:r>
          </w:p>
        </w:tc>
        <w:tc>
          <w:tcPr>
            <w:tcW w:w="593" w:type="dxa"/>
            <w:tcBorders>
              <w:top w:val="nil"/>
              <w:bottom w:val="nil"/>
            </w:tcBorders>
            <w:shd w:val="clear" w:color="auto" w:fill="auto"/>
          </w:tcPr>
          <w:p w14:paraId="4256CF61" w14:textId="77777777" w:rsidR="00FF5E9B" w:rsidRPr="003A0C5C" w:rsidRDefault="00FF5E9B" w:rsidP="00160F99">
            <w:pPr>
              <w:pStyle w:val="Tabletext"/>
              <w:tabs>
                <w:tab w:val="decimal" w:pos="285"/>
              </w:tabs>
              <w:spacing w:before="50" w:after="50"/>
              <w:jc w:val="center"/>
              <w:rPr>
                <w:rFonts w:cs="Arial"/>
                <w:szCs w:val="16"/>
              </w:rPr>
            </w:pPr>
            <w:r w:rsidRPr="003A0C5C">
              <w:rPr>
                <w:rFonts w:cs="Arial"/>
                <w:szCs w:val="16"/>
              </w:rPr>
              <w:t>&lt;1</w:t>
            </w:r>
          </w:p>
        </w:tc>
        <w:tc>
          <w:tcPr>
            <w:tcW w:w="757" w:type="dxa"/>
            <w:tcBorders>
              <w:top w:val="nil"/>
              <w:bottom w:val="nil"/>
            </w:tcBorders>
            <w:shd w:val="clear" w:color="auto" w:fill="auto"/>
          </w:tcPr>
          <w:p w14:paraId="175EA092" w14:textId="77777777" w:rsidR="00FF5E9B" w:rsidRPr="003A0C5C" w:rsidRDefault="00FF5E9B" w:rsidP="00160F99">
            <w:pPr>
              <w:pStyle w:val="Tabletext"/>
              <w:tabs>
                <w:tab w:val="decimal" w:pos="285"/>
              </w:tabs>
              <w:spacing w:before="50" w:after="50"/>
              <w:jc w:val="center"/>
              <w:rPr>
                <w:rFonts w:cs="Arial"/>
                <w:szCs w:val="16"/>
              </w:rPr>
            </w:pPr>
            <w:r w:rsidRPr="003A0C5C">
              <w:rPr>
                <w:rFonts w:cs="Arial"/>
                <w:szCs w:val="16"/>
              </w:rPr>
              <w:t>&lt;1</w:t>
            </w:r>
          </w:p>
        </w:tc>
      </w:tr>
      <w:tr w:rsidR="003A0C5C" w:rsidRPr="003A0C5C" w14:paraId="3F953A48" w14:textId="77777777" w:rsidTr="00160F99">
        <w:trPr>
          <w:cantSplit/>
          <w:jc w:val="center"/>
        </w:trPr>
        <w:tc>
          <w:tcPr>
            <w:tcW w:w="5649" w:type="dxa"/>
          </w:tcPr>
          <w:p w14:paraId="2F530F45" w14:textId="2C4A12A2" w:rsidR="00FF5E9B" w:rsidRPr="003A0C5C" w:rsidRDefault="00FF5E9B" w:rsidP="00160F99">
            <w:pPr>
              <w:pStyle w:val="Tabletext"/>
              <w:keepNext/>
              <w:spacing w:before="50" w:after="50"/>
            </w:pPr>
            <w:r w:rsidRPr="003A0C5C">
              <w:t xml:space="preserve">Landscaping </w:t>
            </w:r>
            <w:r w:rsidR="00D12F03" w:rsidRPr="003A0C5C">
              <w:t>–</w:t>
            </w:r>
            <w:r w:rsidRPr="003A0C5C">
              <w:t xml:space="preserve"> 2024</w:t>
            </w:r>
          </w:p>
        </w:tc>
        <w:tc>
          <w:tcPr>
            <w:tcW w:w="503" w:type="dxa"/>
            <w:tcBorders>
              <w:top w:val="nil"/>
              <w:bottom w:val="nil"/>
            </w:tcBorders>
            <w:shd w:val="clear" w:color="auto" w:fill="auto"/>
          </w:tcPr>
          <w:p w14:paraId="207DA661" w14:textId="77777777" w:rsidR="00FF5E9B" w:rsidRPr="003A0C5C" w:rsidRDefault="00FF5E9B" w:rsidP="00160F99">
            <w:pPr>
              <w:pStyle w:val="Tabletext"/>
              <w:tabs>
                <w:tab w:val="decimal" w:pos="285"/>
              </w:tabs>
              <w:spacing w:before="50" w:after="50"/>
              <w:jc w:val="center"/>
              <w:rPr>
                <w:rFonts w:cs="Arial"/>
                <w:szCs w:val="16"/>
              </w:rPr>
            </w:pPr>
            <w:r w:rsidRPr="003A0C5C">
              <w:rPr>
                <w:rFonts w:cs="Arial"/>
                <w:szCs w:val="16"/>
              </w:rPr>
              <w:t>&lt;1</w:t>
            </w:r>
          </w:p>
        </w:tc>
        <w:tc>
          <w:tcPr>
            <w:tcW w:w="508" w:type="dxa"/>
            <w:tcBorders>
              <w:top w:val="nil"/>
              <w:bottom w:val="nil"/>
            </w:tcBorders>
            <w:shd w:val="clear" w:color="auto" w:fill="auto"/>
          </w:tcPr>
          <w:p w14:paraId="0F64A8B0" w14:textId="77777777" w:rsidR="00FF5E9B" w:rsidRPr="003A0C5C" w:rsidRDefault="00FF5E9B" w:rsidP="00160F99">
            <w:pPr>
              <w:pStyle w:val="Tabletext"/>
              <w:tabs>
                <w:tab w:val="decimal" w:pos="285"/>
              </w:tabs>
              <w:spacing w:before="50" w:after="50"/>
              <w:jc w:val="center"/>
              <w:rPr>
                <w:rFonts w:cs="Arial"/>
                <w:szCs w:val="16"/>
              </w:rPr>
            </w:pPr>
            <w:r w:rsidRPr="003A0C5C">
              <w:rPr>
                <w:rFonts w:cs="Arial"/>
                <w:szCs w:val="16"/>
              </w:rPr>
              <w:t>2</w:t>
            </w:r>
          </w:p>
        </w:tc>
        <w:tc>
          <w:tcPr>
            <w:tcW w:w="593" w:type="dxa"/>
            <w:tcBorders>
              <w:top w:val="nil"/>
              <w:bottom w:val="nil"/>
            </w:tcBorders>
            <w:shd w:val="clear" w:color="auto" w:fill="auto"/>
          </w:tcPr>
          <w:p w14:paraId="23A82C6D" w14:textId="77777777" w:rsidR="00FF5E9B" w:rsidRPr="003A0C5C" w:rsidRDefault="00FF5E9B" w:rsidP="00160F99">
            <w:pPr>
              <w:pStyle w:val="Tabletext"/>
              <w:tabs>
                <w:tab w:val="decimal" w:pos="285"/>
              </w:tabs>
              <w:spacing w:before="50" w:after="50"/>
              <w:jc w:val="center"/>
              <w:rPr>
                <w:rFonts w:cs="Arial"/>
                <w:szCs w:val="16"/>
              </w:rPr>
            </w:pPr>
            <w:r w:rsidRPr="003A0C5C">
              <w:rPr>
                <w:rFonts w:cs="Arial"/>
                <w:szCs w:val="16"/>
              </w:rPr>
              <w:t>&lt;1</w:t>
            </w:r>
          </w:p>
        </w:tc>
        <w:tc>
          <w:tcPr>
            <w:tcW w:w="757" w:type="dxa"/>
            <w:tcBorders>
              <w:top w:val="nil"/>
              <w:bottom w:val="nil"/>
            </w:tcBorders>
            <w:shd w:val="clear" w:color="auto" w:fill="auto"/>
          </w:tcPr>
          <w:p w14:paraId="05BD05D4" w14:textId="77777777" w:rsidR="00FF5E9B" w:rsidRPr="003A0C5C" w:rsidRDefault="00FF5E9B" w:rsidP="00160F99">
            <w:pPr>
              <w:pStyle w:val="Tabletext"/>
              <w:tabs>
                <w:tab w:val="decimal" w:pos="285"/>
              </w:tabs>
              <w:spacing w:before="50" w:after="50"/>
              <w:jc w:val="center"/>
              <w:rPr>
                <w:rFonts w:cs="Arial"/>
                <w:szCs w:val="16"/>
              </w:rPr>
            </w:pPr>
            <w:r w:rsidRPr="003A0C5C">
              <w:rPr>
                <w:rFonts w:cs="Arial"/>
                <w:szCs w:val="16"/>
              </w:rPr>
              <w:t>&lt;1</w:t>
            </w:r>
          </w:p>
        </w:tc>
      </w:tr>
      <w:tr w:rsidR="003A0C5C" w:rsidRPr="003A0C5C" w14:paraId="2A1F3632" w14:textId="77777777" w:rsidTr="00160F99">
        <w:trPr>
          <w:cantSplit/>
          <w:jc w:val="center"/>
        </w:trPr>
        <w:tc>
          <w:tcPr>
            <w:tcW w:w="5649" w:type="dxa"/>
          </w:tcPr>
          <w:p w14:paraId="5AE9B2B2" w14:textId="30B9AE83" w:rsidR="00FF5E9B" w:rsidRPr="003A0C5C" w:rsidRDefault="00FF5E9B" w:rsidP="00160F99">
            <w:pPr>
              <w:pStyle w:val="Tabletext"/>
              <w:keepNext/>
              <w:spacing w:before="50" w:after="50"/>
            </w:pPr>
            <w:r w:rsidRPr="003A0C5C">
              <w:t xml:space="preserve">Paving </w:t>
            </w:r>
            <w:r w:rsidR="00D12F03" w:rsidRPr="003A0C5C">
              <w:t>–</w:t>
            </w:r>
            <w:r w:rsidRPr="003A0C5C">
              <w:t xml:space="preserve"> 2024</w:t>
            </w:r>
          </w:p>
        </w:tc>
        <w:tc>
          <w:tcPr>
            <w:tcW w:w="503" w:type="dxa"/>
            <w:tcBorders>
              <w:top w:val="nil"/>
              <w:bottom w:val="nil"/>
            </w:tcBorders>
            <w:shd w:val="clear" w:color="auto" w:fill="auto"/>
          </w:tcPr>
          <w:p w14:paraId="52794F00" w14:textId="77777777" w:rsidR="00FF5E9B" w:rsidRPr="003A0C5C" w:rsidRDefault="00FF5E9B" w:rsidP="00160F99">
            <w:pPr>
              <w:pStyle w:val="Tabletext"/>
              <w:tabs>
                <w:tab w:val="decimal" w:pos="285"/>
              </w:tabs>
              <w:spacing w:before="50" w:after="50"/>
              <w:jc w:val="center"/>
              <w:rPr>
                <w:rFonts w:cs="Arial"/>
                <w:szCs w:val="16"/>
              </w:rPr>
            </w:pPr>
            <w:r w:rsidRPr="003A0C5C">
              <w:rPr>
                <w:rFonts w:cs="Arial"/>
                <w:szCs w:val="16"/>
              </w:rPr>
              <w:t>18</w:t>
            </w:r>
          </w:p>
        </w:tc>
        <w:tc>
          <w:tcPr>
            <w:tcW w:w="508" w:type="dxa"/>
            <w:tcBorders>
              <w:top w:val="nil"/>
              <w:bottom w:val="nil"/>
            </w:tcBorders>
            <w:shd w:val="clear" w:color="auto" w:fill="auto"/>
          </w:tcPr>
          <w:p w14:paraId="12D881E7" w14:textId="77777777" w:rsidR="00FF5E9B" w:rsidRPr="003A0C5C" w:rsidRDefault="00FF5E9B" w:rsidP="00160F99">
            <w:pPr>
              <w:pStyle w:val="Tabletext"/>
              <w:tabs>
                <w:tab w:val="decimal" w:pos="285"/>
              </w:tabs>
              <w:spacing w:before="50" w:after="50"/>
              <w:jc w:val="center"/>
              <w:rPr>
                <w:rFonts w:cs="Arial"/>
                <w:szCs w:val="16"/>
              </w:rPr>
            </w:pPr>
            <w:r w:rsidRPr="003A0C5C">
              <w:rPr>
                <w:rFonts w:cs="Arial"/>
                <w:szCs w:val="16"/>
              </w:rPr>
              <w:t>26</w:t>
            </w:r>
          </w:p>
        </w:tc>
        <w:tc>
          <w:tcPr>
            <w:tcW w:w="593" w:type="dxa"/>
            <w:tcBorders>
              <w:top w:val="nil"/>
              <w:bottom w:val="nil"/>
            </w:tcBorders>
            <w:shd w:val="clear" w:color="auto" w:fill="auto"/>
          </w:tcPr>
          <w:p w14:paraId="16FC38A9" w14:textId="77777777" w:rsidR="00FF5E9B" w:rsidRPr="003A0C5C" w:rsidRDefault="00FF5E9B" w:rsidP="00160F99">
            <w:pPr>
              <w:pStyle w:val="Tabletext"/>
              <w:tabs>
                <w:tab w:val="decimal" w:pos="285"/>
              </w:tabs>
              <w:spacing w:before="50" w:after="50"/>
              <w:jc w:val="center"/>
              <w:rPr>
                <w:rFonts w:cs="Arial"/>
                <w:szCs w:val="16"/>
              </w:rPr>
            </w:pPr>
            <w:r w:rsidRPr="003A0C5C">
              <w:rPr>
                <w:rFonts w:cs="Arial"/>
                <w:szCs w:val="16"/>
              </w:rPr>
              <w:t>1</w:t>
            </w:r>
          </w:p>
        </w:tc>
        <w:tc>
          <w:tcPr>
            <w:tcW w:w="757" w:type="dxa"/>
            <w:tcBorders>
              <w:top w:val="nil"/>
              <w:bottom w:val="nil"/>
            </w:tcBorders>
            <w:shd w:val="clear" w:color="auto" w:fill="auto"/>
          </w:tcPr>
          <w:p w14:paraId="651678A5" w14:textId="77777777" w:rsidR="00FF5E9B" w:rsidRPr="003A0C5C" w:rsidRDefault="00FF5E9B" w:rsidP="00160F99">
            <w:pPr>
              <w:pStyle w:val="Tabletext"/>
              <w:tabs>
                <w:tab w:val="decimal" w:pos="285"/>
              </w:tabs>
              <w:spacing w:before="50" w:after="50"/>
              <w:jc w:val="center"/>
              <w:rPr>
                <w:rFonts w:cs="Arial"/>
                <w:szCs w:val="16"/>
              </w:rPr>
            </w:pPr>
            <w:r w:rsidRPr="003A0C5C">
              <w:rPr>
                <w:rFonts w:cs="Arial"/>
                <w:szCs w:val="16"/>
              </w:rPr>
              <w:t>1</w:t>
            </w:r>
          </w:p>
        </w:tc>
      </w:tr>
      <w:tr w:rsidR="003A0C5C" w:rsidRPr="003A0C5C" w14:paraId="5E1413B5" w14:textId="77777777" w:rsidTr="00160F99">
        <w:trPr>
          <w:cantSplit/>
          <w:jc w:val="center"/>
        </w:trPr>
        <w:tc>
          <w:tcPr>
            <w:tcW w:w="8010" w:type="dxa"/>
            <w:gridSpan w:val="5"/>
            <w:shd w:val="clear" w:color="auto" w:fill="D9D9D9" w:themeFill="background1" w:themeFillShade="D9"/>
          </w:tcPr>
          <w:p w14:paraId="0A6EF75B" w14:textId="77777777" w:rsidR="00FF5E9B" w:rsidRPr="003A0C5C" w:rsidRDefault="00FF5E9B" w:rsidP="00160F99">
            <w:pPr>
              <w:pStyle w:val="Tablerowheading"/>
              <w:spacing w:before="50" w:after="50"/>
            </w:pPr>
            <w:r w:rsidRPr="003A0C5C">
              <w:t>Overlapping Phases</w:t>
            </w:r>
          </w:p>
        </w:tc>
      </w:tr>
      <w:tr w:rsidR="003A0C5C" w:rsidRPr="003A0C5C" w14:paraId="638ED31A" w14:textId="77777777" w:rsidTr="00160F99">
        <w:trPr>
          <w:cantSplit/>
          <w:jc w:val="center"/>
        </w:trPr>
        <w:tc>
          <w:tcPr>
            <w:tcW w:w="5649" w:type="dxa"/>
            <w:tcBorders>
              <w:bottom w:val="single" w:sz="4" w:space="0" w:color="auto"/>
            </w:tcBorders>
          </w:tcPr>
          <w:p w14:paraId="4344E2B1" w14:textId="2485986C" w:rsidR="00FF5E9B" w:rsidRPr="003A0C5C" w:rsidRDefault="00FF5E9B" w:rsidP="00160F99">
            <w:pPr>
              <w:pStyle w:val="Tabletext"/>
              <w:keepNext/>
              <w:spacing w:before="50" w:after="50"/>
            </w:pPr>
            <w:r w:rsidRPr="003A0C5C">
              <w:t xml:space="preserve">Building Construction </w:t>
            </w:r>
            <w:r w:rsidR="0052663B" w:rsidRPr="003A0C5C">
              <w:t>–</w:t>
            </w:r>
            <w:r w:rsidRPr="003A0C5C">
              <w:t xml:space="preserve"> 2023 + Architectural Coatings </w:t>
            </w:r>
            <w:r w:rsidR="0052663B" w:rsidRPr="003A0C5C">
              <w:t>–</w:t>
            </w:r>
            <w:r w:rsidRPr="003A0C5C">
              <w:t xml:space="preserve"> 2023</w:t>
            </w:r>
            <w:r w:rsidR="00485E18" w:rsidRPr="003A0C5C">
              <w:t xml:space="preserve"> </w:t>
            </w:r>
            <w:r w:rsidRPr="003A0C5C">
              <w:t xml:space="preserve">+ Landscaping </w:t>
            </w:r>
            <w:r w:rsidR="00D12F03" w:rsidRPr="003A0C5C">
              <w:t>–</w:t>
            </w:r>
            <w:r w:rsidRPr="003A0C5C">
              <w:t xml:space="preserve"> 2023</w:t>
            </w:r>
          </w:p>
        </w:tc>
        <w:tc>
          <w:tcPr>
            <w:tcW w:w="503" w:type="dxa"/>
            <w:tcBorders>
              <w:top w:val="nil"/>
              <w:bottom w:val="single" w:sz="4" w:space="0" w:color="auto"/>
            </w:tcBorders>
            <w:shd w:val="clear" w:color="auto" w:fill="auto"/>
          </w:tcPr>
          <w:p w14:paraId="44B97545" w14:textId="77777777" w:rsidR="00FF5E9B" w:rsidRPr="003A0C5C" w:rsidRDefault="00FF5E9B" w:rsidP="00160F99">
            <w:pPr>
              <w:pStyle w:val="Tabletext"/>
              <w:tabs>
                <w:tab w:val="decimal" w:pos="285"/>
              </w:tabs>
              <w:spacing w:before="50" w:after="50"/>
              <w:jc w:val="center"/>
              <w:rPr>
                <w:rFonts w:cs="Arial"/>
                <w:szCs w:val="16"/>
              </w:rPr>
            </w:pPr>
            <w:r w:rsidRPr="003A0C5C">
              <w:rPr>
                <w:rFonts w:cs="Arial"/>
                <w:szCs w:val="16"/>
              </w:rPr>
              <w:t>32</w:t>
            </w:r>
          </w:p>
        </w:tc>
        <w:tc>
          <w:tcPr>
            <w:tcW w:w="508" w:type="dxa"/>
            <w:tcBorders>
              <w:top w:val="nil"/>
              <w:bottom w:val="single" w:sz="4" w:space="0" w:color="auto"/>
            </w:tcBorders>
            <w:shd w:val="clear" w:color="auto" w:fill="auto"/>
          </w:tcPr>
          <w:p w14:paraId="19D4B129" w14:textId="77777777" w:rsidR="00FF5E9B" w:rsidRPr="003A0C5C" w:rsidRDefault="00FF5E9B" w:rsidP="00160F99">
            <w:pPr>
              <w:pStyle w:val="Tabletext"/>
              <w:tabs>
                <w:tab w:val="decimal" w:pos="285"/>
              </w:tabs>
              <w:spacing w:before="50" w:after="50"/>
              <w:jc w:val="center"/>
              <w:rPr>
                <w:rFonts w:cs="Arial"/>
                <w:szCs w:val="16"/>
              </w:rPr>
            </w:pPr>
            <w:r w:rsidRPr="003A0C5C">
              <w:rPr>
                <w:rFonts w:cs="Arial"/>
                <w:szCs w:val="16"/>
              </w:rPr>
              <w:t>42</w:t>
            </w:r>
          </w:p>
        </w:tc>
        <w:tc>
          <w:tcPr>
            <w:tcW w:w="593" w:type="dxa"/>
            <w:tcBorders>
              <w:top w:val="nil"/>
              <w:bottom w:val="single" w:sz="4" w:space="0" w:color="auto"/>
            </w:tcBorders>
            <w:shd w:val="clear" w:color="auto" w:fill="auto"/>
          </w:tcPr>
          <w:p w14:paraId="0F9D2440" w14:textId="77777777" w:rsidR="00FF5E9B" w:rsidRPr="003A0C5C" w:rsidRDefault="00FF5E9B" w:rsidP="00160F99">
            <w:pPr>
              <w:pStyle w:val="Tabletext"/>
              <w:tabs>
                <w:tab w:val="decimal" w:pos="285"/>
              </w:tabs>
              <w:spacing w:before="50" w:after="50"/>
              <w:jc w:val="center"/>
              <w:rPr>
                <w:rFonts w:cs="Arial"/>
                <w:szCs w:val="16"/>
              </w:rPr>
            </w:pPr>
            <w:r w:rsidRPr="003A0C5C">
              <w:rPr>
                <w:rFonts w:cs="Arial"/>
                <w:szCs w:val="16"/>
              </w:rPr>
              <w:t>2</w:t>
            </w:r>
          </w:p>
        </w:tc>
        <w:tc>
          <w:tcPr>
            <w:tcW w:w="757" w:type="dxa"/>
            <w:tcBorders>
              <w:top w:val="nil"/>
              <w:bottom w:val="single" w:sz="4" w:space="0" w:color="auto"/>
            </w:tcBorders>
            <w:shd w:val="clear" w:color="auto" w:fill="auto"/>
          </w:tcPr>
          <w:p w14:paraId="1A846120" w14:textId="77777777" w:rsidR="00FF5E9B" w:rsidRPr="003A0C5C" w:rsidRDefault="00FF5E9B" w:rsidP="00160F99">
            <w:pPr>
              <w:pStyle w:val="Tabletext"/>
              <w:tabs>
                <w:tab w:val="decimal" w:pos="285"/>
              </w:tabs>
              <w:spacing w:before="50" w:after="50"/>
              <w:jc w:val="center"/>
              <w:rPr>
                <w:rFonts w:cs="Arial"/>
                <w:szCs w:val="16"/>
              </w:rPr>
            </w:pPr>
            <w:r w:rsidRPr="003A0C5C">
              <w:rPr>
                <w:rFonts w:cs="Arial"/>
                <w:szCs w:val="16"/>
              </w:rPr>
              <w:t>1</w:t>
            </w:r>
          </w:p>
        </w:tc>
      </w:tr>
      <w:tr w:rsidR="003A0C5C" w:rsidRPr="003A0C5C" w14:paraId="57436B8E" w14:textId="77777777" w:rsidTr="00160F99">
        <w:trPr>
          <w:cantSplit/>
          <w:jc w:val="center"/>
        </w:trPr>
        <w:tc>
          <w:tcPr>
            <w:tcW w:w="5649" w:type="dxa"/>
            <w:tcBorders>
              <w:bottom w:val="single" w:sz="4" w:space="0" w:color="auto"/>
            </w:tcBorders>
          </w:tcPr>
          <w:p w14:paraId="79457B69" w14:textId="760C15BE" w:rsidR="00FF5E9B" w:rsidRPr="003A0C5C" w:rsidRDefault="00FF5E9B" w:rsidP="00160F99">
            <w:pPr>
              <w:pStyle w:val="Tabletext"/>
              <w:keepNext/>
              <w:spacing w:before="50" w:after="50"/>
            </w:pPr>
            <w:r w:rsidRPr="003A0C5C">
              <w:t xml:space="preserve">Building Construction </w:t>
            </w:r>
            <w:r w:rsidR="0052663B" w:rsidRPr="003A0C5C">
              <w:t>–</w:t>
            </w:r>
            <w:r w:rsidRPr="003A0C5C">
              <w:t xml:space="preserve"> 2024 + Paving </w:t>
            </w:r>
            <w:r w:rsidR="0052663B" w:rsidRPr="003A0C5C">
              <w:t>–</w:t>
            </w:r>
            <w:r w:rsidRPr="003A0C5C">
              <w:t xml:space="preserve"> 2024</w:t>
            </w:r>
            <w:r w:rsidR="00485E18" w:rsidRPr="003A0C5C">
              <w:t xml:space="preserve"> </w:t>
            </w:r>
            <w:r w:rsidRPr="003A0C5C">
              <w:t xml:space="preserve">+ Architectural Coating 2024 + Landscaping </w:t>
            </w:r>
            <w:r w:rsidR="00D12F03" w:rsidRPr="003A0C5C">
              <w:t>–</w:t>
            </w:r>
            <w:r w:rsidRPr="003A0C5C">
              <w:t xml:space="preserve"> 2024</w:t>
            </w:r>
          </w:p>
        </w:tc>
        <w:tc>
          <w:tcPr>
            <w:tcW w:w="503" w:type="dxa"/>
            <w:tcBorders>
              <w:top w:val="nil"/>
              <w:bottom w:val="single" w:sz="4" w:space="0" w:color="auto"/>
            </w:tcBorders>
            <w:shd w:val="clear" w:color="auto" w:fill="auto"/>
          </w:tcPr>
          <w:p w14:paraId="799C6BB8" w14:textId="77777777" w:rsidR="00FF5E9B" w:rsidRPr="003A0C5C" w:rsidRDefault="00FF5E9B" w:rsidP="00160F99">
            <w:pPr>
              <w:pStyle w:val="Tabletext"/>
              <w:tabs>
                <w:tab w:val="decimal" w:pos="285"/>
              </w:tabs>
              <w:spacing w:before="50" w:after="50"/>
              <w:jc w:val="center"/>
              <w:rPr>
                <w:rFonts w:cs="Arial"/>
                <w:szCs w:val="16"/>
              </w:rPr>
            </w:pPr>
            <w:r w:rsidRPr="003A0C5C">
              <w:rPr>
                <w:rFonts w:cs="Arial"/>
                <w:szCs w:val="16"/>
              </w:rPr>
              <w:t>48</w:t>
            </w:r>
          </w:p>
        </w:tc>
        <w:tc>
          <w:tcPr>
            <w:tcW w:w="508" w:type="dxa"/>
            <w:tcBorders>
              <w:top w:val="nil"/>
              <w:bottom w:val="single" w:sz="4" w:space="0" w:color="auto"/>
            </w:tcBorders>
            <w:shd w:val="clear" w:color="auto" w:fill="auto"/>
          </w:tcPr>
          <w:p w14:paraId="00DD665D" w14:textId="77777777" w:rsidR="00FF5E9B" w:rsidRPr="003A0C5C" w:rsidRDefault="00FF5E9B" w:rsidP="00160F99">
            <w:pPr>
              <w:pStyle w:val="Tabletext"/>
              <w:tabs>
                <w:tab w:val="decimal" w:pos="285"/>
              </w:tabs>
              <w:spacing w:before="50" w:after="50"/>
              <w:jc w:val="center"/>
              <w:rPr>
                <w:rFonts w:cs="Arial"/>
                <w:szCs w:val="16"/>
              </w:rPr>
            </w:pPr>
            <w:r w:rsidRPr="003A0C5C">
              <w:rPr>
                <w:rFonts w:cs="Arial"/>
                <w:szCs w:val="16"/>
              </w:rPr>
              <w:t>67</w:t>
            </w:r>
          </w:p>
        </w:tc>
        <w:tc>
          <w:tcPr>
            <w:tcW w:w="593" w:type="dxa"/>
            <w:tcBorders>
              <w:top w:val="nil"/>
              <w:bottom w:val="single" w:sz="4" w:space="0" w:color="auto"/>
            </w:tcBorders>
            <w:shd w:val="clear" w:color="auto" w:fill="auto"/>
          </w:tcPr>
          <w:p w14:paraId="48AC9C48" w14:textId="77777777" w:rsidR="00FF5E9B" w:rsidRPr="003A0C5C" w:rsidRDefault="00FF5E9B" w:rsidP="00160F99">
            <w:pPr>
              <w:pStyle w:val="Tabletext"/>
              <w:tabs>
                <w:tab w:val="decimal" w:pos="285"/>
              </w:tabs>
              <w:spacing w:before="50" w:after="50"/>
              <w:jc w:val="center"/>
              <w:rPr>
                <w:rFonts w:cs="Arial"/>
                <w:szCs w:val="16"/>
              </w:rPr>
            </w:pPr>
            <w:r w:rsidRPr="003A0C5C">
              <w:rPr>
                <w:rFonts w:cs="Arial"/>
                <w:szCs w:val="16"/>
              </w:rPr>
              <w:t>2</w:t>
            </w:r>
          </w:p>
        </w:tc>
        <w:tc>
          <w:tcPr>
            <w:tcW w:w="757" w:type="dxa"/>
            <w:tcBorders>
              <w:top w:val="nil"/>
              <w:bottom w:val="single" w:sz="4" w:space="0" w:color="auto"/>
            </w:tcBorders>
            <w:shd w:val="clear" w:color="auto" w:fill="auto"/>
          </w:tcPr>
          <w:p w14:paraId="20F44D3A" w14:textId="77777777" w:rsidR="00FF5E9B" w:rsidRPr="003A0C5C" w:rsidRDefault="00FF5E9B" w:rsidP="00160F99">
            <w:pPr>
              <w:pStyle w:val="Tabletext"/>
              <w:tabs>
                <w:tab w:val="decimal" w:pos="285"/>
              </w:tabs>
              <w:spacing w:before="50" w:after="50"/>
              <w:jc w:val="center"/>
              <w:rPr>
                <w:rFonts w:cs="Arial"/>
                <w:szCs w:val="16"/>
              </w:rPr>
            </w:pPr>
            <w:r w:rsidRPr="003A0C5C">
              <w:rPr>
                <w:rFonts w:cs="Arial"/>
                <w:szCs w:val="16"/>
              </w:rPr>
              <w:t>2</w:t>
            </w:r>
          </w:p>
        </w:tc>
      </w:tr>
      <w:tr w:rsidR="003A0C5C" w:rsidRPr="003A0C5C" w14:paraId="7F4D47CC" w14:textId="77777777" w:rsidTr="00160F99">
        <w:trPr>
          <w:cantSplit/>
          <w:jc w:val="center"/>
        </w:trPr>
        <w:tc>
          <w:tcPr>
            <w:tcW w:w="5649" w:type="dxa"/>
            <w:tcBorders>
              <w:bottom w:val="single" w:sz="4" w:space="0" w:color="auto"/>
            </w:tcBorders>
          </w:tcPr>
          <w:p w14:paraId="50821D59" w14:textId="48AB00D3" w:rsidR="00FF5E9B" w:rsidRPr="003A0C5C" w:rsidRDefault="00FF5E9B" w:rsidP="00160F99">
            <w:pPr>
              <w:pStyle w:val="Tabletext"/>
              <w:keepNext/>
              <w:spacing w:before="50" w:after="50"/>
            </w:pPr>
            <w:r w:rsidRPr="003A0C5C">
              <w:t xml:space="preserve">Building Construction </w:t>
            </w:r>
            <w:r w:rsidR="0052663B" w:rsidRPr="003A0C5C">
              <w:t>–</w:t>
            </w:r>
            <w:r w:rsidRPr="003A0C5C">
              <w:t xml:space="preserve"> 2024 + Architectural Coating 2024 + Landscaping </w:t>
            </w:r>
            <w:r w:rsidR="00D12F03" w:rsidRPr="003A0C5C">
              <w:t>–</w:t>
            </w:r>
            <w:r w:rsidRPr="003A0C5C">
              <w:t xml:space="preserve"> 2023</w:t>
            </w:r>
          </w:p>
        </w:tc>
        <w:tc>
          <w:tcPr>
            <w:tcW w:w="503" w:type="dxa"/>
            <w:tcBorders>
              <w:top w:val="nil"/>
              <w:bottom w:val="single" w:sz="4" w:space="0" w:color="auto"/>
            </w:tcBorders>
            <w:shd w:val="clear" w:color="auto" w:fill="auto"/>
          </w:tcPr>
          <w:p w14:paraId="2AACB55A" w14:textId="77777777" w:rsidR="00FF5E9B" w:rsidRPr="003A0C5C" w:rsidRDefault="00FF5E9B" w:rsidP="00160F99">
            <w:pPr>
              <w:pStyle w:val="Tabletext"/>
              <w:tabs>
                <w:tab w:val="decimal" w:pos="285"/>
              </w:tabs>
              <w:spacing w:before="50" w:after="50"/>
              <w:jc w:val="center"/>
              <w:rPr>
                <w:rFonts w:cs="Arial"/>
                <w:szCs w:val="16"/>
              </w:rPr>
            </w:pPr>
            <w:r w:rsidRPr="003A0C5C">
              <w:rPr>
                <w:rFonts w:cs="Arial"/>
                <w:szCs w:val="16"/>
              </w:rPr>
              <w:t>48</w:t>
            </w:r>
          </w:p>
        </w:tc>
        <w:tc>
          <w:tcPr>
            <w:tcW w:w="508" w:type="dxa"/>
            <w:tcBorders>
              <w:top w:val="nil"/>
              <w:bottom w:val="single" w:sz="4" w:space="0" w:color="auto"/>
            </w:tcBorders>
            <w:shd w:val="clear" w:color="auto" w:fill="auto"/>
          </w:tcPr>
          <w:p w14:paraId="3EB60541" w14:textId="77777777" w:rsidR="00FF5E9B" w:rsidRPr="003A0C5C" w:rsidRDefault="00FF5E9B" w:rsidP="00160F99">
            <w:pPr>
              <w:pStyle w:val="Tabletext"/>
              <w:tabs>
                <w:tab w:val="decimal" w:pos="285"/>
              </w:tabs>
              <w:spacing w:before="50" w:after="50"/>
              <w:jc w:val="center"/>
              <w:rPr>
                <w:rFonts w:cs="Arial"/>
                <w:szCs w:val="16"/>
              </w:rPr>
            </w:pPr>
            <w:r w:rsidRPr="003A0C5C">
              <w:rPr>
                <w:rFonts w:cs="Arial"/>
                <w:szCs w:val="16"/>
              </w:rPr>
              <w:t>42</w:t>
            </w:r>
          </w:p>
        </w:tc>
        <w:tc>
          <w:tcPr>
            <w:tcW w:w="593" w:type="dxa"/>
            <w:tcBorders>
              <w:top w:val="nil"/>
              <w:bottom w:val="single" w:sz="4" w:space="0" w:color="auto"/>
            </w:tcBorders>
            <w:shd w:val="clear" w:color="auto" w:fill="auto"/>
          </w:tcPr>
          <w:p w14:paraId="67F453FF" w14:textId="77777777" w:rsidR="00FF5E9B" w:rsidRPr="003A0C5C" w:rsidRDefault="00FF5E9B" w:rsidP="00160F99">
            <w:pPr>
              <w:pStyle w:val="Tabletext"/>
              <w:tabs>
                <w:tab w:val="decimal" w:pos="285"/>
              </w:tabs>
              <w:spacing w:before="50" w:after="50"/>
              <w:jc w:val="center"/>
              <w:rPr>
                <w:rFonts w:cs="Arial"/>
                <w:szCs w:val="16"/>
              </w:rPr>
            </w:pPr>
            <w:r w:rsidRPr="003A0C5C">
              <w:rPr>
                <w:rFonts w:cs="Arial"/>
                <w:szCs w:val="16"/>
              </w:rPr>
              <w:t>2</w:t>
            </w:r>
          </w:p>
        </w:tc>
        <w:tc>
          <w:tcPr>
            <w:tcW w:w="757" w:type="dxa"/>
            <w:tcBorders>
              <w:top w:val="nil"/>
              <w:bottom w:val="single" w:sz="4" w:space="0" w:color="auto"/>
            </w:tcBorders>
            <w:shd w:val="clear" w:color="auto" w:fill="auto"/>
          </w:tcPr>
          <w:p w14:paraId="23473F1F" w14:textId="77777777" w:rsidR="00FF5E9B" w:rsidRPr="003A0C5C" w:rsidRDefault="00FF5E9B" w:rsidP="00160F99">
            <w:pPr>
              <w:pStyle w:val="Tabletext"/>
              <w:tabs>
                <w:tab w:val="decimal" w:pos="285"/>
              </w:tabs>
              <w:spacing w:before="50" w:after="50"/>
              <w:jc w:val="center"/>
              <w:rPr>
                <w:rFonts w:cs="Arial"/>
                <w:szCs w:val="16"/>
              </w:rPr>
            </w:pPr>
            <w:r w:rsidRPr="003A0C5C">
              <w:rPr>
                <w:rFonts w:cs="Arial"/>
                <w:szCs w:val="16"/>
              </w:rPr>
              <w:t>1</w:t>
            </w:r>
          </w:p>
        </w:tc>
      </w:tr>
      <w:tr w:rsidR="003A0C5C" w:rsidRPr="003A0C5C" w14:paraId="4B52F1B8" w14:textId="77777777" w:rsidTr="00160F99">
        <w:trPr>
          <w:cantSplit/>
          <w:jc w:val="center"/>
        </w:trPr>
        <w:tc>
          <w:tcPr>
            <w:tcW w:w="5649" w:type="dxa"/>
            <w:tcBorders>
              <w:top w:val="single" w:sz="4" w:space="0" w:color="auto"/>
              <w:bottom w:val="single" w:sz="4" w:space="0" w:color="auto"/>
            </w:tcBorders>
          </w:tcPr>
          <w:p w14:paraId="52C85E82" w14:textId="77777777" w:rsidR="00FF5E9B" w:rsidRPr="003A0C5C" w:rsidDel="00A2622A" w:rsidRDefault="00FF5E9B" w:rsidP="00160F99">
            <w:pPr>
              <w:pStyle w:val="Tabletext"/>
              <w:keepNext/>
              <w:spacing w:before="50" w:after="50"/>
              <w:rPr>
                <w:rStyle w:val="BoldItalic"/>
              </w:rPr>
            </w:pPr>
            <w:r w:rsidRPr="003A0C5C">
              <w:rPr>
                <w:rStyle w:val="BoldItalic"/>
              </w:rPr>
              <w:t>Project Maximum Daily Emissions</w:t>
            </w:r>
          </w:p>
        </w:tc>
        <w:tc>
          <w:tcPr>
            <w:tcW w:w="503" w:type="dxa"/>
            <w:tcBorders>
              <w:top w:val="single" w:sz="4" w:space="0" w:color="auto"/>
              <w:bottom w:val="single" w:sz="4" w:space="0" w:color="auto"/>
            </w:tcBorders>
            <w:shd w:val="clear" w:color="auto" w:fill="auto"/>
          </w:tcPr>
          <w:p w14:paraId="6BDE95BD" w14:textId="77777777" w:rsidR="00FF5E9B" w:rsidRPr="003A0C5C" w:rsidRDefault="00FF5E9B" w:rsidP="00160F99">
            <w:pPr>
              <w:pStyle w:val="Tabletext"/>
              <w:tabs>
                <w:tab w:val="decimal" w:pos="285"/>
              </w:tabs>
              <w:spacing w:before="50" w:after="50"/>
              <w:jc w:val="center"/>
              <w:rPr>
                <w:rStyle w:val="BoldItalic"/>
              </w:rPr>
            </w:pPr>
            <w:r w:rsidRPr="003A0C5C">
              <w:rPr>
                <w:rStyle w:val="BoldItalic"/>
              </w:rPr>
              <w:t>52</w:t>
            </w:r>
          </w:p>
        </w:tc>
        <w:tc>
          <w:tcPr>
            <w:tcW w:w="508" w:type="dxa"/>
            <w:tcBorders>
              <w:top w:val="single" w:sz="4" w:space="0" w:color="auto"/>
              <w:bottom w:val="single" w:sz="4" w:space="0" w:color="auto"/>
            </w:tcBorders>
            <w:shd w:val="clear" w:color="auto" w:fill="auto"/>
          </w:tcPr>
          <w:p w14:paraId="55235ECF" w14:textId="77777777" w:rsidR="00FF5E9B" w:rsidRPr="003A0C5C" w:rsidDel="00A2622A" w:rsidRDefault="00FF5E9B" w:rsidP="00160F99">
            <w:pPr>
              <w:pStyle w:val="Tabletext"/>
              <w:tabs>
                <w:tab w:val="decimal" w:pos="285"/>
              </w:tabs>
              <w:spacing w:before="50" w:after="50"/>
              <w:jc w:val="center"/>
              <w:rPr>
                <w:rStyle w:val="BoldItalic"/>
              </w:rPr>
            </w:pPr>
            <w:r w:rsidRPr="003A0C5C">
              <w:rPr>
                <w:rStyle w:val="BoldItalic"/>
              </w:rPr>
              <w:t>67</w:t>
            </w:r>
          </w:p>
        </w:tc>
        <w:tc>
          <w:tcPr>
            <w:tcW w:w="593" w:type="dxa"/>
            <w:tcBorders>
              <w:top w:val="single" w:sz="4" w:space="0" w:color="auto"/>
              <w:bottom w:val="single" w:sz="4" w:space="0" w:color="auto"/>
            </w:tcBorders>
            <w:shd w:val="clear" w:color="auto" w:fill="auto"/>
          </w:tcPr>
          <w:p w14:paraId="48F8FB72" w14:textId="77777777" w:rsidR="00FF5E9B" w:rsidRPr="003A0C5C" w:rsidRDefault="00FF5E9B" w:rsidP="00160F99">
            <w:pPr>
              <w:pStyle w:val="Tabletext"/>
              <w:tabs>
                <w:tab w:val="decimal" w:pos="285"/>
              </w:tabs>
              <w:spacing w:before="50" w:after="50"/>
              <w:jc w:val="center"/>
              <w:rPr>
                <w:rStyle w:val="BoldItalic"/>
              </w:rPr>
            </w:pPr>
            <w:r w:rsidRPr="003A0C5C">
              <w:rPr>
                <w:rStyle w:val="BoldItalic"/>
              </w:rPr>
              <w:t>4</w:t>
            </w:r>
          </w:p>
        </w:tc>
        <w:tc>
          <w:tcPr>
            <w:tcW w:w="757" w:type="dxa"/>
            <w:tcBorders>
              <w:top w:val="single" w:sz="4" w:space="0" w:color="auto"/>
              <w:bottom w:val="single" w:sz="4" w:space="0" w:color="auto"/>
            </w:tcBorders>
            <w:shd w:val="clear" w:color="auto" w:fill="auto"/>
          </w:tcPr>
          <w:p w14:paraId="12D332DD" w14:textId="77777777" w:rsidR="00FF5E9B" w:rsidRPr="003A0C5C" w:rsidRDefault="00FF5E9B" w:rsidP="00160F99">
            <w:pPr>
              <w:pStyle w:val="Tabletext"/>
              <w:tabs>
                <w:tab w:val="decimal" w:pos="285"/>
              </w:tabs>
              <w:spacing w:before="50" w:after="50"/>
              <w:jc w:val="center"/>
              <w:rPr>
                <w:rStyle w:val="BoldItalic"/>
              </w:rPr>
            </w:pPr>
            <w:r w:rsidRPr="003A0C5C">
              <w:rPr>
                <w:rStyle w:val="BoldItalic"/>
              </w:rPr>
              <w:t>2</w:t>
            </w:r>
          </w:p>
        </w:tc>
      </w:tr>
      <w:tr w:rsidR="003A0C5C" w:rsidRPr="003A0C5C" w14:paraId="36EE7998" w14:textId="77777777" w:rsidTr="00160F99">
        <w:trPr>
          <w:cantSplit/>
          <w:jc w:val="center"/>
        </w:trPr>
        <w:tc>
          <w:tcPr>
            <w:tcW w:w="5649" w:type="dxa"/>
            <w:tcBorders>
              <w:top w:val="single" w:sz="4" w:space="0" w:color="auto"/>
            </w:tcBorders>
          </w:tcPr>
          <w:p w14:paraId="48100AD7" w14:textId="77777777" w:rsidR="00FF5E9B" w:rsidRPr="003A0C5C" w:rsidRDefault="00FF5E9B" w:rsidP="00160F99">
            <w:pPr>
              <w:pStyle w:val="Tabletext"/>
              <w:keepNext/>
              <w:spacing w:before="50" w:after="50"/>
              <w:rPr>
                <w:rStyle w:val="BoldItalic"/>
                <w:b w:val="0"/>
              </w:rPr>
            </w:pPr>
            <w:r w:rsidRPr="003A0C5C">
              <w:rPr>
                <w:rStyle w:val="BoldItalic"/>
                <w:b w:val="0"/>
              </w:rPr>
              <w:t>SCAQMD LST Significance Thresholds</w:t>
            </w:r>
          </w:p>
        </w:tc>
        <w:tc>
          <w:tcPr>
            <w:tcW w:w="503" w:type="dxa"/>
            <w:tcBorders>
              <w:top w:val="single" w:sz="4" w:space="0" w:color="auto"/>
              <w:bottom w:val="nil"/>
            </w:tcBorders>
            <w:shd w:val="clear" w:color="auto" w:fill="auto"/>
          </w:tcPr>
          <w:p w14:paraId="2A7CC2A2" w14:textId="77777777" w:rsidR="00FF5E9B" w:rsidRPr="003A0C5C" w:rsidRDefault="00FF5E9B" w:rsidP="00160F99">
            <w:pPr>
              <w:pStyle w:val="Tabletext"/>
              <w:tabs>
                <w:tab w:val="decimal" w:pos="285"/>
              </w:tabs>
              <w:spacing w:before="50" w:after="50"/>
              <w:jc w:val="center"/>
              <w:rPr>
                <w:rStyle w:val="BoldItalic"/>
                <w:b w:val="0"/>
              </w:rPr>
            </w:pPr>
            <w:r w:rsidRPr="003A0C5C">
              <w:rPr>
                <w:rStyle w:val="BoldItalic"/>
                <w:b w:val="0"/>
              </w:rPr>
              <w:t>82</w:t>
            </w:r>
          </w:p>
        </w:tc>
        <w:tc>
          <w:tcPr>
            <w:tcW w:w="508" w:type="dxa"/>
            <w:tcBorders>
              <w:top w:val="single" w:sz="4" w:space="0" w:color="auto"/>
              <w:bottom w:val="nil"/>
            </w:tcBorders>
            <w:shd w:val="clear" w:color="auto" w:fill="auto"/>
          </w:tcPr>
          <w:p w14:paraId="0F43833E" w14:textId="77777777" w:rsidR="00FF5E9B" w:rsidRPr="003A0C5C" w:rsidRDefault="00FF5E9B" w:rsidP="00160F99">
            <w:pPr>
              <w:pStyle w:val="Tabletext"/>
              <w:tabs>
                <w:tab w:val="decimal" w:pos="285"/>
              </w:tabs>
              <w:spacing w:before="50" w:after="50"/>
              <w:jc w:val="center"/>
              <w:rPr>
                <w:rStyle w:val="BoldItalic"/>
                <w:b w:val="0"/>
              </w:rPr>
            </w:pPr>
            <w:r w:rsidRPr="003A0C5C">
              <w:rPr>
                <w:rStyle w:val="BoldItalic"/>
                <w:b w:val="0"/>
              </w:rPr>
              <w:t>842</w:t>
            </w:r>
          </w:p>
        </w:tc>
        <w:tc>
          <w:tcPr>
            <w:tcW w:w="593" w:type="dxa"/>
            <w:tcBorders>
              <w:top w:val="single" w:sz="4" w:space="0" w:color="auto"/>
              <w:bottom w:val="nil"/>
            </w:tcBorders>
            <w:shd w:val="clear" w:color="auto" w:fill="auto"/>
          </w:tcPr>
          <w:p w14:paraId="2C0E9274" w14:textId="77777777" w:rsidR="00FF5E9B" w:rsidRPr="003A0C5C" w:rsidRDefault="00FF5E9B" w:rsidP="00160F99">
            <w:pPr>
              <w:pStyle w:val="Tabletext"/>
              <w:tabs>
                <w:tab w:val="decimal" w:pos="285"/>
              </w:tabs>
              <w:spacing w:before="50" w:after="50"/>
              <w:jc w:val="center"/>
              <w:rPr>
                <w:rStyle w:val="BoldItalic"/>
                <w:b w:val="0"/>
              </w:rPr>
            </w:pPr>
            <w:r w:rsidRPr="003A0C5C">
              <w:rPr>
                <w:rStyle w:val="BoldItalic"/>
                <w:b w:val="0"/>
              </w:rPr>
              <w:t>7</w:t>
            </w:r>
          </w:p>
        </w:tc>
        <w:tc>
          <w:tcPr>
            <w:tcW w:w="757" w:type="dxa"/>
            <w:tcBorders>
              <w:top w:val="single" w:sz="4" w:space="0" w:color="auto"/>
              <w:bottom w:val="nil"/>
            </w:tcBorders>
            <w:shd w:val="clear" w:color="auto" w:fill="auto"/>
          </w:tcPr>
          <w:p w14:paraId="46153712" w14:textId="77777777" w:rsidR="00FF5E9B" w:rsidRPr="003A0C5C" w:rsidRDefault="00FF5E9B" w:rsidP="00160F99">
            <w:pPr>
              <w:pStyle w:val="Tabletext"/>
              <w:tabs>
                <w:tab w:val="decimal" w:pos="285"/>
              </w:tabs>
              <w:spacing w:before="50" w:after="50"/>
              <w:jc w:val="center"/>
              <w:rPr>
                <w:rStyle w:val="BoldItalic"/>
                <w:b w:val="0"/>
              </w:rPr>
            </w:pPr>
            <w:r w:rsidRPr="003A0C5C">
              <w:rPr>
                <w:rStyle w:val="BoldItalic"/>
                <w:b w:val="0"/>
              </w:rPr>
              <w:t>5</w:t>
            </w:r>
          </w:p>
        </w:tc>
      </w:tr>
      <w:tr w:rsidR="003A0C5C" w:rsidRPr="003A0C5C" w14:paraId="04E44481" w14:textId="77777777" w:rsidTr="00160F99">
        <w:trPr>
          <w:cantSplit/>
          <w:jc w:val="center"/>
        </w:trPr>
        <w:tc>
          <w:tcPr>
            <w:tcW w:w="5649" w:type="dxa"/>
            <w:tcBorders>
              <w:top w:val="single" w:sz="4" w:space="0" w:color="auto"/>
            </w:tcBorders>
          </w:tcPr>
          <w:p w14:paraId="75BB7DB4" w14:textId="77777777" w:rsidR="00FF5E9B" w:rsidRPr="003A0C5C" w:rsidRDefault="00FF5E9B" w:rsidP="00160F99">
            <w:pPr>
              <w:pStyle w:val="Tabletext"/>
              <w:keepNext/>
              <w:spacing w:before="50" w:after="50"/>
              <w:rPr>
                <w:rStyle w:val="BoldItalic"/>
                <w:b w:val="0"/>
              </w:rPr>
            </w:pPr>
            <w:r w:rsidRPr="003A0C5C">
              <w:rPr>
                <w:rStyle w:val="BoldItalic"/>
                <w:b w:val="0"/>
              </w:rPr>
              <w:t>Exceeds Thresholds</w:t>
            </w:r>
          </w:p>
        </w:tc>
        <w:tc>
          <w:tcPr>
            <w:tcW w:w="503" w:type="dxa"/>
            <w:tcBorders>
              <w:top w:val="single" w:sz="4" w:space="0" w:color="auto"/>
              <w:bottom w:val="nil"/>
            </w:tcBorders>
            <w:shd w:val="clear" w:color="auto" w:fill="auto"/>
          </w:tcPr>
          <w:p w14:paraId="34D25927" w14:textId="77777777" w:rsidR="00FF5E9B" w:rsidRPr="003A0C5C" w:rsidRDefault="00FF5E9B" w:rsidP="00160F99">
            <w:pPr>
              <w:pStyle w:val="Tabletext"/>
              <w:tabs>
                <w:tab w:val="decimal" w:pos="285"/>
              </w:tabs>
              <w:spacing w:before="50" w:after="50"/>
              <w:jc w:val="center"/>
              <w:rPr>
                <w:rStyle w:val="BoldItalic"/>
                <w:b w:val="0"/>
              </w:rPr>
            </w:pPr>
            <w:r w:rsidRPr="003A0C5C">
              <w:rPr>
                <w:rStyle w:val="BoldItalic"/>
                <w:b w:val="0"/>
              </w:rPr>
              <w:t>No</w:t>
            </w:r>
          </w:p>
        </w:tc>
        <w:tc>
          <w:tcPr>
            <w:tcW w:w="508" w:type="dxa"/>
            <w:tcBorders>
              <w:top w:val="single" w:sz="4" w:space="0" w:color="auto"/>
              <w:bottom w:val="nil"/>
            </w:tcBorders>
            <w:shd w:val="clear" w:color="auto" w:fill="auto"/>
          </w:tcPr>
          <w:p w14:paraId="04B30344" w14:textId="77777777" w:rsidR="00FF5E9B" w:rsidRPr="003A0C5C" w:rsidRDefault="00FF5E9B" w:rsidP="00160F99">
            <w:pPr>
              <w:pStyle w:val="Tabletext"/>
              <w:tabs>
                <w:tab w:val="decimal" w:pos="285"/>
              </w:tabs>
              <w:spacing w:before="50" w:after="50"/>
              <w:jc w:val="center"/>
              <w:rPr>
                <w:rStyle w:val="BoldItalic"/>
                <w:b w:val="0"/>
              </w:rPr>
            </w:pPr>
            <w:r w:rsidRPr="003A0C5C">
              <w:rPr>
                <w:rStyle w:val="BoldItalic"/>
                <w:b w:val="0"/>
              </w:rPr>
              <w:t>No</w:t>
            </w:r>
          </w:p>
        </w:tc>
        <w:tc>
          <w:tcPr>
            <w:tcW w:w="593" w:type="dxa"/>
            <w:tcBorders>
              <w:top w:val="single" w:sz="4" w:space="0" w:color="auto"/>
              <w:bottom w:val="nil"/>
            </w:tcBorders>
            <w:shd w:val="clear" w:color="auto" w:fill="auto"/>
          </w:tcPr>
          <w:p w14:paraId="6290EFDD" w14:textId="77777777" w:rsidR="00FF5E9B" w:rsidRPr="003A0C5C" w:rsidRDefault="00FF5E9B" w:rsidP="00160F99">
            <w:pPr>
              <w:pStyle w:val="Tabletext"/>
              <w:tabs>
                <w:tab w:val="decimal" w:pos="285"/>
              </w:tabs>
              <w:spacing w:before="50" w:after="50"/>
              <w:jc w:val="center"/>
              <w:rPr>
                <w:rStyle w:val="BoldItalic"/>
                <w:b w:val="0"/>
              </w:rPr>
            </w:pPr>
            <w:r w:rsidRPr="003A0C5C">
              <w:rPr>
                <w:rStyle w:val="BoldItalic"/>
                <w:b w:val="0"/>
              </w:rPr>
              <w:t>No</w:t>
            </w:r>
          </w:p>
        </w:tc>
        <w:tc>
          <w:tcPr>
            <w:tcW w:w="757" w:type="dxa"/>
            <w:tcBorders>
              <w:top w:val="single" w:sz="4" w:space="0" w:color="auto"/>
              <w:bottom w:val="nil"/>
            </w:tcBorders>
            <w:shd w:val="clear" w:color="auto" w:fill="auto"/>
          </w:tcPr>
          <w:p w14:paraId="6D4ED8E9" w14:textId="77777777" w:rsidR="00FF5E9B" w:rsidRPr="003A0C5C" w:rsidRDefault="00FF5E9B" w:rsidP="00160F99">
            <w:pPr>
              <w:pStyle w:val="Tabletext"/>
              <w:tabs>
                <w:tab w:val="decimal" w:pos="285"/>
              </w:tabs>
              <w:spacing w:before="50" w:after="50"/>
              <w:jc w:val="center"/>
              <w:rPr>
                <w:rStyle w:val="BoldItalic"/>
                <w:b w:val="0"/>
              </w:rPr>
            </w:pPr>
            <w:r w:rsidRPr="003A0C5C">
              <w:rPr>
                <w:rStyle w:val="BoldItalic"/>
                <w:b w:val="0"/>
              </w:rPr>
              <w:t>No</w:t>
            </w:r>
          </w:p>
        </w:tc>
      </w:tr>
      <w:tr w:rsidR="00FF5E9B" w:rsidRPr="003A0C5C" w14:paraId="2C5238D2" w14:textId="77777777" w:rsidTr="00160F99">
        <w:trPr>
          <w:cantSplit/>
          <w:jc w:val="center"/>
        </w:trPr>
        <w:tc>
          <w:tcPr>
            <w:tcW w:w="8010" w:type="dxa"/>
            <w:gridSpan w:val="5"/>
            <w:tcBorders>
              <w:top w:val="single" w:sz="4" w:space="0" w:color="000000"/>
              <w:bottom w:val="single" w:sz="4" w:space="0" w:color="000000"/>
            </w:tcBorders>
          </w:tcPr>
          <w:p w14:paraId="4424C508" w14:textId="77777777" w:rsidR="00FF5E9B" w:rsidRPr="003A0C5C" w:rsidRDefault="00FF5E9B" w:rsidP="00DD5380">
            <w:pPr>
              <w:pStyle w:val="TableNotes"/>
              <w:spacing w:before="120"/>
            </w:pPr>
            <w:r w:rsidRPr="003A0C5C">
              <w:t>NOTE:</w:t>
            </w:r>
          </w:p>
          <w:p w14:paraId="51A79846" w14:textId="3B371010" w:rsidR="00FF5E9B" w:rsidRPr="003A0C5C" w:rsidRDefault="00FF5E9B" w:rsidP="00DD5380">
            <w:pPr>
              <w:pStyle w:val="TableNotes"/>
              <w:spacing w:before="60" w:after="60"/>
            </w:pPr>
            <w:r w:rsidRPr="003A0C5C">
              <w:t xml:space="preserve">Totals may not add up exactly due to rounding in the modeling calculations. </w:t>
            </w:r>
            <w:r w:rsidR="00DE6129" w:rsidRPr="003A0C5C">
              <w:t xml:space="preserve">Refer to </w:t>
            </w:r>
            <w:r w:rsidR="00DE6129" w:rsidRPr="003A0C5C">
              <w:rPr>
                <w:b/>
                <w:bCs/>
              </w:rPr>
              <w:t>Appendix A</w:t>
            </w:r>
            <w:r w:rsidR="00DE6129" w:rsidRPr="003A0C5C">
              <w:t xml:space="preserve"> of this IS/MND for details.</w:t>
            </w:r>
          </w:p>
          <w:p w14:paraId="2589A380" w14:textId="7D6270FA" w:rsidR="00FF5E9B" w:rsidRPr="003A0C5C" w:rsidRDefault="00FF5E9B" w:rsidP="00DD5380">
            <w:pPr>
              <w:pStyle w:val="TableSource"/>
              <w:spacing w:after="120"/>
              <w:rPr>
                <w:w w:val="99"/>
              </w:rPr>
            </w:pPr>
            <w:r w:rsidRPr="003A0C5C">
              <w:t>SOURCE:</w:t>
            </w:r>
            <w:r w:rsidRPr="003A0C5C">
              <w:tab/>
              <w:t xml:space="preserve">ESA </w:t>
            </w:r>
            <w:r w:rsidR="00E653B4" w:rsidRPr="003A0C5C">
              <w:t>2022</w:t>
            </w:r>
          </w:p>
        </w:tc>
      </w:tr>
    </w:tbl>
    <w:p w14:paraId="695AA987" w14:textId="77777777" w:rsidR="00FF5E9B" w:rsidRPr="003A0C5C" w:rsidRDefault="00FF5E9B" w:rsidP="00FF5E9B">
      <w:pPr>
        <w:pStyle w:val="12spaceindentcontinue"/>
      </w:pPr>
    </w:p>
    <w:p w14:paraId="562686B2" w14:textId="34492B0B" w:rsidR="00FF5E9B" w:rsidRPr="003A0C5C" w:rsidRDefault="00FF5E9B" w:rsidP="0020432B">
      <w:pPr>
        <w:pStyle w:val="12spaceindentcontinue"/>
      </w:pPr>
      <w:r w:rsidRPr="003A0C5C">
        <w:lastRenderedPageBreak/>
        <w:t xml:space="preserve">Based on the results summarized in </w:t>
      </w:r>
      <w:r w:rsidRPr="003A0C5C">
        <w:rPr>
          <w:rStyle w:val="Bold"/>
          <w:b w:val="0"/>
          <w:bCs/>
        </w:rPr>
        <w:t>Table </w:t>
      </w:r>
      <w:r w:rsidR="004D1D08" w:rsidRPr="003A0C5C">
        <w:rPr>
          <w:rStyle w:val="Bold"/>
          <w:b w:val="0"/>
          <w:bCs/>
        </w:rPr>
        <w:t>4</w:t>
      </w:r>
      <w:r w:rsidRPr="003A0C5C">
        <w:t xml:space="preserve">, the unmitigated project impacts would not exceed the </w:t>
      </w:r>
      <w:r w:rsidR="00822499" w:rsidRPr="003A0C5C">
        <w:t>LSTs</w:t>
      </w:r>
      <w:r w:rsidRPr="003A0C5C">
        <w:t xml:space="preserve">. </w:t>
      </w:r>
    </w:p>
    <w:p w14:paraId="1F0A2EA9" w14:textId="77777777" w:rsidR="00FF5E9B" w:rsidRPr="003A0C5C" w:rsidRDefault="00FF5E9B" w:rsidP="00FF5E9B">
      <w:pPr>
        <w:pStyle w:val="Heading6"/>
        <w:ind w:left="720"/>
        <w:rPr>
          <w:bCs/>
        </w:rPr>
      </w:pPr>
      <w:r w:rsidRPr="003A0C5C">
        <w:rPr>
          <w:bCs/>
        </w:rPr>
        <w:t>Operational Emissions</w:t>
      </w:r>
    </w:p>
    <w:p w14:paraId="64ACD49F" w14:textId="634B8095" w:rsidR="00FF5E9B" w:rsidRPr="003A0C5C" w:rsidRDefault="00FF5E9B" w:rsidP="0020432B">
      <w:pPr>
        <w:pStyle w:val="12spaceindentcontinue"/>
      </w:pPr>
      <w:r w:rsidRPr="003A0C5C">
        <w:t xml:space="preserve">According to </w:t>
      </w:r>
      <w:r w:rsidRPr="003A0C5C">
        <w:rPr>
          <w:lang w:eastAsia="x-none"/>
        </w:rPr>
        <w:t>SCAQMD</w:t>
      </w:r>
      <w:r w:rsidRPr="003A0C5C">
        <w:t xml:space="preserve"> LST methodology, LSTs would apply to the operational phase of a project, if the project includes stationary sources, or attracts mobile sources. With regard to on-site sources of emissions, the </w:t>
      </w:r>
      <w:r w:rsidR="007C360E" w:rsidRPr="003A0C5C">
        <w:t xml:space="preserve">proposed </w:t>
      </w:r>
      <w:r w:rsidRPr="003A0C5C">
        <w:t>project would generate emissions from area sources located on</w:t>
      </w:r>
      <w:r w:rsidR="00FD5F91" w:rsidRPr="003A0C5C">
        <w:t>-</w:t>
      </w:r>
      <w:r w:rsidRPr="003A0C5C">
        <w:t xml:space="preserve">site such as natural gas combustion from water heaters, cooking stoves, landscaping equipment, and use of consumer products. </w:t>
      </w:r>
      <w:r w:rsidRPr="003A0C5C">
        <w:rPr>
          <w:b/>
        </w:rPr>
        <w:t xml:space="preserve">Table </w:t>
      </w:r>
      <w:r w:rsidR="004D1D08" w:rsidRPr="003A0C5C">
        <w:rPr>
          <w:b/>
        </w:rPr>
        <w:t>5</w:t>
      </w:r>
      <w:r w:rsidRPr="003A0C5C">
        <w:t xml:space="preserve">, </w:t>
      </w:r>
      <w:r w:rsidRPr="003A0C5C">
        <w:rPr>
          <w:i/>
        </w:rPr>
        <w:t>Maximum Daily Localized Operational Emissions</w:t>
      </w:r>
      <w:r w:rsidRPr="003A0C5C">
        <w:t>, presents the localized emissions from on-site equipment during the operation of the proposed project.</w:t>
      </w:r>
    </w:p>
    <w:tbl>
      <w:tblPr>
        <w:tblW w:w="0" w:type="auto"/>
        <w:jc w:val="center"/>
        <w:tblCellMar>
          <w:left w:w="86" w:type="dxa"/>
          <w:right w:w="86" w:type="dxa"/>
        </w:tblCellMar>
        <w:tblLook w:val="0000" w:firstRow="0" w:lastRow="0" w:firstColumn="0" w:lastColumn="0" w:noHBand="0" w:noVBand="0"/>
      </w:tblPr>
      <w:tblGrid>
        <w:gridCol w:w="4535"/>
        <w:gridCol w:w="735"/>
        <w:gridCol w:w="673"/>
        <w:gridCol w:w="905"/>
        <w:gridCol w:w="974"/>
      </w:tblGrid>
      <w:tr w:rsidR="003A0C5C" w:rsidRPr="003A0C5C" w14:paraId="3B779A4E" w14:textId="77777777" w:rsidTr="00DA2C85">
        <w:trPr>
          <w:cantSplit/>
          <w:jc w:val="center"/>
        </w:trPr>
        <w:tc>
          <w:tcPr>
            <w:tcW w:w="0" w:type="auto"/>
            <w:gridSpan w:val="5"/>
            <w:tcBorders>
              <w:bottom w:val="single" w:sz="4" w:space="0" w:color="auto"/>
            </w:tcBorders>
          </w:tcPr>
          <w:p w14:paraId="5565BFB0" w14:textId="15A5B9B1" w:rsidR="00FF5E9B" w:rsidRPr="003A0C5C" w:rsidRDefault="00FF5E9B" w:rsidP="004D1D08">
            <w:pPr>
              <w:pStyle w:val="TableNoTitle"/>
            </w:pPr>
            <w:bookmarkStart w:id="56" w:name="_Toc101792197"/>
            <w:r w:rsidRPr="003A0C5C">
              <w:t>Table </w:t>
            </w:r>
            <w:r w:rsidR="004D1D08" w:rsidRPr="003A0C5C">
              <w:t>5</w:t>
            </w:r>
            <w:r w:rsidRPr="003A0C5C">
              <w:br/>
            </w:r>
            <w:r w:rsidRPr="003A0C5C">
              <w:tab/>
              <w:t xml:space="preserve">Maximum </w:t>
            </w:r>
            <w:r w:rsidR="002E259F" w:rsidRPr="003A0C5C">
              <w:t xml:space="preserve">Daily </w:t>
            </w:r>
            <w:r w:rsidRPr="003A0C5C">
              <w:t>Localized Operational Emissions</w:t>
            </w:r>
            <w:bookmarkEnd w:id="56"/>
          </w:p>
        </w:tc>
      </w:tr>
      <w:tr w:rsidR="003A0C5C" w:rsidRPr="003A0C5C" w14:paraId="41DFAC79" w14:textId="77777777" w:rsidTr="00DA2C85">
        <w:trPr>
          <w:cantSplit/>
          <w:jc w:val="center"/>
        </w:trPr>
        <w:tc>
          <w:tcPr>
            <w:tcW w:w="0" w:type="auto"/>
            <w:tcBorders>
              <w:top w:val="single" w:sz="4" w:space="0" w:color="auto"/>
              <w:bottom w:val="single" w:sz="12" w:space="0" w:color="auto"/>
            </w:tcBorders>
          </w:tcPr>
          <w:p w14:paraId="7667743B" w14:textId="77777777" w:rsidR="00FF5E9B" w:rsidRPr="003A0C5C" w:rsidRDefault="00FF5E9B" w:rsidP="003C2FE6">
            <w:pPr>
              <w:pStyle w:val="Tablecolumnheading"/>
            </w:pPr>
            <w:r w:rsidRPr="003A0C5C">
              <w:t>Operational Activity</w:t>
            </w:r>
          </w:p>
        </w:tc>
        <w:tc>
          <w:tcPr>
            <w:tcW w:w="0" w:type="auto"/>
            <w:tcBorders>
              <w:top w:val="single" w:sz="4" w:space="0" w:color="auto"/>
              <w:bottom w:val="single" w:sz="12" w:space="0" w:color="auto"/>
            </w:tcBorders>
          </w:tcPr>
          <w:p w14:paraId="79E2E9BA" w14:textId="77777777" w:rsidR="00FF5E9B" w:rsidRPr="003A0C5C" w:rsidRDefault="00FF5E9B" w:rsidP="003C2FE6">
            <w:pPr>
              <w:pStyle w:val="Tablecolumnheading"/>
              <w:jc w:val="center"/>
            </w:pPr>
            <w:r w:rsidRPr="003A0C5C">
              <w:t>NO</w:t>
            </w:r>
            <w:r w:rsidRPr="003A0C5C">
              <w:rPr>
                <w:vertAlign w:val="subscript"/>
              </w:rPr>
              <w:t>X</w:t>
            </w:r>
          </w:p>
        </w:tc>
        <w:tc>
          <w:tcPr>
            <w:tcW w:w="0" w:type="auto"/>
            <w:tcBorders>
              <w:top w:val="single" w:sz="4" w:space="0" w:color="auto"/>
              <w:bottom w:val="single" w:sz="12" w:space="0" w:color="auto"/>
            </w:tcBorders>
          </w:tcPr>
          <w:p w14:paraId="112D6CCC" w14:textId="77777777" w:rsidR="00FF5E9B" w:rsidRPr="003A0C5C" w:rsidRDefault="00FF5E9B" w:rsidP="003C2FE6">
            <w:pPr>
              <w:pStyle w:val="Tablecolumnheading"/>
              <w:jc w:val="center"/>
            </w:pPr>
            <w:r w:rsidRPr="003A0C5C">
              <w:t>CO</w:t>
            </w:r>
          </w:p>
        </w:tc>
        <w:tc>
          <w:tcPr>
            <w:tcW w:w="0" w:type="auto"/>
            <w:tcBorders>
              <w:top w:val="single" w:sz="4" w:space="0" w:color="auto"/>
              <w:bottom w:val="single" w:sz="12" w:space="0" w:color="auto"/>
            </w:tcBorders>
          </w:tcPr>
          <w:p w14:paraId="16B39B10" w14:textId="77777777" w:rsidR="00FF5E9B" w:rsidRPr="003A0C5C" w:rsidRDefault="00FF5E9B" w:rsidP="003C2FE6">
            <w:pPr>
              <w:pStyle w:val="Tablecolumnheading"/>
              <w:jc w:val="center"/>
            </w:pPr>
            <w:r w:rsidRPr="003A0C5C">
              <w:t>PM10</w:t>
            </w:r>
          </w:p>
        </w:tc>
        <w:tc>
          <w:tcPr>
            <w:tcW w:w="0" w:type="auto"/>
            <w:tcBorders>
              <w:top w:val="single" w:sz="4" w:space="0" w:color="auto"/>
              <w:bottom w:val="single" w:sz="12" w:space="0" w:color="auto"/>
            </w:tcBorders>
          </w:tcPr>
          <w:p w14:paraId="03507D32" w14:textId="77777777" w:rsidR="00FF5E9B" w:rsidRPr="003A0C5C" w:rsidRDefault="00FF5E9B" w:rsidP="003C2FE6">
            <w:pPr>
              <w:pStyle w:val="Tablecolumnheading"/>
              <w:jc w:val="center"/>
            </w:pPr>
            <w:r w:rsidRPr="003A0C5C">
              <w:t>PM2.5</w:t>
            </w:r>
          </w:p>
        </w:tc>
      </w:tr>
      <w:tr w:rsidR="003A0C5C" w:rsidRPr="003A0C5C" w14:paraId="2FAF4D4E" w14:textId="77777777" w:rsidTr="00DA2C85">
        <w:trPr>
          <w:cantSplit/>
          <w:jc w:val="center"/>
        </w:trPr>
        <w:tc>
          <w:tcPr>
            <w:tcW w:w="0" w:type="auto"/>
            <w:tcBorders>
              <w:top w:val="single" w:sz="12" w:space="0" w:color="auto"/>
            </w:tcBorders>
          </w:tcPr>
          <w:p w14:paraId="3CE87879" w14:textId="77777777" w:rsidR="00FF5E9B" w:rsidRPr="003A0C5C" w:rsidRDefault="00FF5E9B" w:rsidP="003C2FE6">
            <w:pPr>
              <w:pStyle w:val="Tabletext"/>
              <w:keepNext/>
              <w:rPr>
                <w:b/>
              </w:rPr>
            </w:pPr>
            <w:r w:rsidRPr="003A0C5C">
              <w:t>Area</w:t>
            </w:r>
          </w:p>
        </w:tc>
        <w:tc>
          <w:tcPr>
            <w:tcW w:w="0" w:type="auto"/>
            <w:tcBorders>
              <w:top w:val="single" w:sz="12" w:space="0" w:color="auto"/>
              <w:left w:val="nil"/>
              <w:right w:val="nil"/>
            </w:tcBorders>
            <w:shd w:val="clear" w:color="auto" w:fill="auto"/>
          </w:tcPr>
          <w:p w14:paraId="3D62949F" w14:textId="77777777" w:rsidR="00FF5E9B" w:rsidRPr="003A0C5C" w:rsidRDefault="00FF5E9B" w:rsidP="003C2FE6">
            <w:pPr>
              <w:pStyle w:val="Tabletext"/>
              <w:jc w:val="center"/>
            </w:pPr>
            <w:r w:rsidRPr="003A0C5C">
              <w:t>&lt;1</w:t>
            </w:r>
          </w:p>
        </w:tc>
        <w:tc>
          <w:tcPr>
            <w:tcW w:w="0" w:type="auto"/>
            <w:tcBorders>
              <w:top w:val="single" w:sz="12" w:space="0" w:color="auto"/>
              <w:left w:val="nil"/>
              <w:right w:val="nil"/>
            </w:tcBorders>
            <w:shd w:val="clear" w:color="auto" w:fill="auto"/>
          </w:tcPr>
          <w:p w14:paraId="09EC695D" w14:textId="77777777" w:rsidR="00FF5E9B" w:rsidRPr="003A0C5C" w:rsidRDefault="00FF5E9B" w:rsidP="003C2FE6">
            <w:pPr>
              <w:pStyle w:val="Tabletext"/>
              <w:jc w:val="center"/>
            </w:pPr>
            <w:r w:rsidRPr="003A0C5C">
              <w:t>&lt;1</w:t>
            </w:r>
          </w:p>
        </w:tc>
        <w:tc>
          <w:tcPr>
            <w:tcW w:w="0" w:type="auto"/>
            <w:tcBorders>
              <w:top w:val="single" w:sz="12" w:space="0" w:color="auto"/>
              <w:left w:val="nil"/>
              <w:right w:val="nil"/>
            </w:tcBorders>
            <w:shd w:val="clear" w:color="auto" w:fill="auto"/>
          </w:tcPr>
          <w:p w14:paraId="4D92C0D8" w14:textId="77777777" w:rsidR="00FF5E9B" w:rsidRPr="003A0C5C" w:rsidRDefault="00FF5E9B" w:rsidP="003C2FE6">
            <w:pPr>
              <w:pStyle w:val="Tabletext"/>
              <w:jc w:val="center"/>
            </w:pPr>
            <w:r w:rsidRPr="003A0C5C">
              <w:t>&lt;1</w:t>
            </w:r>
          </w:p>
        </w:tc>
        <w:tc>
          <w:tcPr>
            <w:tcW w:w="0" w:type="auto"/>
            <w:tcBorders>
              <w:top w:val="single" w:sz="12" w:space="0" w:color="auto"/>
              <w:left w:val="nil"/>
            </w:tcBorders>
            <w:shd w:val="clear" w:color="auto" w:fill="auto"/>
          </w:tcPr>
          <w:p w14:paraId="11FCF0D1" w14:textId="77777777" w:rsidR="00FF5E9B" w:rsidRPr="003A0C5C" w:rsidRDefault="00FF5E9B" w:rsidP="003C2FE6">
            <w:pPr>
              <w:pStyle w:val="Tabletext"/>
              <w:jc w:val="center"/>
            </w:pPr>
            <w:r w:rsidRPr="003A0C5C">
              <w:t>&lt;1</w:t>
            </w:r>
          </w:p>
        </w:tc>
      </w:tr>
      <w:tr w:rsidR="003A0C5C" w:rsidRPr="003A0C5C" w14:paraId="60B16093" w14:textId="77777777" w:rsidTr="00DA2C85">
        <w:trPr>
          <w:cantSplit/>
          <w:jc w:val="center"/>
        </w:trPr>
        <w:tc>
          <w:tcPr>
            <w:tcW w:w="0" w:type="auto"/>
          </w:tcPr>
          <w:p w14:paraId="733578D5" w14:textId="77777777" w:rsidR="00FF5E9B" w:rsidRPr="003A0C5C" w:rsidRDefault="00FF5E9B" w:rsidP="003C2FE6">
            <w:pPr>
              <w:pStyle w:val="Tabletext"/>
              <w:keepNext/>
              <w:rPr>
                <w:rFonts w:eastAsia="Calibri"/>
              </w:rPr>
            </w:pPr>
            <w:r w:rsidRPr="003A0C5C">
              <w:t>Energy (Natural Gas)</w:t>
            </w:r>
          </w:p>
        </w:tc>
        <w:tc>
          <w:tcPr>
            <w:tcW w:w="0" w:type="auto"/>
            <w:tcBorders>
              <w:left w:val="nil"/>
              <w:right w:val="nil"/>
            </w:tcBorders>
            <w:shd w:val="clear" w:color="auto" w:fill="auto"/>
          </w:tcPr>
          <w:p w14:paraId="656978DD" w14:textId="77777777" w:rsidR="00FF5E9B" w:rsidRPr="003A0C5C" w:rsidRDefault="00FF5E9B" w:rsidP="003C2FE6">
            <w:pPr>
              <w:pStyle w:val="Tabletext"/>
              <w:jc w:val="center"/>
              <w:rPr>
                <w:rFonts w:eastAsia="Calibri"/>
              </w:rPr>
            </w:pPr>
            <w:r w:rsidRPr="003A0C5C">
              <w:t>&lt;1</w:t>
            </w:r>
          </w:p>
        </w:tc>
        <w:tc>
          <w:tcPr>
            <w:tcW w:w="0" w:type="auto"/>
            <w:tcBorders>
              <w:left w:val="nil"/>
              <w:right w:val="nil"/>
            </w:tcBorders>
            <w:shd w:val="clear" w:color="auto" w:fill="auto"/>
          </w:tcPr>
          <w:p w14:paraId="1A4EAF4C" w14:textId="77777777" w:rsidR="00FF5E9B" w:rsidRPr="003A0C5C" w:rsidRDefault="00FF5E9B" w:rsidP="003C2FE6">
            <w:pPr>
              <w:pStyle w:val="Tabletext"/>
              <w:jc w:val="center"/>
              <w:rPr>
                <w:rFonts w:eastAsia="Calibri"/>
              </w:rPr>
            </w:pPr>
            <w:r w:rsidRPr="003A0C5C">
              <w:t>&lt;1</w:t>
            </w:r>
          </w:p>
        </w:tc>
        <w:tc>
          <w:tcPr>
            <w:tcW w:w="0" w:type="auto"/>
            <w:tcBorders>
              <w:left w:val="nil"/>
              <w:right w:val="nil"/>
            </w:tcBorders>
            <w:shd w:val="clear" w:color="auto" w:fill="auto"/>
          </w:tcPr>
          <w:p w14:paraId="57A7B77F" w14:textId="77777777" w:rsidR="00FF5E9B" w:rsidRPr="003A0C5C" w:rsidRDefault="00FF5E9B" w:rsidP="003C2FE6">
            <w:pPr>
              <w:pStyle w:val="Tabletext"/>
              <w:jc w:val="center"/>
              <w:rPr>
                <w:rFonts w:eastAsia="Calibri"/>
              </w:rPr>
            </w:pPr>
            <w:r w:rsidRPr="003A0C5C">
              <w:t>&lt;1</w:t>
            </w:r>
          </w:p>
        </w:tc>
        <w:tc>
          <w:tcPr>
            <w:tcW w:w="0" w:type="auto"/>
            <w:tcBorders>
              <w:left w:val="nil"/>
            </w:tcBorders>
            <w:shd w:val="clear" w:color="auto" w:fill="auto"/>
          </w:tcPr>
          <w:p w14:paraId="58376883" w14:textId="77777777" w:rsidR="00FF5E9B" w:rsidRPr="003A0C5C" w:rsidRDefault="00FF5E9B" w:rsidP="003C2FE6">
            <w:pPr>
              <w:pStyle w:val="Tabletext"/>
              <w:jc w:val="center"/>
              <w:rPr>
                <w:rFonts w:eastAsia="Calibri"/>
              </w:rPr>
            </w:pPr>
            <w:r w:rsidRPr="003A0C5C">
              <w:t>&lt;1</w:t>
            </w:r>
          </w:p>
        </w:tc>
      </w:tr>
      <w:tr w:rsidR="003A0C5C" w:rsidRPr="003A0C5C" w14:paraId="5A99FA12" w14:textId="77777777" w:rsidTr="00DA2C85">
        <w:trPr>
          <w:cantSplit/>
          <w:jc w:val="center"/>
        </w:trPr>
        <w:tc>
          <w:tcPr>
            <w:tcW w:w="0" w:type="auto"/>
            <w:tcBorders>
              <w:bottom w:val="single" w:sz="4" w:space="0" w:color="auto"/>
            </w:tcBorders>
          </w:tcPr>
          <w:p w14:paraId="0FD2D254" w14:textId="77777777" w:rsidR="00FF5E9B" w:rsidRPr="003A0C5C" w:rsidRDefault="00FF5E9B" w:rsidP="003C2FE6">
            <w:pPr>
              <w:pStyle w:val="Tabletext"/>
              <w:keepNext/>
            </w:pPr>
            <w:r w:rsidRPr="003A0C5C">
              <w:rPr>
                <w:rStyle w:val="Bold"/>
              </w:rPr>
              <w:t>Project Maximum Daily Emissions</w:t>
            </w:r>
          </w:p>
        </w:tc>
        <w:tc>
          <w:tcPr>
            <w:tcW w:w="0" w:type="auto"/>
            <w:tcBorders>
              <w:left w:val="nil"/>
              <w:bottom w:val="single" w:sz="4" w:space="0" w:color="auto"/>
              <w:right w:val="nil"/>
            </w:tcBorders>
            <w:shd w:val="clear" w:color="auto" w:fill="auto"/>
          </w:tcPr>
          <w:p w14:paraId="25DB9BB6" w14:textId="77777777" w:rsidR="00FF5E9B" w:rsidRPr="003A0C5C" w:rsidRDefault="00FF5E9B" w:rsidP="003C2FE6">
            <w:pPr>
              <w:pStyle w:val="Tabletext"/>
              <w:jc w:val="center"/>
            </w:pPr>
            <w:r w:rsidRPr="003A0C5C">
              <w:rPr>
                <w:rFonts w:eastAsia="Calibri"/>
              </w:rPr>
              <w:t>&lt;1</w:t>
            </w:r>
          </w:p>
        </w:tc>
        <w:tc>
          <w:tcPr>
            <w:tcW w:w="0" w:type="auto"/>
            <w:tcBorders>
              <w:left w:val="nil"/>
              <w:bottom w:val="single" w:sz="4" w:space="0" w:color="auto"/>
              <w:right w:val="nil"/>
            </w:tcBorders>
            <w:shd w:val="clear" w:color="auto" w:fill="auto"/>
          </w:tcPr>
          <w:p w14:paraId="74F15B9F" w14:textId="77777777" w:rsidR="00FF5E9B" w:rsidRPr="003A0C5C" w:rsidRDefault="00FF5E9B" w:rsidP="003C2FE6">
            <w:pPr>
              <w:pStyle w:val="Tabletext"/>
              <w:jc w:val="center"/>
            </w:pPr>
            <w:r w:rsidRPr="003A0C5C">
              <w:rPr>
                <w:rFonts w:eastAsia="Calibri"/>
              </w:rPr>
              <w:t>&lt;1</w:t>
            </w:r>
          </w:p>
        </w:tc>
        <w:tc>
          <w:tcPr>
            <w:tcW w:w="0" w:type="auto"/>
            <w:tcBorders>
              <w:left w:val="nil"/>
              <w:bottom w:val="single" w:sz="4" w:space="0" w:color="auto"/>
              <w:right w:val="nil"/>
            </w:tcBorders>
            <w:shd w:val="clear" w:color="auto" w:fill="auto"/>
          </w:tcPr>
          <w:p w14:paraId="6A54E00A" w14:textId="77777777" w:rsidR="00FF5E9B" w:rsidRPr="003A0C5C" w:rsidRDefault="00FF5E9B" w:rsidP="003C2FE6">
            <w:pPr>
              <w:pStyle w:val="Tabletext"/>
              <w:jc w:val="center"/>
            </w:pPr>
            <w:r w:rsidRPr="003A0C5C">
              <w:t>&lt;1</w:t>
            </w:r>
          </w:p>
        </w:tc>
        <w:tc>
          <w:tcPr>
            <w:tcW w:w="0" w:type="auto"/>
            <w:tcBorders>
              <w:left w:val="nil"/>
              <w:bottom w:val="single" w:sz="4" w:space="0" w:color="auto"/>
            </w:tcBorders>
            <w:shd w:val="clear" w:color="auto" w:fill="auto"/>
          </w:tcPr>
          <w:p w14:paraId="5523D472" w14:textId="77777777" w:rsidR="00FF5E9B" w:rsidRPr="003A0C5C" w:rsidRDefault="00FF5E9B" w:rsidP="003C2FE6">
            <w:pPr>
              <w:pStyle w:val="Tabletext"/>
              <w:jc w:val="center"/>
            </w:pPr>
            <w:r w:rsidRPr="003A0C5C">
              <w:t>&lt;1</w:t>
            </w:r>
          </w:p>
        </w:tc>
      </w:tr>
      <w:tr w:rsidR="003A0C5C" w:rsidRPr="003A0C5C" w14:paraId="07A5E7A7" w14:textId="77777777" w:rsidTr="00DA2C85">
        <w:trPr>
          <w:cantSplit/>
          <w:jc w:val="center"/>
        </w:trPr>
        <w:tc>
          <w:tcPr>
            <w:tcW w:w="0" w:type="auto"/>
            <w:tcBorders>
              <w:top w:val="single" w:sz="4" w:space="0" w:color="auto"/>
            </w:tcBorders>
          </w:tcPr>
          <w:p w14:paraId="601B6A84" w14:textId="77777777" w:rsidR="00FF5E9B" w:rsidRPr="003A0C5C" w:rsidRDefault="00FF5E9B" w:rsidP="003C2FE6">
            <w:pPr>
              <w:pStyle w:val="Tabletext"/>
              <w:keepNext/>
            </w:pPr>
            <w:r w:rsidRPr="003A0C5C">
              <w:rPr>
                <w:rStyle w:val="BoldItalic"/>
                <w:b w:val="0"/>
              </w:rPr>
              <w:t>SCAQMD LST Significance Thresholds</w:t>
            </w:r>
          </w:p>
        </w:tc>
        <w:tc>
          <w:tcPr>
            <w:tcW w:w="0" w:type="auto"/>
            <w:tcBorders>
              <w:top w:val="single" w:sz="4" w:space="0" w:color="auto"/>
              <w:left w:val="nil"/>
              <w:right w:val="nil"/>
            </w:tcBorders>
            <w:shd w:val="clear" w:color="auto" w:fill="auto"/>
          </w:tcPr>
          <w:p w14:paraId="16D22BF6" w14:textId="77777777" w:rsidR="00FF5E9B" w:rsidRPr="003A0C5C" w:rsidRDefault="00FF5E9B" w:rsidP="003C2FE6">
            <w:pPr>
              <w:pStyle w:val="Tabletext"/>
              <w:jc w:val="center"/>
            </w:pPr>
            <w:r w:rsidRPr="003A0C5C">
              <w:rPr>
                <w:rStyle w:val="BoldItalic"/>
                <w:b w:val="0"/>
              </w:rPr>
              <w:t>82</w:t>
            </w:r>
          </w:p>
        </w:tc>
        <w:tc>
          <w:tcPr>
            <w:tcW w:w="0" w:type="auto"/>
            <w:tcBorders>
              <w:top w:val="single" w:sz="4" w:space="0" w:color="auto"/>
              <w:left w:val="nil"/>
              <w:right w:val="nil"/>
            </w:tcBorders>
            <w:shd w:val="clear" w:color="auto" w:fill="auto"/>
          </w:tcPr>
          <w:p w14:paraId="17ED4653" w14:textId="77777777" w:rsidR="00FF5E9B" w:rsidRPr="003A0C5C" w:rsidRDefault="00FF5E9B" w:rsidP="003C2FE6">
            <w:pPr>
              <w:pStyle w:val="Tabletext"/>
              <w:jc w:val="center"/>
            </w:pPr>
            <w:r w:rsidRPr="003A0C5C">
              <w:rPr>
                <w:rStyle w:val="BoldItalic"/>
                <w:b w:val="0"/>
              </w:rPr>
              <w:t>842</w:t>
            </w:r>
          </w:p>
        </w:tc>
        <w:tc>
          <w:tcPr>
            <w:tcW w:w="0" w:type="auto"/>
            <w:tcBorders>
              <w:top w:val="single" w:sz="4" w:space="0" w:color="auto"/>
              <w:left w:val="nil"/>
              <w:right w:val="nil"/>
            </w:tcBorders>
            <w:shd w:val="clear" w:color="auto" w:fill="auto"/>
          </w:tcPr>
          <w:p w14:paraId="04AF9C59" w14:textId="77777777" w:rsidR="00FF5E9B" w:rsidRPr="003A0C5C" w:rsidRDefault="00FF5E9B" w:rsidP="003C2FE6">
            <w:pPr>
              <w:pStyle w:val="Tabletext"/>
              <w:jc w:val="center"/>
            </w:pPr>
            <w:r w:rsidRPr="003A0C5C">
              <w:t>2</w:t>
            </w:r>
          </w:p>
        </w:tc>
        <w:tc>
          <w:tcPr>
            <w:tcW w:w="0" w:type="auto"/>
            <w:tcBorders>
              <w:top w:val="single" w:sz="4" w:space="0" w:color="auto"/>
              <w:left w:val="nil"/>
            </w:tcBorders>
            <w:shd w:val="clear" w:color="auto" w:fill="auto"/>
          </w:tcPr>
          <w:p w14:paraId="600DACAA" w14:textId="77777777" w:rsidR="00FF5E9B" w:rsidRPr="003A0C5C" w:rsidRDefault="00FF5E9B" w:rsidP="003C2FE6">
            <w:pPr>
              <w:pStyle w:val="Tabletext"/>
              <w:jc w:val="center"/>
            </w:pPr>
            <w:r w:rsidRPr="003A0C5C">
              <w:t>1</w:t>
            </w:r>
          </w:p>
        </w:tc>
      </w:tr>
      <w:tr w:rsidR="003A0C5C" w:rsidRPr="003A0C5C" w14:paraId="7DA66C25" w14:textId="77777777" w:rsidTr="00DA2C85">
        <w:trPr>
          <w:cantSplit/>
          <w:jc w:val="center"/>
        </w:trPr>
        <w:tc>
          <w:tcPr>
            <w:tcW w:w="0" w:type="auto"/>
            <w:tcBorders>
              <w:bottom w:val="single" w:sz="4" w:space="0" w:color="auto"/>
            </w:tcBorders>
          </w:tcPr>
          <w:p w14:paraId="02B4A8BF" w14:textId="77777777" w:rsidR="00FF5E9B" w:rsidRPr="003A0C5C" w:rsidRDefault="00FF5E9B" w:rsidP="003C2FE6">
            <w:pPr>
              <w:pStyle w:val="Tabletext"/>
              <w:keepNext/>
              <w:rPr>
                <w:rStyle w:val="Bold"/>
                <w:rFonts w:eastAsia="Calibri"/>
                <w:b w:val="0"/>
              </w:rPr>
            </w:pPr>
            <w:r w:rsidRPr="003A0C5C">
              <w:rPr>
                <w:rStyle w:val="BoldItalic"/>
                <w:b w:val="0"/>
              </w:rPr>
              <w:t>Exceeds Thresholds</w:t>
            </w:r>
          </w:p>
        </w:tc>
        <w:tc>
          <w:tcPr>
            <w:tcW w:w="0" w:type="auto"/>
            <w:tcBorders>
              <w:left w:val="nil"/>
              <w:bottom w:val="single" w:sz="4" w:space="0" w:color="auto"/>
              <w:right w:val="nil"/>
            </w:tcBorders>
            <w:shd w:val="clear" w:color="auto" w:fill="auto"/>
          </w:tcPr>
          <w:p w14:paraId="67BA47E7" w14:textId="77777777" w:rsidR="00FF5E9B" w:rsidRPr="003A0C5C" w:rsidRDefault="00FF5E9B" w:rsidP="003C2FE6">
            <w:pPr>
              <w:pStyle w:val="Tabletext"/>
              <w:jc w:val="center"/>
              <w:rPr>
                <w:rFonts w:eastAsia="Calibri"/>
                <w:b/>
              </w:rPr>
            </w:pPr>
            <w:r w:rsidRPr="003A0C5C">
              <w:rPr>
                <w:rStyle w:val="BoldItalic"/>
                <w:b w:val="0"/>
              </w:rPr>
              <w:t>No</w:t>
            </w:r>
          </w:p>
        </w:tc>
        <w:tc>
          <w:tcPr>
            <w:tcW w:w="0" w:type="auto"/>
            <w:tcBorders>
              <w:left w:val="nil"/>
              <w:bottom w:val="single" w:sz="4" w:space="0" w:color="auto"/>
              <w:right w:val="nil"/>
            </w:tcBorders>
            <w:shd w:val="clear" w:color="auto" w:fill="auto"/>
          </w:tcPr>
          <w:p w14:paraId="706562AD" w14:textId="77777777" w:rsidR="00FF5E9B" w:rsidRPr="003A0C5C" w:rsidRDefault="00FF5E9B" w:rsidP="003C2FE6">
            <w:pPr>
              <w:pStyle w:val="Tabletext"/>
              <w:jc w:val="center"/>
              <w:rPr>
                <w:rFonts w:eastAsia="Calibri"/>
                <w:b/>
              </w:rPr>
            </w:pPr>
            <w:r w:rsidRPr="003A0C5C">
              <w:rPr>
                <w:rStyle w:val="BoldItalic"/>
                <w:b w:val="0"/>
              </w:rPr>
              <w:t>No</w:t>
            </w:r>
          </w:p>
        </w:tc>
        <w:tc>
          <w:tcPr>
            <w:tcW w:w="0" w:type="auto"/>
            <w:tcBorders>
              <w:left w:val="nil"/>
              <w:bottom w:val="single" w:sz="4" w:space="0" w:color="auto"/>
              <w:right w:val="nil"/>
            </w:tcBorders>
            <w:shd w:val="clear" w:color="auto" w:fill="auto"/>
          </w:tcPr>
          <w:p w14:paraId="7C877E0E" w14:textId="77777777" w:rsidR="00FF5E9B" w:rsidRPr="003A0C5C" w:rsidRDefault="00FF5E9B" w:rsidP="003C2FE6">
            <w:pPr>
              <w:pStyle w:val="Tabletext"/>
              <w:jc w:val="center"/>
              <w:rPr>
                <w:rFonts w:eastAsia="Calibri"/>
                <w:b/>
              </w:rPr>
            </w:pPr>
            <w:r w:rsidRPr="003A0C5C">
              <w:rPr>
                <w:rStyle w:val="BoldItalic"/>
                <w:b w:val="0"/>
              </w:rPr>
              <w:t>No</w:t>
            </w:r>
          </w:p>
        </w:tc>
        <w:tc>
          <w:tcPr>
            <w:tcW w:w="0" w:type="auto"/>
            <w:tcBorders>
              <w:left w:val="nil"/>
              <w:bottom w:val="single" w:sz="4" w:space="0" w:color="auto"/>
            </w:tcBorders>
            <w:shd w:val="clear" w:color="auto" w:fill="auto"/>
          </w:tcPr>
          <w:p w14:paraId="74FBDEFC" w14:textId="77777777" w:rsidR="00FF5E9B" w:rsidRPr="003A0C5C" w:rsidRDefault="00FF5E9B" w:rsidP="003C2FE6">
            <w:pPr>
              <w:pStyle w:val="Tabletext"/>
              <w:jc w:val="center"/>
              <w:rPr>
                <w:rFonts w:eastAsia="Calibri"/>
                <w:b/>
              </w:rPr>
            </w:pPr>
            <w:r w:rsidRPr="003A0C5C">
              <w:rPr>
                <w:rStyle w:val="BoldItalic"/>
                <w:b w:val="0"/>
              </w:rPr>
              <w:t>No</w:t>
            </w:r>
          </w:p>
        </w:tc>
      </w:tr>
      <w:tr w:rsidR="00FF5E9B" w:rsidRPr="003A0C5C" w14:paraId="076D6A39" w14:textId="77777777" w:rsidTr="00DA2C85">
        <w:trPr>
          <w:cantSplit/>
          <w:jc w:val="center"/>
        </w:trPr>
        <w:tc>
          <w:tcPr>
            <w:tcW w:w="0" w:type="auto"/>
            <w:gridSpan w:val="5"/>
            <w:tcBorders>
              <w:top w:val="single" w:sz="4" w:space="0" w:color="auto"/>
              <w:bottom w:val="single" w:sz="4" w:space="0" w:color="auto"/>
            </w:tcBorders>
          </w:tcPr>
          <w:p w14:paraId="748FB85B" w14:textId="77777777" w:rsidR="00FF5E9B" w:rsidRPr="003A0C5C" w:rsidRDefault="00FF5E9B" w:rsidP="00DD5380">
            <w:pPr>
              <w:pStyle w:val="TableNotes"/>
              <w:spacing w:before="120"/>
            </w:pPr>
            <w:r w:rsidRPr="003A0C5C">
              <w:t>NOTE:</w:t>
            </w:r>
          </w:p>
          <w:p w14:paraId="48A07112" w14:textId="76EE1137" w:rsidR="00FF5E9B" w:rsidRPr="003A0C5C" w:rsidRDefault="00FF5E9B" w:rsidP="00DD5380">
            <w:pPr>
              <w:pStyle w:val="TableNotes"/>
              <w:spacing w:before="60" w:after="60"/>
            </w:pPr>
            <w:r w:rsidRPr="003A0C5C">
              <w:t xml:space="preserve">Totals may not add up exactly due to rounding in the modeling calculations. </w:t>
            </w:r>
            <w:r w:rsidR="00DE6129" w:rsidRPr="003A0C5C">
              <w:t xml:space="preserve">Refer to </w:t>
            </w:r>
            <w:r w:rsidR="00DE6129" w:rsidRPr="003A0C5C">
              <w:rPr>
                <w:b/>
                <w:bCs/>
              </w:rPr>
              <w:t>Appendix A</w:t>
            </w:r>
            <w:r w:rsidR="00DE6129" w:rsidRPr="003A0C5C">
              <w:t xml:space="preserve"> of this IS/MND for details.</w:t>
            </w:r>
          </w:p>
          <w:p w14:paraId="4E1E9CAD" w14:textId="56D70FCB" w:rsidR="00FF5E9B" w:rsidRPr="003A0C5C" w:rsidRDefault="00FF5E9B" w:rsidP="00DD5380">
            <w:pPr>
              <w:pStyle w:val="TableSource"/>
              <w:spacing w:after="120"/>
            </w:pPr>
            <w:r w:rsidRPr="003A0C5C">
              <w:t>SOURCE:</w:t>
            </w:r>
            <w:r w:rsidRPr="003A0C5C">
              <w:tab/>
              <w:t xml:space="preserve">ESA </w:t>
            </w:r>
            <w:r w:rsidR="00E653B4" w:rsidRPr="003A0C5C">
              <w:t>2022</w:t>
            </w:r>
          </w:p>
        </w:tc>
      </w:tr>
    </w:tbl>
    <w:p w14:paraId="0B90CA3A" w14:textId="77777777" w:rsidR="00FF5E9B" w:rsidRPr="003A0C5C" w:rsidRDefault="00FF5E9B" w:rsidP="00FF5E9B">
      <w:pPr>
        <w:pStyle w:val="12spaceindentcontinue"/>
        <w:rPr>
          <w:highlight w:val="yellow"/>
        </w:rPr>
      </w:pPr>
    </w:p>
    <w:p w14:paraId="4CAACB6A" w14:textId="77777777" w:rsidR="00FF5E9B" w:rsidRPr="003A0C5C" w:rsidRDefault="00FF5E9B" w:rsidP="00FF5E9B">
      <w:pPr>
        <w:pStyle w:val="Heading6"/>
        <w:ind w:left="720"/>
        <w:rPr>
          <w:bCs/>
        </w:rPr>
      </w:pPr>
      <w:r w:rsidRPr="003A0C5C">
        <w:rPr>
          <w:bCs/>
        </w:rPr>
        <w:t>CO “Hot Spot” Analysis</w:t>
      </w:r>
    </w:p>
    <w:p w14:paraId="4F4A9220" w14:textId="69BDCE88" w:rsidR="00FF5E9B" w:rsidRPr="003A0C5C" w:rsidRDefault="00FF5E9B" w:rsidP="0020432B">
      <w:pPr>
        <w:pStyle w:val="12spaceindentcontinue"/>
      </w:pPr>
      <w:r w:rsidRPr="003A0C5C">
        <w:t xml:space="preserve">A CO hotspot is an area of localized CO pollution that is caused by severe vehicle congestion on major roadways, typically near intersections. While construction-related traffic on the local roadways </w:t>
      </w:r>
      <w:r w:rsidR="008D1BED" w:rsidRPr="003A0C5C">
        <w:t>would</w:t>
      </w:r>
      <w:r w:rsidR="00426F88" w:rsidRPr="003A0C5C">
        <w:t xml:space="preserve"> </w:t>
      </w:r>
      <w:r w:rsidRPr="003A0C5C">
        <w:t>occur during construction, the net increase of construction worker vehicle trips to the existing daily traffic volumes on the local roadways w</w:t>
      </w:r>
      <w:r w:rsidR="008D1BED" w:rsidRPr="003A0C5C">
        <w:t xml:space="preserve">ould </w:t>
      </w:r>
      <w:r w:rsidR="00F517A2" w:rsidRPr="003A0C5C">
        <w:t>be</w:t>
      </w:r>
      <w:r w:rsidRPr="003A0C5C">
        <w:t xml:space="preserve"> relatively small and would not result in CO hotspots. Additionally, the construction-related vehicle trips </w:t>
      </w:r>
      <w:r w:rsidR="008D1BED" w:rsidRPr="003A0C5C">
        <w:t>would</w:t>
      </w:r>
      <w:r w:rsidR="00F517A2" w:rsidRPr="003A0C5C">
        <w:t xml:space="preserve"> be </w:t>
      </w:r>
      <w:r w:rsidRPr="003A0C5C">
        <w:t xml:space="preserve">short-term, and ceased once construction activities </w:t>
      </w:r>
      <w:r w:rsidR="00F517A2" w:rsidRPr="003A0C5C">
        <w:t xml:space="preserve">are </w:t>
      </w:r>
      <w:r w:rsidRPr="003A0C5C">
        <w:t xml:space="preserve">completed. During operation, as presented in the </w:t>
      </w:r>
      <w:r w:rsidR="00477C51" w:rsidRPr="003A0C5C">
        <w:t xml:space="preserve">proposed </w:t>
      </w:r>
      <w:r w:rsidRPr="003A0C5C">
        <w:t xml:space="preserve">project’s </w:t>
      </w:r>
      <w:r w:rsidR="00B17DC0" w:rsidRPr="003A0C5C">
        <w:rPr>
          <w:rFonts w:cs="Times New Roman"/>
          <w:szCs w:val="22"/>
        </w:rPr>
        <w:t>LTA</w:t>
      </w:r>
      <w:r w:rsidRPr="003A0C5C">
        <w:rPr>
          <w:rFonts w:cs="Times New Roman"/>
          <w:szCs w:val="22"/>
        </w:rPr>
        <w:t>,</w:t>
      </w:r>
      <w:r w:rsidRPr="003A0C5C">
        <w:t xml:space="preserve"> the </w:t>
      </w:r>
      <w:r w:rsidR="00477C51" w:rsidRPr="003A0C5C">
        <w:t xml:space="preserve">proposed </w:t>
      </w:r>
      <w:r w:rsidRPr="003A0C5C">
        <w:t xml:space="preserve">project would include a total of 580 trips to the project site per day. Overall, the </w:t>
      </w:r>
      <w:r w:rsidR="004749BB" w:rsidRPr="003A0C5C">
        <w:t xml:space="preserve">proposed </w:t>
      </w:r>
      <w:r w:rsidRPr="003A0C5C">
        <w:t>project would not cause or contribute to the formation of CO hotspots based on the AQMP’s 2003 study, which estimates 100,000 vehicles per day could cause the formation of a CO hotspot (SCAQMD 2003a). Therefore, impacts would be less than significant.</w:t>
      </w:r>
    </w:p>
    <w:p w14:paraId="7AD4AFAF" w14:textId="77777777" w:rsidR="00FF5E9B" w:rsidRPr="003A0C5C" w:rsidRDefault="00FF5E9B" w:rsidP="00FF5E9B">
      <w:pPr>
        <w:pStyle w:val="Heading6"/>
        <w:ind w:left="720"/>
        <w:rPr>
          <w:bCs/>
        </w:rPr>
      </w:pPr>
      <w:r w:rsidRPr="003A0C5C">
        <w:rPr>
          <w:bCs/>
        </w:rPr>
        <w:t>Toxic Air Contaminants</w:t>
      </w:r>
    </w:p>
    <w:p w14:paraId="4C64D984" w14:textId="57DEFC29" w:rsidR="00FF5E9B" w:rsidRPr="003A0C5C" w:rsidRDefault="00FF5E9B" w:rsidP="0020432B">
      <w:pPr>
        <w:pStyle w:val="12spaceindentcontinue"/>
      </w:pPr>
      <w:r w:rsidRPr="003A0C5C">
        <w:t xml:space="preserve">Concentrations of toxic air contaminants (TACs), or in federal parlance, hazardous air pollutants (HAPs), are also used as indicators of ambient air quality conditions. A TAC is defined as an air pollutant that may cause or contribute to an increase in mortality or in serious illness, or that may pose a hazard to human health. TACs are usually present in </w:t>
      </w:r>
      <w:r w:rsidRPr="003A0C5C">
        <w:lastRenderedPageBreak/>
        <w:t>minute quantities in the ambient air; however, their high toxicity or health risk may pose a threat to public health even at low concentrations.</w:t>
      </w:r>
    </w:p>
    <w:p w14:paraId="53F96A0E" w14:textId="1CDEA14E" w:rsidR="00FF5E9B" w:rsidRPr="003A0C5C" w:rsidRDefault="00FF5E9B" w:rsidP="0020432B">
      <w:pPr>
        <w:pStyle w:val="12spaceindentcontinue"/>
        <w:rPr>
          <w:highlight w:val="yellow"/>
        </w:rPr>
      </w:pPr>
      <w:r w:rsidRPr="003A0C5C">
        <w:t xml:space="preserve">Intermittent construction activities associated with the proposed project would result in short-term emissions of diesel particulate matter, which the State has identified as a TAC. During construction, the exhaust of off-road heavy-duty diesel equipment would emit diesel particulate matter (DPM) during general construction activities, such as excavation, materials transport and handling, and building construction. During operational activities DPM would be emitted by the diesel trucks traveling to, on, and from the </w:t>
      </w:r>
      <w:r w:rsidR="004749BB" w:rsidRPr="003A0C5C">
        <w:t xml:space="preserve">project </w:t>
      </w:r>
      <w:r w:rsidRPr="003A0C5C">
        <w:t>site.</w:t>
      </w:r>
    </w:p>
    <w:p w14:paraId="22667168" w14:textId="2A9D52BC" w:rsidR="00FF5E9B" w:rsidRPr="003A0C5C" w:rsidRDefault="00FF5E9B" w:rsidP="0020432B">
      <w:pPr>
        <w:pStyle w:val="12spaceindentcontinue"/>
      </w:pPr>
      <w:r w:rsidRPr="003A0C5C">
        <w:t xml:space="preserve">Diesel particulate matter poses a carcinogenic health risk that is generally measured using an exposure period of 30 years for sensitive residential receptors, according to the California Environmental Protection Agency, Office of Environmental Health Hazard Assessment (OEHHA) Air Toxics Hot Spots Program Guidance Manual for Preparation of Health Risk Assessments (OEHHA Guidance), which was updated in 2015 with new exposure parameters including age sensitivity factors (OEHHA 2015). Sensitive receptors include residential uses located </w:t>
      </w:r>
      <w:r w:rsidR="00556F52" w:rsidRPr="003A0C5C">
        <w:t>approximately 50 feet</w:t>
      </w:r>
      <w:r w:rsidR="00AE62C3" w:rsidRPr="003A0C5C">
        <w:t xml:space="preserve"> north of</w:t>
      </w:r>
      <w:r w:rsidRPr="003A0C5C">
        <w:t xml:space="preserve"> the project site, the Perry Street Mini-Park located approximately 100 feet to the northeast, residences located approximately 65 feet east and additional residences located approximately 252 feet southeast of the project site across East Carson Street.</w:t>
      </w:r>
      <w:r w:rsidR="00485E18" w:rsidRPr="003A0C5C">
        <w:t xml:space="preserve"> </w:t>
      </w:r>
    </w:p>
    <w:p w14:paraId="4F195FD9" w14:textId="77777777" w:rsidR="00FF5E9B" w:rsidRPr="003A0C5C" w:rsidRDefault="00FF5E9B" w:rsidP="00FF5E9B">
      <w:pPr>
        <w:pStyle w:val="Heading7"/>
        <w:ind w:left="720"/>
        <w:rPr>
          <w:bCs/>
          <w:iCs w:val="0"/>
        </w:rPr>
      </w:pPr>
      <w:r w:rsidRPr="003A0C5C">
        <w:rPr>
          <w:bCs/>
          <w:iCs w:val="0"/>
        </w:rPr>
        <w:t>Construction</w:t>
      </w:r>
    </w:p>
    <w:p w14:paraId="1B7EE319" w14:textId="5402647F" w:rsidR="00FF5E9B" w:rsidRPr="003A0C5C" w:rsidRDefault="00FF5E9B" w:rsidP="00DD5380">
      <w:pPr>
        <w:pStyle w:val="12spaceindentcontinue"/>
      </w:pPr>
      <w:r w:rsidRPr="003A0C5C">
        <w:t>Temporary TAC emissions associated with DPM emissions from heavy construction equipment would occur during construction activities. According to OEHHA and the SCAQMD’s Health Risk Assessment Guidance for Analyzing Cancer Risks from Mobile Source Diesel Idling Emissions for CEQA Air Quality Analysis, (SCAQMD 2003b) health effects from TACs are described in terms of individual cancer risk based on a lifetime (i.e., 70-year) resident exposure duration. Given the temporary and short-term construction schedule (approximately 1</w:t>
      </w:r>
      <w:r w:rsidR="00CA22B3" w:rsidRPr="003A0C5C">
        <w:t>3</w:t>
      </w:r>
      <w:r w:rsidRPr="003A0C5C">
        <w:t xml:space="preserve"> months), the </w:t>
      </w:r>
      <w:r w:rsidR="004D04E6" w:rsidRPr="003A0C5C">
        <w:t xml:space="preserve">proposed project </w:t>
      </w:r>
      <w:r w:rsidRPr="003A0C5C">
        <w:t>would not result in a long-term (i.e., lifetime or 70-year) exposure as a result of construction activities.</w:t>
      </w:r>
    </w:p>
    <w:p w14:paraId="6DDAF2B2" w14:textId="04EA3C9F" w:rsidR="00FF5E9B" w:rsidRPr="003A0C5C" w:rsidRDefault="00FF5E9B" w:rsidP="00DD5380">
      <w:pPr>
        <w:pStyle w:val="12spaceindentcontinue"/>
      </w:pPr>
      <w:r w:rsidRPr="003A0C5C">
        <w:t xml:space="preserve">The </w:t>
      </w:r>
      <w:r w:rsidR="004D04E6" w:rsidRPr="003A0C5C">
        <w:t xml:space="preserve">proposed project </w:t>
      </w:r>
      <w:r w:rsidRPr="003A0C5C">
        <w:t xml:space="preserve">would be consistent with the applicable 2016 AQMP requirements for control strategies intended to reduce emissions from construction equipment and activities. The </w:t>
      </w:r>
      <w:r w:rsidR="004D04E6" w:rsidRPr="003A0C5C">
        <w:t xml:space="preserve">proposed project </w:t>
      </w:r>
      <w:r w:rsidRPr="003A0C5C">
        <w:t xml:space="preserve">would comply with regulatory control measures including the CARB Air Toxics Control Measure (ATCM) that limits diesel powered equipment and vehicle idling to no more than 5 minutes at a location, and the CARB In-Use Off-Road Diesel Vehicle Regulation that requires fleets to retire, replace, or repower of older, dirtier engines with newer emission-controlled models; compliance with these would minimize emissions of TACs during construction. </w:t>
      </w:r>
      <w:r w:rsidRPr="003A0C5C">
        <w:rPr>
          <w:rFonts w:cs="Times New Roman"/>
        </w:rPr>
        <w:t xml:space="preserve">SCAQMD recommends that construction health risk assessments be conducted for substantial sources of DPM emissions (e.g., earth-moving construction activities) in proximity to sensitive receptors and has provided guidance for analyzing mobile source diesel emissions. Although, sensitive receptors, including single-residential uses, are located to the north of the </w:t>
      </w:r>
      <w:r w:rsidR="00477C51" w:rsidRPr="003A0C5C">
        <w:rPr>
          <w:rFonts w:cs="Times New Roman"/>
        </w:rPr>
        <w:t>project site</w:t>
      </w:r>
      <w:r w:rsidRPr="003A0C5C">
        <w:rPr>
          <w:rFonts w:cs="Times New Roman"/>
        </w:rPr>
        <w:t>, localized DPM emissions (strongly correlated with PM2.5 emissions) are less than significant (as shown in Table </w:t>
      </w:r>
      <w:r w:rsidR="004D1D08" w:rsidRPr="003A0C5C">
        <w:rPr>
          <w:rFonts w:cs="Times New Roman"/>
        </w:rPr>
        <w:t>4</w:t>
      </w:r>
      <w:r w:rsidRPr="003A0C5C">
        <w:rPr>
          <w:rFonts w:cs="Times New Roman"/>
        </w:rPr>
        <w:t xml:space="preserve">, above). Although the localized analysis does not directly measure health risk </w:t>
      </w:r>
      <w:r w:rsidRPr="003A0C5C">
        <w:rPr>
          <w:rFonts w:cs="Times New Roman"/>
        </w:rPr>
        <w:lastRenderedPageBreak/>
        <w:t>impacts, it does provide data that can be used to evaluate the potential to cause health risk impacts. The low level of PM2.5 emissions coupled with the relatively short-term duration of construction activity anticipated at 1</w:t>
      </w:r>
      <w:r w:rsidR="00CA22B3" w:rsidRPr="003A0C5C">
        <w:rPr>
          <w:rFonts w:cs="Times New Roman"/>
        </w:rPr>
        <w:t>3</w:t>
      </w:r>
      <w:r w:rsidRPr="003A0C5C">
        <w:rPr>
          <w:rFonts w:cs="Times New Roman"/>
        </w:rPr>
        <w:t xml:space="preserve"> months resulted in an overall low level of DPM concentrations in the project area. Furthermore, compliance with the aforementioned CARB ATCM anti-idling measure further minimizes DPM emissions in the project area. Thus, although there are sensitive receptors </w:t>
      </w:r>
      <w:r w:rsidR="00FB7F45" w:rsidRPr="003A0C5C">
        <w:rPr>
          <w:rFonts w:cs="Times New Roman"/>
        </w:rPr>
        <w:t xml:space="preserve">located within proximity </w:t>
      </w:r>
      <w:r w:rsidRPr="003A0C5C">
        <w:rPr>
          <w:rFonts w:cs="Times New Roman"/>
        </w:rPr>
        <w:t xml:space="preserve">to the </w:t>
      </w:r>
      <w:r w:rsidR="00477C51" w:rsidRPr="003A0C5C">
        <w:rPr>
          <w:rFonts w:cs="Times New Roman"/>
        </w:rPr>
        <w:t>project site</w:t>
      </w:r>
      <w:r w:rsidRPr="003A0C5C">
        <w:rPr>
          <w:rFonts w:cs="Times New Roman"/>
        </w:rPr>
        <w:t xml:space="preserve">, </w:t>
      </w:r>
      <w:r w:rsidRPr="003A0C5C">
        <w:t xml:space="preserve">compliance with regulatory control measures and the limited duration of construction activities would minimize exposures. </w:t>
      </w:r>
    </w:p>
    <w:p w14:paraId="039D94D9" w14:textId="77777777" w:rsidR="00FF5E9B" w:rsidRPr="003A0C5C" w:rsidRDefault="00FF5E9B" w:rsidP="00FF5E9B">
      <w:pPr>
        <w:pStyle w:val="Heading7"/>
        <w:ind w:left="720"/>
        <w:rPr>
          <w:bCs/>
          <w:iCs w:val="0"/>
        </w:rPr>
      </w:pPr>
      <w:r w:rsidRPr="003A0C5C">
        <w:rPr>
          <w:bCs/>
          <w:iCs w:val="0"/>
        </w:rPr>
        <w:t>Operations</w:t>
      </w:r>
    </w:p>
    <w:p w14:paraId="4F63F7D0" w14:textId="109638E5" w:rsidR="00FF5E9B" w:rsidRPr="003A0C5C" w:rsidRDefault="00FF5E9B" w:rsidP="0020432B">
      <w:pPr>
        <w:pStyle w:val="12spaceindentcontinue"/>
      </w:pPr>
      <w:r w:rsidRPr="003A0C5C">
        <w:rPr>
          <w:szCs w:val="22"/>
        </w:rPr>
        <w:t xml:space="preserve">SCAQMD recommends that health risk assessments be conducted for substantial sources of operational DPM emissions (e.g., truck stops and warehouse distribution facilities that generate more than 100 trucks per day or more than 40 trucks with operating transport refrigeration units) and has provided guidance for analyzing mobile source diesel emissions (SCAQMD 2003b). </w:t>
      </w:r>
      <w:r w:rsidRPr="003A0C5C">
        <w:t>During operational activities DPM would be emitted by the diesel trucks traveling to, on, and from the site. However, the land use</w:t>
      </w:r>
      <w:r w:rsidR="00477C51" w:rsidRPr="003A0C5C">
        <w:t>s</w:t>
      </w:r>
      <w:r w:rsidRPr="003A0C5C">
        <w:t xml:space="preserve"> </w:t>
      </w:r>
      <w:r w:rsidR="00477C51" w:rsidRPr="003A0C5C">
        <w:t>that would be developed under</w:t>
      </w:r>
      <w:r w:rsidRPr="003A0C5C">
        <w:t xml:space="preserve"> the </w:t>
      </w:r>
      <w:r w:rsidR="00477C51" w:rsidRPr="003A0C5C">
        <w:t xml:space="preserve">proposed </w:t>
      </w:r>
      <w:r w:rsidRPr="003A0C5C">
        <w:t xml:space="preserve">project </w:t>
      </w:r>
      <w:r w:rsidR="00477C51" w:rsidRPr="003A0C5C">
        <w:t xml:space="preserve">are </w:t>
      </w:r>
      <w:r w:rsidRPr="003A0C5C">
        <w:t xml:space="preserve">not considered a substantial source of operational DPM as described by the SCAQMD. Therefore, the </w:t>
      </w:r>
      <w:r w:rsidRPr="003A0C5C">
        <w:rPr>
          <w:szCs w:val="22"/>
        </w:rPr>
        <w:t xml:space="preserve">project operations associated with the storage facility or retail </w:t>
      </w:r>
      <w:r w:rsidR="006555E9" w:rsidRPr="003A0C5C">
        <w:rPr>
          <w:szCs w:val="22"/>
        </w:rPr>
        <w:t xml:space="preserve">uses </w:t>
      </w:r>
      <w:r w:rsidRPr="003A0C5C">
        <w:rPr>
          <w:szCs w:val="22"/>
        </w:rPr>
        <w:t xml:space="preserve">would generate only minor amounts of diesel emissions from mobile sources, such as delivery/box trucks and occasional maintenance activities that would not exceed 100 trucks per day or more than 40 trucks with operating transport refrigeration units. Furthermore, </w:t>
      </w:r>
      <w:r w:rsidR="00477C51" w:rsidRPr="003A0C5C">
        <w:rPr>
          <w:szCs w:val="22"/>
        </w:rPr>
        <w:t xml:space="preserve">project </w:t>
      </w:r>
      <w:r w:rsidRPr="003A0C5C">
        <w:rPr>
          <w:szCs w:val="22"/>
        </w:rPr>
        <w:t xml:space="preserve">trucks would be required to comply with the applicable provisions of the CARB 13 </w:t>
      </w:r>
      <w:r w:rsidR="00E653B4" w:rsidRPr="003A0C5C">
        <w:rPr>
          <w:rFonts w:cs="Times New Roman"/>
          <w:szCs w:val="22"/>
          <w:lang w:val="en"/>
        </w:rPr>
        <w:t>California Code of Regulations</w:t>
      </w:r>
      <w:r w:rsidRPr="003A0C5C">
        <w:rPr>
          <w:szCs w:val="22"/>
        </w:rPr>
        <w:t>, Section 2025 (Truck and Bus regulation) to minimize and reduce PM and NO</w:t>
      </w:r>
      <w:r w:rsidRPr="003A0C5C">
        <w:rPr>
          <w:szCs w:val="22"/>
          <w:vertAlign w:val="subscript"/>
        </w:rPr>
        <w:t>X</w:t>
      </w:r>
      <w:r w:rsidRPr="003A0C5C">
        <w:rPr>
          <w:szCs w:val="22"/>
        </w:rPr>
        <w:t xml:space="preserve"> emissions from existing diesel trucks. Therefore, </w:t>
      </w:r>
      <w:r w:rsidR="00477C51" w:rsidRPr="003A0C5C">
        <w:rPr>
          <w:szCs w:val="22"/>
        </w:rPr>
        <w:t xml:space="preserve">project </w:t>
      </w:r>
      <w:r w:rsidRPr="003A0C5C">
        <w:rPr>
          <w:szCs w:val="22"/>
        </w:rPr>
        <w:t xml:space="preserve">operations would not be considered a substantial source of diesel particulates. Furthermore, typical sources of hazardous TACs include industrial manufacturing processes and automotive repair facilities. The </w:t>
      </w:r>
      <w:r w:rsidR="00477C51" w:rsidRPr="003A0C5C">
        <w:rPr>
          <w:szCs w:val="22"/>
        </w:rPr>
        <w:t xml:space="preserve">proposed project </w:t>
      </w:r>
      <w:r w:rsidRPr="003A0C5C">
        <w:rPr>
          <w:szCs w:val="22"/>
        </w:rPr>
        <w:t>would not include any of these potential sources, although minimal emissions may result from the use of consumer products (e.g., aerosol sprays). Project operations would only result in minimal emissions of toxic air contaminants from the use of architectural coatings and other products. The use of consumer products and architectural coatings from the office use would be expected</w:t>
      </w:r>
      <w:r w:rsidRPr="003A0C5C">
        <w:t xml:space="preserve"> to generate minimal emissions. The </w:t>
      </w:r>
      <w:r w:rsidR="00477C51" w:rsidRPr="003A0C5C">
        <w:t xml:space="preserve">proposed project’s </w:t>
      </w:r>
      <w:r w:rsidRPr="003A0C5C">
        <w:t>land uses would not include installation of industrial-sized equipment (</w:t>
      </w:r>
      <w:r w:rsidR="005F352E" w:rsidRPr="003A0C5C">
        <w:t>i.e.,</w:t>
      </w:r>
      <w:r w:rsidRPr="003A0C5C">
        <w:t xml:space="preserve"> paint booths) or require extensive use of commercial or household cleaning products. Based on this, the </w:t>
      </w:r>
      <w:r w:rsidR="00477C51" w:rsidRPr="003A0C5C">
        <w:t xml:space="preserve">proposed project </w:t>
      </w:r>
      <w:r w:rsidRPr="003A0C5C">
        <w:t xml:space="preserve">is not expected to release substantial amounts of TACs. </w:t>
      </w:r>
    </w:p>
    <w:p w14:paraId="4926BC21" w14:textId="3594D507" w:rsidR="00FF5E9B" w:rsidRPr="003A0C5C" w:rsidRDefault="00FF5E9B" w:rsidP="00A52381">
      <w:pPr>
        <w:pStyle w:val="12spaceindentcontinue"/>
      </w:pPr>
      <w:r w:rsidRPr="003A0C5C">
        <w:t xml:space="preserve">Therefore, based on the limited activity of TAC sources and TAC concentrations at off-site sensitive receptors relative to existing conditions, the </w:t>
      </w:r>
      <w:r w:rsidR="00477C51" w:rsidRPr="003A0C5C">
        <w:t xml:space="preserve">proposed project </w:t>
      </w:r>
      <w:r w:rsidRPr="003A0C5C">
        <w:t>would not warrant the need for a health risk assessment associated with on-site activities, and potential TAC impacts would be less than significant.</w:t>
      </w:r>
    </w:p>
    <w:p w14:paraId="6E0C2875" w14:textId="2E88A1D9" w:rsidR="00FF5E9B" w:rsidRPr="003A0C5C" w:rsidRDefault="00FF5E9B" w:rsidP="0020432B">
      <w:pPr>
        <w:pStyle w:val="12spaceindent"/>
      </w:pPr>
      <w:r w:rsidRPr="003A0C5C">
        <w:t>d)</w:t>
      </w:r>
      <w:r w:rsidRPr="003A0C5C">
        <w:tab/>
        <w:t xml:space="preserve">Potential sources that may emit odors during construction activities include construction equipment exhaust and the use of architectural coatings and solvents. According to the SCAQMD CEQA Air Quality Handbook, construction equipment is not a typical source of odors. SCAQMD Rule 1113 limits the </w:t>
      </w:r>
      <w:proofErr w:type="gramStart"/>
      <w:r w:rsidRPr="003A0C5C">
        <w:t>amount</w:t>
      </w:r>
      <w:proofErr w:type="gramEnd"/>
      <w:r w:rsidRPr="003A0C5C">
        <w:t xml:space="preserve"> of VOCs from architectural coatings and </w:t>
      </w:r>
      <w:r w:rsidRPr="003A0C5C">
        <w:lastRenderedPageBreak/>
        <w:t>solvents. Further, construction odor emissions would be temporary, short-term, and intermittent in nature and would cease upon completion of construction. Through adherence with mandatory compliance with SCAQMD Rules, no construction activities or materials would create objectionable odors. The nearest sensitive receptor</w:t>
      </w:r>
      <w:r w:rsidR="00EE67AD" w:rsidRPr="003A0C5C">
        <w:t>s</w:t>
      </w:r>
      <w:r w:rsidRPr="003A0C5C">
        <w:t xml:space="preserve"> are single-family residences located </w:t>
      </w:r>
      <w:r w:rsidR="00FB7F45" w:rsidRPr="003A0C5C">
        <w:t xml:space="preserve">approximately 50 feet </w:t>
      </w:r>
      <w:r w:rsidRPr="003A0C5C">
        <w:t>to the</w:t>
      </w:r>
      <w:r w:rsidR="00FB7F45" w:rsidRPr="003A0C5C">
        <w:t xml:space="preserve"> north of the</w:t>
      </w:r>
      <w:r w:rsidRPr="003A0C5C">
        <w:t xml:space="preserve"> project site </w:t>
      </w:r>
      <w:r w:rsidRPr="003A0C5C">
        <w:rPr>
          <w:rFonts w:cs="Times"/>
        </w:rPr>
        <w:t>along East 215th Place</w:t>
      </w:r>
      <w:r w:rsidRPr="003A0C5C">
        <w:t xml:space="preserve">. The </w:t>
      </w:r>
      <w:r w:rsidR="00477C51" w:rsidRPr="003A0C5C">
        <w:t xml:space="preserve">proposed </w:t>
      </w:r>
      <w:r w:rsidRPr="003A0C5C">
        <w:t>project’s uses would not typically generate nuisance odors at nearby sensitive receptors.</w:t>
      </w:r>
    </w:p>
    <w:p w14:paraId="637914FA" w14:textId="77777777" w:rsidR="00FF5E9B" w:rsidRPr="003A0C5C" w:rsidRDefault="00FF5E9B" w:rsidP="0020432B">
      <w:pPr>
        <w:pStyle w:val="12spaceindentcontinue"/>
      </w:pPr>
      <w:r w:rsidRPr="003A0C5C">
        <w:t>According to the SCAQMD CEQA Air Quality Handbook, land uses associated with odor complaints typically include agricultural uses, wastewater treatment plants, food processing plants, chemical plants, composting operations, refineries, landfills, dairies, and fiberglass molding facilities. The proposed project does not include any of the land uses associated with odor complaints.</w:t>
      </w:r>
    </w:p>
    <w:p w14:paraId="37269A0E" w14:textId="77777777" w:rsidR="00FF5E9B" w:rsidRPr="003A0C5C" w:rsidRDefault="00FF5E9B" w:rsidP="0020432B">
      <w:pPr>
        <w:pStyle w:val="12spaceindentcontinue"/>
      </w:pPr>
      <w:r w:rsidRPr="003A0C5C">
        <w:t xml:space="preserve">Furthermore, as discussed in </w:t>
      </w:r>
      <w:r w:rsidRPr="003A0C5C">
        <w:rPr>
          <w:lang w:eastAsia="ko-KR"/>
        </w:rPr>
        <w:t>Thresholds b</w:t>
      </w:r>
      <w:r w:rsidRPr="003A0C5C">
        <w:t xml:space="preserve"> and c, above, construction and operational emissions would not exceed the SCAQMD regional significance thresholds for attainment, maintenance, or unclassifiable criteria air pollutants (i.e., CO and SO</w:t>
      </w:r>
      <w:r w:rsidRPr="003A0C5C">
        <w:rPr>
          <w:vertAlign w:val="subscript"/>
        </w:rPr>
        <w:t>2</w:t>
      </w:r>
      <w:r w:rsidRPr="003A0C5C">
        <w:t>).</w:t>
      </w:r>
    </w:p>
    <w:p w14:paraId="5EF0DFC1" w14:textId="77777777" w:rsidR="00FF5E9B" w:rsidRPr="003A0C5C" w:rsidRDefault="00FF5E9B" w:rsidP="0020432B">
      <w:pPr>
        <w:pStyle w:val="12spaceindentcontinue"/>
      </w:pPr>
      <w:r w:rsidRPr="003A0C5C">
        <w:t>Therefore, impacts related to other emissions, including those that would lead to odors adversely affecting a substantial number of people, would be less than significant.</w:t>
      </w:r>
    </w:p>
    <w:p w14:paraId="2F342463" w14:textId="42D49428" w:rsidR="00F92AE1" w:rsidRPr="003A0C5C" w:rsidRDefault="00F92AE1" w:rsidP="008C186C">
      <w:pPr>
        <w:pStyle w:val="12spaceindent"/>
        <w:keepNext/>
        <w:spacing w:after="120"/>
        <w:ind w:left="0" w:firstLine="0"/>
        <w:rPr>
          <w:highlight w:val="yellow"/>
        </w:rPr>
      </w:pPr>
    </w:p>
    <w:p w14:paraId="0A2DBB45" w14:textId="77777777" w:rsidR="002B6967" w:rsidRPr="003A0C5C" w:rsidRDefault="002B6967" w:rsidP="002B6967">
      <w:pPr>
        <w:pStyle w:val="ImpactSectionEnd"/>
        <w:rPr>
          <w:highlight w:val="yellow"/>
        </w:rPr>
      </w:pPr>
    </w:p>
    <w:p w14:paraId="004CC308" w14:textId="77777777" w:rsidR="002B6967" w:rsidRPr="003A0C5C" w:rsidRDefault="004F426E" w:rsidP="002B6967">
      <w:pPr>
        <w:rPr>
          <w:highlight w:val="yellow"/>
        </w:rPr>
      </w:pPr>
      <w:r w:rsidRPr="003A0C5C">
        <w:rPr>
          <w:highlight w:val="yellow"/>
        </w:rPr>
        <w:br w:type="page"/>
      </w:r>
    </w:p>
    <w:p w14:paraId="2A578935" w14:textId="45A905B5" w:rsidR="004F426E" w:rsidRPr="003A0C5C" w:rsidRDefault="008B0DDC" w:rsidP="008B0DDC">
      <w:pPr>
        <w:pStyle w:val="Heading4"/>
      </w:pPr>
      <w:bookmarkStart w:id="57" w:name="_Toc101791983"/>
      <w:r w:rsidRPr="003A0C5C">
        <w:lastRenderedPageBreak/>
        <w:t>IV.</w:t>
      </w:r>
      <w:r w:rsidRPr="003A0C5C">
        <w:tab/>
      </w:r>
      <w:r w:rsidR="004F426E" w:rsidRPr="003A0C5C">
        <w:t>Biological Resources</w:t>
      </w:r>
      <w:bookmarkEnd w:id="57"/>
    </w:p>
    <w:tbl>
      <w:tblPr>
        <w:tblW w:w="0" w:type="auto"/>
        <w:tblCellMar>
          <w:left w:w="86" w:type="dxa"/>
          <w:right w:w="86" w:type="dxa"/>
        </w:tblCellMar>
        <w:tblLook w:val="0000" w:firstRow="0" w:lastRow="0" w:firstColumn="0" w:lastColumn="0" w:noHBand="0" w:noVBand="0"/>
      </w:tblPr>
      <w:tblGrid>
        <w:gridCol w:w="5088"/>
        <w:gridCol w:w="888"/>
        <w:gridCol w:w="1152"/>
        <w:gridCol w:w="888"/>
        <w:gridCol w:w="624"/>
      </w:tblGrid>
      <w:tr w:rsidR="003A0C5C" w:rsidRPr="003A0C5C" w14:paraId="750CF401" w14:textId="77777777" w:rsidTr="005C0B7A">
        <w:trPr>
          <w:cantSplit/>
          <w:tblHeader/>
        </w:trPr>
        <w:tc>
          <w:tcPr>
            <w:tcW w:w="0" w:type="auto"/>
            <w:vAlign w:val="bottom"/>
          </w:tcPr>
          <w:p w14:paraId="54755F2E" w14:textId="77777777" w:rsidR="005C0B7A" w:rsidRPr="003A0C5C" w:rsidRDefault="005C0B7A" w:rsidP="005C0B7A">
            <w:pPr>
              <w:keepNext/>
              <w:pBdr>
                <w:bottom w:val="single" w:sz="4" w:space="1" w:color="auto"/>
              </w:pBdr>
              <w:spacing w:before="60" w:after="60"/>
              <w:ind w:left="540" w:hanging="540"/>
              <w:rPr>
                <w:rFonts w:ascii="Arial" w:hAnsi="Arial" w:cs="Arial"/>
                <w:b/>
                <w:i/>
                <w:sz w:val="14"/>
                <w:szCs w:val="16"/>
              </w:rPr>
            </w:pPr>
            <w:r w:rsidRPr="003A0C5C">
              <w:rPr>
                <w:rFonts w:ascii="Arial" w:hAnsi="Arial" w:cs="Arial"/>
                <w:b/>
                <w:i/>
                <w:sz w:val="14"/>
                <w:szCs w:val="16"/>
              </w:rPr>
              <w:t>Issues (and Supporting Information Sources)</w:t>
            </w:r>
          </w:p>
        </w:tc>
        <w:tc>
          <w:tcPr>
            <w:tcW w:w="0" w:type="auto"/>
            <w:vAlign w:val="bottom"/>
          </w:tcPr>
          <w:p w14:paraId="35D14D2A" w14:textId="77777777" w:rsidR="005C0B7A" w:rsidRPr="003A0C5C" w:rsidRDefault="005C0B7A" w:rsidP="005C0B7A">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Potentially</w:t>
            </w:r>
            <w:r w:rsidRPr="003A0C5C">
              <w:rPr>
                <w:rFonts w:ascii="Arial" w:hAnsi="Arial" w:cs="Arial"/>
                <w:b/>
                <w:i/>
                <w:sz w:val="14"/>
                <w:szCs w:val="16"/>
              </w:rPr>
              <w:br/>
              <w:t>Significant</w:t>
            </w:r>
            <w:r w:rsidRPr="003A0C5C">
              <w:rPr>
                <w:rFonts w:ascii="Arial" w:hAnsi="Arial" w:cs="Arial"/>
                <w:b/>
                <w:i/>
                <w:sz w:val="14"/>
                <w:szCs w:val="16"/>
              </w:rPr>
              <w:br/>
              <w:t>Impact</w:t>
            </w:r>
          </w:p>
        </w:tc>
        <w:tc>
          <w:tcPr>
            <w:tcW w:w="0" w:type="auto"/>
            <w:vAlign w:val="bottom"/>
          </w:tcPr>
          <w:p w14:paraId="398A1BDA" w14:textId="77777777" w:rsidR="005C0B7A" w:rsidRPr="003A0C5C" w:rsidRDefault="005C0B7A" w:rsidP="005C0B7A">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Less than</w:t>
            </w:r>
            <w:r w:rsidRPr="003A0C5C">
              <w:rPr>
                <w:rFonts w:ascii="Arial" w:hAnsi="Arial" w:cs="Arial"/>
                <w:b/>
                <w:i/>
                <w:sz w:val="14"/>
                <w:szCs w:val="16"/>
              </w:rPr>
              <w:br/>
              <w:t>Significant</w:t>
            </w:r>
            <w:r w:rsidRPr="003A0C5C">
              <w:rPr>
                <w:rFonts w:ascii="Arial" w:hAnsi="Arial" w:cs="Arial"/>
                <w:b/>
                <w:i/>
                <w:sz w:val="14"/>
                <w:szCs w:val="16"/>
              </w:rPr>
              <w:br/>
              <w:t>with Mitigation</w:t>
            </w:r>
            <w:r w:rsidRPr="003A0C5C">
              <w:rPr>
                <w:rFonts w:ascii="Arial" w:hAnsi="Arial" w:cs="Arial"/>
                <w:b/>
                <w:i/>
                <w:sz w:val="14"/>
                <w:szCs w:val="16"/>
              </w:rPr>
              <w:br/>
              <w:t>Incorporated</w:t>
            </w:r>
          </w:p>
        </w:tc>
        <w:tc>
          <w:tcPr>
            <w:tcW w:w="0" w:type="auto"/>
            <w:vAlign w:val="bottom"/>
          </w:tcPr>
          <w:p w14:paraId="025B3AA3" w14:textId="77777777" w:rsidR="005C0B7A" w:rsidRPr="003A0C5C" w:rsidRDefault="005C0B7A" w:rsidP="005C0B7A">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Less-than-</w:t>
            </w:r>
            <w:r w:rsidRPr="003A0C5C">
              <w:rPr>
                <w:rFonts w:ascii="Arial" w:hAnsi="Arial" w:cs="Arial"/>
                <w:b/>
                <w:i/>
                <w:sz w:val="14"/>
                <w:szCs w:val="16"/>
              </w:rPr>
              <w:br/>
              <w:t>Significant</w:t>
            </w:r>
            <w:r w:rsidRPr="003A0C5C">
              <w:rPr>
                <w:rFonts w:ascii="Arial" w:hAnsi="Arial" w:cs="Arial"/>
                <w:b/>
                <w:i/>
                <w:sz w:val="14"/>
                <w:szCs w:val="16"/>
              </w:rPr>
              <w:br/>
              <w:t>Impact</w:t>
            </w:r>
          </w:p>
        </w:tc>
        <w:tc>
          <w:tcPr>
            <w:tcW w:w="0" w:type="auto"/>
            <w:vAlign w:val="bottom"/>
          </w:tcPr>
          <w:p w14:paraId="00E53AC9" w14:textId="77777777" w:rsidR="005C0B7A" w:rsidRPr="003A0C5C" w:rsidRDefault="005C0B7A" w:rsidP="005C0B7A">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No</w:t>
            </w:r>
            <w:r w:rsidRPr="003A0C5C">
              <w:rPr>
                <w:rFonts w:ascii="Arial" w:hAnsi="Arial" w:cs="Arial"/>
                <w:b/>
                <w:i/>
                <w:sz w:val="14"/>
                <w:szCs w:val="16"/>
              </w:rPr>
              <w:br/>
              <w:t>Impact</w:t>
            </w:r>
          </w:p>
        </w:tc>
      </w:tr>
      <w:tr w:rsidR="003A0C5C" w:rsidRPr="003A0C5C" w14:paraId="00DCB867" w14:textId="77777777" w:rsidTr="005C0B7A">
        <w:trPr>
          <w:cantSplit/>
        </w:trPr>
        <w:tc>
          <w:tcPr>
            <w:tcW w:w="0" w:type="auto"/>
          </w:tcPr>
          <w:p w14:paraId="0CF9CA0A" w14:textId="23EFC642" w:rsidR="005C0B7A" w:rsidRPr="003A0C5C" w:rsidRDefault="005C0B7A" w:rsidP="005C0B7A">
            <w:pPr>
              <w:pStyle w:val="Tabletextnumber"/>
              <w:keepNext/>
              <w:ind w:left="504" w:hanging="504"/>
              <w:rPr>
                <w:rStyle w:val="Bold"/>
              </w:rPr>
            </w:pPr>
            <w:r w:rsidRPr="003A0C5C">
              <w:rPr>
                <w:rStyle w:val="Bold"/>
              </w:rPr>
              <w:t>IV.</w:t>
            </w:r>
            <w:r w:rsidRPr="003A0C5C">
              <w:rPr>
                <w:rStyle w:val="Bold"/>
              </w:rPr>
              <w:tab/>
              <w:t>BIOLOGICAL RESOURCES</w:t>
            </w:r>
            <w:r w:rsidRPr="003A0C5C">
              <w:t>—Would the project:</w:t>
            </w:r>
          </w:p>
        </w:tc>
        <w:tc>
          <w:tcPr>
            <w:tcW w:w="0" w:type="auto"/>
          </w:tcPr>
          <w:p w14:paraId="65C895DB" w14:textId="77777777" w:rsidR="005C0B7A" w:rsidRPr="003A0C5C" w:rsidRDefault="005C0B7A" w:rsidP="005C0B7A">
            <w:pPr>
              <w:pStyle w:val="Checklist"/>
              <w:rPr>
                <w:highlight w:val="yellow"/>
              </w:rPr>
            </w:pPr>
          </w:p>
        </w:tc>
        <w:tc>
          <w:tcPr>
            <w:tcW w:w="0" w:type="auto"/>
          </w:tcPr>
          <w:p w14:paraId="5B29E38D" w14:textId="77777777" w:rsidR="005C0B7A" w:rsidRPr="003A0C5C" w:rsidRDefault="005C0B7A" w:rsidP="005C0B7A">
            <w:pPr>
              <w:pStyle w:val="Checklist"/>
              <w:rPr>
                <w:highlight w:val="yellow"/>
              </w:rPr>
            </w:pPr>
          </w:p>
        </w:tc>
        <w:tc>
          <w:tcPr>
            <w:tcW w:w="0" w:type="auto"/>
          </w:tcPr>
          <w:p w14:paraId="710B6EC3" w14:textId="77777777" w:rsidR="005C0B7A" w:rsidRPr="003A0C5C" w:rsidRDefault="005C0B7A" w:rsidP="005C0B7A">
            <w:pPr>
              <w:pStyle w:val="Checklist"/>
              <w:rPr>
                <w:highlight w:val="yellow"/>
              </w:rPr>
            </w:pPr>
          </w:p>
        </w:tc>
        <w:tc>
          <w:tcPr>
            <w:tcW w:w="0" w:type="auto"/>
          </w:tcPr>
          <w:p w14:paraId="5EA5272C" w14:textId="77777777" w:rsidR="005C0B7A" w:rsidRPr="003A0C5C" w:rsidRDefault="005C0B7A" w:rsidP="005C0B7A">
            <w:pPr>
              <w:pStyle w:val="Checklist"/>
              <w:rPr>
                <w:highlight w:val="yellow"/>
              </w:rPr>
            </w:pPr>
          </w:p>
        </w:tc>
      </w:tr>
      <w:tr w:rsidR="003A0C5C" w:rsidRPr="003A0C5C" w14:paraId="467F18DA" w14:textId="77777777" w:rsidTr="005C0B7A">
        <w:trPr>
          <w:cantSplit/>
        </w:trPr>
        <w:tc>
          <w:tcPr>
            <w:tcW w:w="0" w:type="auto"/>
          </w:tcPr>
          <w:p w14:paraId="2E9AECBC" w14:textId="528F1EAA" w:rsidR="005C0B7A" w:rsidRPr="003A0C5C" w:rsidRDefault="005C0B7A" w:rsidP="005C0B7A">
            <w:pPr>
              <w:pStyle w:val="Tabletextnumber"/>
            </w:pPr>
            <w:r w:rsidRPr="003A0C5C">
              <w:rPr>
                <w:rFonts w:cs="Arial"/>
                <w:szCs w:val="16"/>
              </w:rPr>
              <w:t>a)</w:t>
            </w:r>
            <w:r w:rsidRPr="003A0C5C">
              <w:rPr>
                <w:rFonts w:cs="Arial"/>
                <w:szCs w:val="16"/>
              </w:rPr>
              <w:tab/>
              <w:t>Have a substantial adverse effect, either directly or through habitat modifications, on any species identified as a candidate, sensitive, or special-status species in local or regional plans, policies, or regulations, or by the California Department of Fish and Game or U.S. Fish and Wildlife Service?</w:t>
            </w:r>
          </w:p>
        </w:tc>
        <w:tc>
          <w:tcPr>
            <w:tcW w:w="0" w:type="auto"/>
          </w:tcPr>
          <w:p w14:paraId="0878AD50" w14:textId="77777777" w:rsidR="005C0B7A" w:rsidRPr="003A0C5C" w:rsidRDefault="002348BC" w:rsidP="005C0B7A">
            <w:pPr>
              <w:pStyle w:val="Checklist"/>
            </w:pPr>
            <w:sdt>
              <w:sdtPr>
                <w:id w:val="818545209"/>
                <w14:checkbox>
                  <w14:checked w14:val="0"/>
                  <w14:checkedState w14:val="2612" w14:font="MS Gothic"/>
                  <w14:uncheckedState w14:val="2610" w14:font="MS Gothic"/>
                </w14:checkbox>
              </w:sdtPr>
              <w:sdtEndPr/>
              <w:sdtContent>
                <w:r w:rsidR="005C0B7A" w:rsidRPr="003A0C5C">
                  <w:t>☐</w:t>
                </w:r>
              </w:sdtContent>
            </w:sdt>
          </w:p>
        </w:tc>
        <w:tc>
          <w:tcPr>
            <w:tcW w:w="0" w:type="auto"/>
          </w:tcPr>
          <w:p w14:paraId="189D79D8" w14:textId="77777777" w:rsidR="005C0B7A" w:rsidRPr="003A0C5C" w:rsidRDefault="002348BC" w:rsidP="005C0B7A">
            <w:pPr>
              <w:pStyle w:val="Checklist"/>
              <w:rPr>
                <w:sz w:val="20"/>
              </w:rPr>
            </w:pPr>
            <w:sdt>
              <w:sdtPr>
                <w:id w:val="-1633936068"/>
                <w14:checkbox>
                  <w14:checked w14:val="0"/>
                  <w14:checkedState w14:val="2612" w14:font="MS Gothic"/>
                  <w14:uncheckedState w14:val="2610" w14:font="MS Gothic"/>
                </w14:checkbox>
              </w:sdtPr>
              <w:sdtEndPr/>
              <w:sdtContent>
                <w:r w:rsidR="005C0B7A" w:rsidRPr="003A0C5C">
                  <w:t>☐</w:t>
                </w:r>
              </w:sdtContent>
            </w:sdt>
          </w:p>
        </w:tc>
        <w:tc>
          <w:tcPr>
            <w:tcW w:w="0" w:type="auto"/>
          </w:tcPr>
          <w:p w14:paraId="6C580FE5" w14:textId="573F65F5" w:rsidR="005C0B7A" w:rsidRPr="003A0C5C" w:rsidRDefault="002348BC" w:rsidP="005C0B7A">
            <w:pPr>
              <w:pStyle w:val="Checklist"/>
              <w:rPr>
                <w:sz w:val="20"/>
              </w:rPr>
            </w:pPr>
            <w:sdt>
              <w:sdtPr>
                <w:id w:val="-792289756"/>
                <w14:checkbox>
                  <w14:checked w14:val="1"/>
                  <w14:checkedState w14:val="2612" w14:font="MS Gothic"/>
                  <w14:uncheckedState w14:val="2610" w14:font="MS Gothic"/>
                </w14:checkbox>
              </w:sdtPr>
              <w:sdtEndPr/>
              <w:sdtContent>
                <w:r w:rsidR="00800E0F" w:rsidRPr="003A0C5C">
                  <w:rPr>
                    <w:rFonts w:hint="eastAsia"/>
                  </w:rPr>
                  <w:t>☒</w:t>
                </w:r>
              </w:sdtContent>
            </w:sdt>
          </w:p>
        </w:tc>
        <w:tc>
          <w:tcPr>
            <w:tcW w:w="0" w:type="auto"/>
          </w:tcPr>
          <w:p w14:paraId="0966C423" w14:textId="72A46EE3" w:rsidR="005C0B7A" w:rsidRPr="003A0C5C" w:rsidRDefault="002348BC" w:rsidP="005C0B7A">
            <w:pPr>
              <w:pStyle w:val="Checklist"/>
              <w:rPr>
                <w:sz w:val="20"/>
              </w:rPr>
            </w:pPr>
            <w:sdt>
              <w:sdtPr>
                <w:id w:val="745143129"/>
                <w14:checkbox>
                  <w14:checked w14:val="0"/>
                  <w14:checkedState w14:val="2612" w14:font="MS Gothic"/>
                  <w14:uncheckedState w14:val="2610" w14:font="MS Gothic"/>
                </w14:checkbox>
              </w:sdtPr>
              <w:sdtEndPr/>
              <w:sdtContent>
                <w:r w:rsidR="00800E0F" w:rsidRPr="003A0C5C">
                  <w:rPr>
                    <w:rFonts w:hint="eastAsia"/>
                  </w:rPr>
                  <w:t>☐</w:t>
                </w:r>
              </w:sdtContent>
            </w:sdt>
          </w:p>
        </w:tc>
      </w:tr>
      <w:tr w:rsidR="003A0C5C" w:rsidRPr="003A0C5C" w14:paraId="2C4CF78A" w14:textId="77777777" w:rsidTr="005C0B7A">
        <w:trPr>
          <w:cantSplit/>
        </w:trPr>
        <w:tc>
          <w:tcPr>
            <w:tcW w:w="0" w:type="auto"/>
          </w:tcPr>
          <w:p w14:paraId="14E94E7F" w14:textId="579830FB" w:rsidR="005C0B7A" w:rsidRPr="003A0C5C" w:rsidRDefault="005C0B7A" w:rsidP="005C0B7A">
            <w:pPr>
              <w:pStyle w:val="Tabletextnumber"/>
            </w:pPr>
            <w:r w:rsidRPr="003A0C5C">
              <w:rPr>
                <w:rFonts w:cs="Arial"/>
                <w:szCs w:val="16"/>
              </w:rPr>
              <w:t>b)</w:t>
            </w:r>
            <w:r w:rsidRPr="003A0C5C">
              <w:rPr>
                <w:rFonts w:cs="Arial"/>
                <w:szCs w:val="16"/>
              </w:rPr>
              <w:tab/>
              <w:t>Have a substantial adverse effect on any riparian habitat or other sensitive natural community identified in local or regional plans, policies, regulations, or by the California Department of Fish and Game or U.S. Fish and Wildlife Service?</w:t>
            </w:r>
          </w:p>
        </w:tc>
        <w:tc>
          <w:tcPr>
            <w:tcW w:w="0" w:type="auto"/>
          </w:tcPr>
          <w:p w14:paraId="557515CF" w14:textId="77777777" w:rsidR="005C0B7A" w:rsidRPr="003A0C5C" w:rsidRDefault="002348BC" w:rsidP="005C0B7A">
            <w:pPr>
              <w:pStyle w:val="Checklist"/>
              <w:rPr>
                <w:sz w:val="20"/>
              </w:rPr>
            </w:pPr>
            <w:sdt>
              <w:sdtPr>
                <w:id w:val="-316337123"/>
                <w14:checkbox>
                  <w14:checked w14:val="0"/>
                  <w14:checkedState w14:val="2612" w14:font="MS Gothic"/>
                  <w14:uncheckedState w14:val="2610" w14:font="MS Gothic"/>
                </w14:checkbox>
              </w:sdtPr>
              <w:sdtEndPr/>
              <w:sdtContent>
                <w:r w:rsidR="005C0B7A" w:rsidRPr="003A0C5C">
                  <w:t>☐</w:t>
                </w:r>
              </w:sdtContent>
            </w:sdt>
          </w:p>
        </w:tc>
        <w:tc>
          <w:tcPr>
            <w:tcW w:w="0" w:type="auto"/>
          </w:tcPr>
          <w:p w14:paraId="07D27E78" w14:textId="77777777" w:rsidR="005C0B7A" w:rsidRPr="003A0C5C" w:rsidRDefault="002348BC" w:rsidP="005C0B7A">
            <w:pPr>
              <w:pStyle w:val="Checklist"/>
              <w:rPr>
                <w:sz w:val="20"/>
              </w:rPr>
            </w:pPr>
            <w:sdt>
              <w:sdtPr>
                <w:id w:val="-523548265"/>
                <w14:checkbox>
                  <w14:checked w14:val="0"/>
                  <w14:checkedState w14:val="2612" w14:font="MS Gothic"/>
                  <w14:uncheckedState w14:val="2610" w14:font="MS Gothic"/>
                </w14:checkbox>
              </w:sdtPr>
              <w:sdtEndPr/>
              <w:sdtContent>
                <w:r w:rsidR="005C0B7A" w:rsidRPr="003A0C5C">
                  <w:t>☐</w:t>
                </w:r>
              </w:sdtContent>
            </w:sdt>
          </w:p>
        </w:tc>
        <w:tc>
          <w:tcPr>
            <w:tcW w:w="0" w:type="auto"/>
          </w:tcPr>
          <w:p w14:paraId="314A7406" w14:textId="77777777" w:rsidR="005C0B7A" w:rsidRPr="003A0C5C" w:rsidRDefault="002348BC" w:rsidP="005C0B7A">
            <w:pPr>
              <w:pStyle w:val="Checklist"/>
              <w:rPr>
                <w:sz w:val="20"/>
              </w:rPr>
            </w:pPr>
            <w:sdt>
              <w:sdtPr>
                <w:id w:val="-2114502031"/>
                <w14:checkbox>
                  <w14:checked w14:val="0"/>
                  <w14:checkedState w14:val="2612" w14:font="MS Gothic"/>
                  <w14:uncheckedState w14:val="2610" w14:font="MS Gothic"/>
                </w14:checkbox>
              </w:sdtPr>
              <w:sdtEndPr/>
              <w:sdtContent>
                <w:r w:rsidR="005C0B7A" w:rsidRPr="003A0C5C">
                  <w:rPr>
                    <w:rFonts w:hint="eastAsia"/>
                  </w:rPr>
                  <w:t>☐</w:t>
                </w:r>
              </w:sdtContent>
            </w:sdt>
          </w:p>
        </w:tc>
        <w:tc>
          <w:tcPr>
            <w:tcW w:w="0" w:type="auto"/>
          </w:tcPr>
          <w:p w14:paraId="1051C706" w14:textId="3608F866" w:rsidR="005C0B7A" w:rsidRPr="003A0C5C" w:rsidRDefault="002348BC" w:rsidP="005C0B7A">
            <w:pPr>
              <w:pStyle w:val="Checklist"/>
              <w:rPr>
                <w:sz w:val="20"/>
              </w:rPr>
            </w:pPr>
            <w:sdt>
              <w:sdtPr>
                <w:id w:val="734588958"/>
                <w14:checkbox>
                  <w14:checked w14:val="1"/>
                  <w14:checkedState w14:val="2612" w14:font="MS Gothic"/>
                  <w14:uncheckedState w14:val="2610" w14:font="MS Gothic"/>
                </w14:checkbox>
              </w:sdtPr>
              <w:sdtEndPr/>
              <w:sdtContent>
                <w:r w:rsidR="00800E0F" w:rsidRPr="003A0C5C">
                  <w:rPr>
                    <w:rFonts w:hint="eastAsia"/>
                  </w:rPr>
                  <w:t>☒</w:t>
                </w:r>
              </w:sdtContent>
            </w:sdt>
          </w:p>
        </w:tc>
      </w:tr>
      <w:tr w:rsidR="003A0C5C" w:rsidRPr="003A0C5C" w14:paraId="4CD30393" w14:textId="77777777" w:rsidTr="005C0B7A">
        <w:trPr>
          <w:cantSplit/>
        </w:trPr>
        <w:tc>
          <w:tcPr>
            <w:tcW w:w="0" w:type="auto"/>
          </w:tcPr>
          <w:p w14:paraId="1FC1321E" w14:textId="50DC13A8" w:rsidR="005C0B7A" w:rsidRPr="003A0C5C" w:rsidRDefault="005C0B7A" w:rsidP="005C0B7A">
            <w:pPr>
              <w:pStyle w:val="Tabletextnumber"/>
            </w:pPr>
            <w:r w:rsidRPr="003A0C5C">
              <w:rPr>
                <w:rFonts w:cs="Arial"/>
                <w:szCs w:val="16"/>
              </w:rPr>
              <w:t>c)</w:t>
            </w:r>
            <w:r w:rsidRPr="003A0C5C">
              <w:rPr>
                <w:rFonts w:cs="Arial"/>
                <w:szCs w:val="16"/>
              </w:rPr>
              <w:tab/>
              <w:t>Have a substantial adverse effect on state or federally protected wetlands (including, but not limited to, marsh, vernal pool, coastal, etc.) through direct removal, filling, hydrological interruption, or other means?</w:t>
            </w:r>
          </w:p>
        </w:tc>
        <w:tc>
          <w:tcPr>
            <w:tcW w:w="0" w:type="auto"/>
          </w:tcPr>
          <w:p w14:paraId="51AC593A" w14:textId="77777777" w:rsidR="005C0B7A" w:rsidRPr="003A0C5C" w:rsidRDefault="002348BC" w:rsidP="005C0B7A">
            <w:pPr>
              <w:pStyle w:val="Checklist"/>
              <w:rPr>
                <w:sz w:val="20"/>
              </w:rPr>
            </w:pPr>
            <w:sdt>
              <w:sdtPr>
                <w:id w:val="214397210"/>
                <w14:checkbox>
                  <w14:checked w14:val="0"/>
                  <w14:checkedState w14:val="2612" w14:font="MS Gothic"/>
                  <w14:uncheckedState w14:val="2610" w14:font="MS Gothic"/>
                </w14:checkbox>
              </w:sdtPr>
              <w:sdtEndPr/>
              <w:sdtContent>
                <w:r w:rsidR="005C0B7A" w:rsidRPr="003A0C5C">
                  <w:t>☐</w:t>
                </w:r>
              </w:sdtContent>
            </w:sdt>
          </w:p>
        </w:tc>
        <w:tc>
          <w:tcPr>
            <w:tcW w:w="0" w:type="auto"/>
          </w:tcPr>
          <w:p w14:paraId="5BE7E5FA" w14:textId="77777777" w:rsidR="005C0B7A" w:rsidRPr="003A0C5C" w:rsidRDefault="002348BC" w:rsidP="005C0B7A">
            <w:pPr>
              <w:pStyle w:val="Checklist"/>
              <w:rPr>
                <w:sz w:val="20"/>
              </w:rPr>
            </w:pPr>
            <w:sdt>
              <w:sdtPr>
                <w:id w:val="1291247270"/>
                <w14:checkbox>
                  <w14:checked w14:val="0"/>
                  <w14:checkedState w14:val="2612" w14:font="MS Gothic"/>
                  <w14:uncheckedState w14:val="2610" w14:font="MS Gothic"/>
                </w14:checkbox>
              </w:sdtPr>
              <w:sdtEndPr/>
              <w:sdtContent>
                <w:r w:rsidR="005C0B7A" w:rsidRPr="003A0C5C">
                  <w:t>☐</w:t>
                </w:r>
              </w:sdtContent>
            </w:sdt>
          </w:p>
        </w:tc>
        <w:tc>
          <w:tcPr>
            <w:tcW w:w="0" w:type="auto"/>
          </w:tcPr>
          <w:p w14:paraId="6A6E94D7" w14:textId="77777777" w:rsidR="005C0B7A" w:rsidRPr="003A0C5C" w:rsidRDefault="002348BC" w:rsidP="005C0B7A">
            <w:pPr>
              <w:pStyle w:val="Checklist"/>
              <w:rPr>
                <w:sz w:val="20"/>
              </w:rPr>
            </w:pPr>
            <w:sdt>
              <w:sdtPr>
                <w:id w:val="-214738732"/>
                <w14:checkbox>
                  <w14:checked w14:val="0"/>
                  <w14:checkedState w14:val="2612" w14:font="MS Gothic"/>
                  <w14:uncheckedState w14:val="2610" w14:font="MS Gothic"/>
                </w14:checkbox>
              </w:sdtPr>
              <w:sdtEndPr/>
              <w:sdtContent>
                <w:r w:rsidR="005C0B7A" w:rsidRPr="003A0C5C">
                  <w:rPr>
                    <w:rFonts w:hint="eastAsia"/>
                  </w:rPr>
                  <w:t>☐</w:t>
                </w:r>
              </w:sdtContent>
            </w:sdt>
          </w:p>
        </w:tc>
        <w:tc>
          <w:tcPr>
            <w:tcW w:w="0" w:type="auto"/>
          </w:tcPr>
          <w:p w14:paraId="2F50E0F6" w14:textId="268AC463" w:rsidR="005C0B7A" w:rsidRPr="003A0C5C" w:rsidRDefault="002348BC" w:rsidP="005C0B7A">
            <w:pPr>
              <w:pStyle w:val="Checklist"/>
              <w:rPr>
                <w:sz w:val="20"/>
              </w:rPr>
            </w:pPr>
            <w:sdt>
              <w:sdtPr>
                <w:id w:val="238600797"/>
                <w14:checkbox>
                  <w14:checked w14:val="1"/>
                  <w14:checkedState w14:val="2612" w14:font="MS Gothic"/>
                  <w14:uncheckedState w14:val="2610" w14:font="MS Gothic"/>
                </w14:checkbox>
              </w:sdtPr>
              <w:sdtEndPr/>
              <w:sdtContent>
                <w:r w:rsidR="007A0761" w:rsidRPr="003A0C5C">
                  <w:rPr>
                    <w:rFonts w:hint="eastAsia"/>
                  </w:rPr>
                  <w:t>☒</w:t>
                </w:r>
              </w:sdtContent>
            </w:sdt>
          </w:p>
        </w:tc>
      </w:tr>
      <w:tr w:rsidR="003A0C5C" w:rsidRPr="003A0C5C" w14:paraId="6EDE84AF" w14:textId="77777777" w:rsidTr="005C0B7A">
        <w:trPr>
          <w:cantSplit/>
        </w:trPr>
        <w:tc>
          <w:tcPr>
            <w:tcW w:w="0" w:type="auto"/>
          </w:tcPr>
          <w:p w14:paraId="1CC4B8F9" w14:textId="6B652993" w:rsidR="005C0B7A" w:rsidRPr="003A0C5C" w:rsidRDefault="005C0B7A" w:rsidP="005C0B7A">
            <w:pPr>
              <w:pStyle w:val="Tabletextnumber"/>
            </w:pPr>
            <w:r w:rsidRPr="003A0C5C">
              <w:rPr>
                <w:rFonts w:cs="Arial"/>
                <w:szCs w:val="16"/>
              </w:rPr>
              <w:t>d)</w:t>
            </w:r>
            <w:r w:rsidRPr="003A0C5C">
              <w:rPr>
                <w:rFonts w:cs="Arial"/>
                <w:szCs w:val="16"/>
              </w:rPr>
              <w:tab/>
              <w:t>Interfere substantially with the movement of any native resident or migratory fish or wildlife species or with established native resident or migratory wildlife corridors, or impede the use of native wildlife nursery sites?</w:t>
            </w:r>
          </w:p>
        </w:tc>
        <w:tc>
          <w:tcPr>
            <w:tcW w:w="0" w:type="auto"/>
          </w:tcPr>
          <w:p w14:paraId="41F8ED2B" w14:textId="77777777" w:rsidR="005C0B7A" w:rsidRPr="003A0C5C" w:rsidRDefault="002348BC" w:rsidP="005C0B7A">
            <w:pPr>
              <w:pStyle w:val="Checklist"/>
              <w:rPr>
                <w:sz w:val="20"/>
              </w:rPr>
            </w:pPr>
            <w:sdt>
              <w:sdtPr>
                <w:id w:val="1940410199"/>
                <w14:checkbox>
                  <w14:checked w14:val="0"/>
                  <w14:checkedState w14:val="2612" w14:font="MS Gothic"/>
                  <w14:uncheckedState w14:val="2610" w14:font="MS Gothic"/>
                </w14:checkbox>
              </w:sdtPr>
              <w:sdtEndPr/>
              <w:sdtContent>
                <w:r w:rsidR="005C0B7A" w:rsidRPr="003A0C5C">
                  <w:t>☐</w:t>
                </w:r>
              </w:sdtContent>
            </w:sdt>
          </w:p>
        </w:tc>
        <w:tc>
          <w:tcPr>
            <w:tcW w:w="0" w:type="auto"/>
          </w:tcPr>
          <w:p w14:paraId="05AF53C1" w14:textId="2CD27A94" w:rsidR="005C0B7A" w:rsidRPr="003A0C5C" w:rsidRDefault="002348BC" w:rsidP="005C0B7A">
            <w:pPr>
              <w:pStyle w:val="Checklist"/>
              <w:rPr>
                <w:sz w:val="20"/>
              </w:rPr>
            </w:pPr>
            <w:sdt>
              <w:sdtPr>
                <w:id w:val="317079105"/>
                <w14:checkbox>
                  <w14:checked w14:val="1"/>
                  <w14:checkedState w14:val="2612" w14:font="MS Gothic"/>
                  <w14:uncheckedState w14:val="2610" w14:font="MS Gothic"/>
                </w14:checkbox>
              </w:sdtPr>
              <w:sdtEndPr/>
              <w:sdtContent>
                <w:r w:rsidR="0077580A" w:rsidRPr="003A0C5C">
                  <w:rPr>
                    <w:rFonts w:hint="eastAsia"/>
                  </w:rPr>
                  <w:t>☒</w:t>
                </w:r>
              </w:sdtContent>
            </w:sdt>
          </w:p>
        </w:tc>
        <w:tc>
          <w:tcPr>
            <w:tcW w:w="0" w:type="auto"/>
          </w:tcPr>
          <w:p w14:paraId="322CD161" w14:textId="56EAE935" w:rsidR="005C0B7A" w:rsidRPr="003A0C5C" w:rsidRDefault="002348BC" w:rsidP="005C0B7A">
            <w:pPr>
              <w:pStyle w:val="Checklist"/>
              <w:rPr>
                <w:sz w:val="20"/>
              </w:rPr>
            </w:pPr>
            <w:sdt>
              <w:sdtPr>
                <w:id w:val="-1769308683"/>
                <w14:checkbox>
                  <w14:checked w14:val="0"/>
                  <w14:checkedState w14:val="2612" w14:font="MS Gothic"/>
                  <w14:uncheckedState w14:val="2610" w14:font="MS Gothic"/>
                </w14:checkbox>
              </w:sdtPr>
              <w:sdtEndPr/>
              <w:sdtContent>
                <w:r w:rsidR="005C0B7A" w:rsidRPr="003A0C5C">
                  <w:rPr>
                    <w:rFonts w:hint="eastAsia"/>
                  </w:rPr>
                  <w:t>☐</w:t>
                </w:r>
              </w:sdtContent>
            </w:sdt>
          </w:p>
        </w:tc>
        <w:tc>
          <w:tcPr>
            <w:tcW w:w="0" w:type="auto"/>
          </w:tcPr>
          <w:p w14:paraId="7C694DE7" w14:textId="3288D1FD" w:rsidR="005C0B7A" w:rsidRPr="003A0C5C" w:rsidRDefault="002348BC" w:rsidP="005C0B7A">
            <w:pPr>
              <w:pStyle w:val="Checklist"/>
              <w:rPr>
                <w:sz w:val="20"/>
              </w:rPr>
            </w:pPr>
            <w:sdt>
              <w:sdtPr>
                <w:id w:val="-2136702907"/>
                <w14:checkbox>
                  <w14:checked w14:val="0"/>
                  <w14:checkedState w14:val="2612" w14:font="MS Gothic"/>
                  <w14:uncheckedState w14:val="2610" w14:font="MS Gothic"/>
                </w14:checkbox>
              </w:sdtPr>
              <w:sdtEndPr/>
              <w:sdtContent>
                <w:r w:rsidR="0077580A" w:rsidRPr="003A0C5C">
                  <w:rPr>
                    <w:rFonts w:hint="eastAsia"/>
                  </w:rPr>
                  <w:t>☐</w:t>
                </w:r>
              </w:sdtContent>
            </w:sdt>
          </w:p>
        </w:tc>
      </w:tr>
      <w:tr w:rsidR="003A0C5C" w:rsidRPr="003A0C5C" w14:paraId="29275A6D" w14:textId="77777777" w:rsidTr="005C0B7A">
        <w:trPr>
          <w:cantSplit/>
        </w:trPr>
        <w:tc>
          <w:tcPr>
            <w:tcW w:w="0" w:type="auto"/>
          </w:tcPr>
          <w:p w14:paraId="1D1F8944" w14:textId="22F8DC46" w:rsidR="005C0B7A" w:rsidRPr="003A0C5C" w:rsidRDefault="005C0B7A" w:rsidP="005C0B7A">
            <w:pPr>
              <w:pStyle w:val="Tabletextnumber"/>
            </w:pPr>
            <w:r w:rsidRPr="003A0C5C">
              <w:rPr>
                <w:rFonts w:cs="Arial"/>
                <w:szCs w:val="16"/>
              </w:rPr>
              <w:t>e)</w:t>
            </w:r>
            <w:r w:rsidRPr="003A0C5C">
              <w:rPr>
                <w:rFonts w:cs="Arial"/>
                <w:szCs w:val="16"/>
              </w:rPr>
              <w:tab/>
              <w:t>Conflict with any local policies or ordinances protecting biological resources, such as a tree preservation policy or ordinance?</w:t>
            </w:r>
          </w:p>
        </w:tc>
        <w:tc>
          <w:tcPr>
            <w:tcW w:w="0" w:type="auto"/>
          </w:tcPr>
          <w:p w14:paraId="5DE1C640" w14:textId="77777777" w:rsidR="005C0B7A" w:rsidRPr="003A0C5C" w:rsidRDefault="002348BC" w:rsidP="005C0B7A">
            <w:pPr>
              <w:pStyle w:val="Checklist"/>
              <w:rPr>
                <w:sz w:val="20"/>
              </w:rPr>
            </w:pPr>
            <w:sdt>
              <w:sdtPr>
                <w:id w:val="1479426685"/>
                <w14:checkbox>
                  <w14:checked w14:val="0"/>
                  <w14:checkedState w14:val="2612" w14:font="MS Gothic"/>
                  <w14:uncheckedState w14:val="2610" w14:font="MS Gothic"/>
                </w14:checkbox>
              </w:sdtPr>
              <w:sdtEndPr/>
              <w:sdtContent>
                <w:r w:rsidR="005C0B7A" w:rsidRPr="003A0C5C">
                  <w:t>☐</w:t>
                </w:r>
              </w:sdtContent>
            </w:sdt>
          </w:p>
        </w:tc>
        <w:tc>
          <w:tcPr>
            <w:tcW w:w="0" w:type="auto"/>
          </w:tcPr>
          <w:p w14:paraId="397F6934" w14:textId="77777777" w:rsidR="005C0B7A" w:rsidRPr="003A0C5C" w:rsidRDefault="002348BC" w:rsidP="005C0B7A">
            <w:pPr>
              <w:pStyle w:val="Checklist"/>
              <w:rPr>
                <w:sz w:val="20"/>
              </w:rPr>
            </w:pPr>
            <w:sdt>
              <w:sdtPr>
                <w:id w:val="205927700"/>
                <w14:checkbox>
                  <w14:checked w14:val="0"/>
                  <w14:checkedState w14:val="2612" w14:font="MS Gothic"/>
                  <w14:uncheckedState w14:val="2610" w14:font="MS Gothic"/>
                </w14:checkbox>
              </w:sdtPr>
              <w:sdtEndPr/>
              <w:sdtContent>
                <w:r w:rsidR="005C0B7A" w:rsidRPr="003A0C5C">
                  <w:t>☐</w:t>
                </w:r>
              </w:sdtContent>
            </w:sdt>
          </w:p>
        </w:tc>
        <w:tc>
          <w:tcPr>
            <w:tcW w:w="0" w:type="auto"/>
          </w:tcPr>
          <w:p w14:paraId="67F3D591" w14:textId="011B3F83" w:rsidR="005C0B7A" w:rsidRPr="003A0C5C" w:rsidRDefault="002348BC" w:rsidP="005C0B7A">
            <w:pPr>
              <w:pStyle w:val="Checklist"/>
              <w:rPr>
                <w:sz w:val="20"/>
              </w:rPr>
            </w:pPr>
            <w:sdt>
              <w:sdtPr>
                <w:id w:val="-1753268640"/>
                <w14:checkbox>
                  <w14:checked w14:val="0"/>
                  <w14:checkedState w14:val="2612" w14:font="MS Gothic"/>
                  <w14:uncheckedState w14:val="2610" w14:font="MS Gothic"/>
                </w14:checkbox>
              </w:sdtPr>
              <w:sdtEndPr/>
              <w:sdtContent>
                <w:r w:rsidR="005C0B7A" w:rsidRPr="003A0C5C">
                  <w:rPr>
                    <w:rFonts w:hint="eastAsia"/>
                  </w:rPr>
                  <w:t>☐</w:t>
                </w:r>
              </w:sdtContent>
            </w:sdt>
          </w:p>
        </w:tc>
        <w:tc>
          <w:tcPr>
            <w:tcW w:w="0" w:type="auto"/>
          </w:tcPr>
          <w:p w14:paraId="1055082D" w14:textId="00E369EC" w:rsidR="005C0B7A" w:rsidRPr="003A0C5C" w:rsidRDefault="002348BC" w:rsidP="005C0B7A">
            <w:pPr>
              <w:pStyle w:val="Checklist"/>
              <w:rPr>
                <w:sz w:val="20"/>
              </w:rPr>
            </w:pPr>
            <w:sdt>
              <w:sdtPr>
                <w:id w:val="1252403029"/>
                <w14:checkbox>
                  <w14:checked w14:val="1"/>
                  <w14:checkedState w14:val="2612" w14:font="MS Gothic"/>
                  <w14:uncheckedState w14:val="2610" w14:font="MS Gothic"/>
                </w14:checkbox>
              </w:sdtPr>
              <w:sdtEndPr/>
              <w:sdtContent>
                <w:r w:rsidR="005C0B7A" w:rsidRPr="003A0C5C">
                  <w:rPr>
                    <w:rFonts w:hint="eastAsia"/>
                  </w:rPr>
                  <w:t>☒</w:t>
                </w:r>
              </w:sdtContent>
            </w:sdt>
          </w:p>
        </w:tc>
      </w:tr>
      <w:tr w:rsidR="005C0B7A" w:rsidRPr="003A0C5C" w14:paraId="5F2767AE" w14:textId="77777777" w:rsidTr="005C0B7A">
        <w:trPr>
          <w:cantSplit/>
        </w:trPr>
        <w:tc>
          <w:tcPr>
            <w:tcW w:w="0" w:type="auto"/>
          </w:tcPr>
          <w:p w14:paraId="563CFFCF" w14:textId="5216E22A" w:rsidR="005C0B7A" w:rsidRPr="003A0C5C" w:rsidRDefault="005C0B7A" w:rsidP="005C0B7A">
            <w:pPr>
              <w:pStyle w:val="Tabletextnumber"/>
            </w:pPr>
            <w:r w:rsidRPr="003A0C5C">
              <w:rPr>
                <w:rFonts w:cs="Arial"/>
                <w:szCs w:val="16"/>
              </w:rPr>
              <w:t>f)</w:t>
            </w:r>
            <w:r w:rsidRPr="003A0C5C">
              <w:rPr>
                <w:rFonts w:cs="Arial"/>
                <w:szCs w:val="16"/>
              </w:rPr>
              <w:tab/>
              <w:t>Conflict with the provisions of an adopted Habitat Conservation Plan, Natural Community Conservation Plan, or other approved local, regional, or state habitat conservation plan?</w:t>
            </w:r>
          </w:p>
        </w:tc>
        <w:tc>
          <w:tcPr>
            <w:tcW w:w="0" w:type="auto"/>
          </w:tcPr>
          <w:p w14:paraId="7D2E8721" w14:textId="77777777" w:rsidR="005C0B7A" w:rsidRPr="003A0C5C" w:rsidRDefault="002348BC" w:rsidP="005C0B7A">
            <w:pPr>
              <w:pStyle w:val="Checklist"/>
              <w:rPr>
                <w:sz w:val="20"/>
              </w:rPr>
            </w:pPr>
            <w:sdt>
              <w:sdtPr>
                <w:id w:val="-992103085"/>
                <w14:checkbox>
                  <w14:checked w14:val="0"/>
                  <w14:checkedState w14:val="2612" w14:font="MS Gothic"/>
                  <w14:uncheckedState w14:val="2610" w14:font="MS Gothic"/>
                </w14:checkbox>
              </w:sdtPr>
              <w:sdtEndPr/>
              <w:sdtContent>
                <w:r w:rsidR="005C0B7A" w:rsidRPr="003A0C5C">
                  <w:t>☐</w:t>
                </w:r>
              </w:sdtContent>
            </w:sdt>
          </w:p>
        </w:tc>
        <w:tc>
          <w:tcPr>
            <w:tcW w:w="0" w:type="auto"/>
          </w:tcPr>
          <w:p w14:paraId="7D030282" w14:textId="77777777" w:rsidR="005C0B7A" w:rsidRPr="003A0C5C" w:rsidRDefault="002348BC" w:rsidP="005C0B7A">
            <w:pPr>
              <w:pStyle w:val="Checklist"/>
              <w:rPr>
                <w:sz w:val="20"/>
              </w:rPr>
            </w:pPr>
            <w:sdt>
              <w:sdtPr>
                <w:id w:val="-1962717391"/>
                <w14:checkbox>
                  <w14:checked w14:val="0"/>
                  <w14:checkedState w14:val="2612" w14:font="MS Gothic"/>
                  <w14:uncheckedState w14:val="2610" w14:font="MS Gothic"/>
                </w14:checkbox>
              </w:sdtPr>
              <w:sdtEndPr/>
              <w:sdtContent>
                <w:r w:rsidR="005C0B7A" w:rsidRPr="003A0C5C">
                  <w:t>☐</w:t>
                </w:r>
              </w:sdtContent>
            </w:sdt>
          </w:p>
        </w:tc>
        <w:tc>
          <w:tcPr>
            <w:tcW w:w="0" w:type="auto"/>
          </w:tcPr>
          <w:p w14:paraId="77842970" w14:textId="1608B0C6" w:rsidR="005C0B7A" w:rsidRPr="003A0C5C" w:rsidRDefault="002348BC" w:rsidP="005C0B7A">
            <w:pPr>
              <w:pStyle w:val="Checklist"/>
              <w:rPr>
                <w:sz w:val="20"/>
              </w:rPr>
            </w:pPr>
            <w:sdt>
              <w:sdtPr>
                <w:id w:val="1867553607"/>
                <w14:checkbox>
                  <w14:checked w14:val="0"/>
                  <w14:checkedState w14:val="2612" w14:font="MS Gothic"/>
                  <w14:uncheckedState w14:val="2610" w14:font="MS Gothic"/>
                </w14:checkbox>
              </w:sdtPr>
              <w:sdtEndPr/>
              <w:sdtContent>
                <w:r w:rsidR="005C0B7A" w:rsidRPr="003A0C5C">
                  <w:rPr>
                    <w:rFonts w:hint="eastAsia"/>
                  </w:rPr>
                  <w:t>☐</w:t>
                </w:r>
              </w:sdtContent>
            </w:sdt>
          </w:p>
        </w:tc>
        <w:tc>
          <w:tcPr>
            <w:tcW w:w="0" w:type="auto"/>
          </w:tcPr>
          <w:p w14:paraId="2436A367" w14:textId="4B7D49F4" w:rsidR="005C0B7A" w:rsidRPr="003A0C5C" w:rsidRDefault="002348BC" w:rsidP="005C0B7A">
            <w:pPr>
              <w:pStyle w:val="Checklist"/>
              <w:rPr>
                <w:sz w:val="20"/>
              </w:rPr>
            </w:pPr>
            <w:sdt>
              <w:sdtPr>
                <w:id w:val="1152953269"/>
                <w14:checkbox>
                  <w14:checked w14:val="1"/>
                  <w14:checkedState w14:val="2612" w14:font="MS Gothic"/>
                  <w14:uncheckedState w14:val="2610" w14:font="MS Gothic"/>
                </w14:checkbox>
              </w:sdtPr>
              <w:sdtEndPr/>
              <w:sdtContent>
                <w:r w:rsidR="007A0761" w:rsidRPr="003A0C5C">
                  <w:rPr>
                    <w:rFonts w:hint="eastAsia"/>
                  </w:rPr>
                  <w:t>☒</w:t>
                </w:r>
              </w:sdtContent>
            </w:sdt>
          </w:p>
        </w:tc>
      </w:tr>
    </w:tbl>
    <w:p w14:paraId="330F4FE5" w14:textId="77777777" w:rsidR="00957C8B" w:rsidRPr="003A0C5C" w:rsidRDefault="00957C8B" w:rsidP="00957C8B">
      <w:pPr>
        <w:pStyle w:val="TableNotes"/>
        <w:rPr>
          <w:highlight w:val="yellow"/>
        </w:rPr>
      </w:pPr>
    </w:p>
    <w:p w14:paraId="708FACF7" w14:textId="33547E6F" w:rsidR="00327982" w:rsidRPr="003A0C5C" w:rsidRDefault="00327982" w:rsidP="00327982">
      <w:pPr>
        <w:pStyle w:val="12space"/>
        <w:keepNext/>
        <w:spacing w:after="180"/>
      </w:pPr>
      <w:r w:rsidRPr="003A0C5C">
        <w:t xml:space="preserve">This section is based in part on the 21611 Perry Street Self Storage Project Memorandum (Biological Resources Memorandum), prepared by Environmental Science Associates (ESA), dated December 2021 (refer to </w:t>
      </w:r>
      <w:r w:rsidR="007654F1" w:rsidRPr="003A0C5C">
        <w:rPr>
          <w:b/>
          <w:bCs/>
        </w:rPr>
        <w:t>Appendix</w:t>
      </w:r>
      <w:r w:rsidRPr="003A0C5C">
        <w:rPr>
          <w:b/>
          <w:bCs/>
        </w:rPr>
        <w:t xml:space="preserve"> </w:t>
      </w:r>
      <w:r w:rsidR="007654F1" w:rsidRPr="003A0C5C">
        <w:rPr>
          <w:b/>
          <w:bCs/>
        </w:rPr>
        <w:t>B</w:t>
      </w:r>
      <w:r w:rsidRPr="003A0C5C">
        <w:t xml:space="preserve"> of this IS/MND)</w:t>
      </w:r>
      <w:r w:rsidR="00E24F4E" w:rsidRPr="003A0C5C">
        <w:t>.</w:t>
      </w:r>
    </w:p>
    <w:p w14:paraId="6D78CFF1" w14:textId="77777777" w:rsidR="00957C8B" w:rsidRPr="003A0C5C" w:rsidRDefault="00957C8B" w:rsidP="00957C8B">
      <w:pPr>
        <w:pStyle w:val="Heading5"/>
      </w:pPr>
      <w:r w:rsidRPr="003A0C5C">
        <w:t>Discussion</w:t>
      </w:r>
    </w:p>
    <w:p w14:paraId="7B6ABF7C" w14:textId="36E240A4" w:rsidR="00F92AE1" w:rsidRPr="003A0C5C" w:rsidRDefault="004F426E" w:rsidP="0039366F">
      <w:pPr>
        <w:pStyle w:val="12spaceindent"/>
        <w:rPr>
          <w:highlight w:val="yellow"/>
        </w:rPr>
      </w:pPr>
      <w:r w:rsidRPr="003A0C5C">
        <w:t>a)</w:t>
      </w:r>
      <w:r w:rsidRPr="003A0C5C">
        <w:tab/>
      </w:r>
      <w:r w:rsidR="00A25CDE" w:rsidRPr="003A0C5C">
        <w:t xml:space="preserve">The project site is located within the City of Carson in an urbanized area on two parcels, which </w:t>
      </w:r>
      <w:r w:rsidR="00800E0F" w:rsidRPr="003A0C5C">
        <w:t>are</w:t>
      </w:r>
      <w:r w:rsidR="00A25CDE" w:rsidRPr="003A0C5C">
        <w:t xml:space="preserve"> currently vacant and undeveloped. </w:t>
      </w:r>
      <w:r w:rsidR="00800E0F" w:rsidRPr="003A0C5C">
        <w:rPr>
          <w:rFonts w:eastAsia="Calibri"/>
        </w:rPr>
        <w:t xml:space="preserve">The </w:t>
      </w:r>
      <w:r w:rsidR="00196A76" w:rsidRPr="003A0C5C">
        <w:rPr>
          <w:rFonts w:eastAsia="Calibri"/>
        </w:rPr>
        <w:t>project site</w:t>
      </w:r>
      <w:r w:rsidR="00800E0F" w:rsidRPr="003A0C5C">
        <w:rPr>
          <w:rFonts w:eastAsia="Calibri"/>
        </w:rPr>
        <w:t xml:space="preserve"> consists of sparse ruderal vegetation with plantings of carrotwood (</w:t>
      </w:r>
      <w:proofErr w:type="spellStart"/>
      <w:r w:rsidR="00800E0F" w:rsidRPr="003A0C5C">
        <w:rPr>
          <w:rFonts w:eastAsia="Calibri"/>
          <w:i/>
        </w:rPr>
        <w:t>Cupaniopsis</w:t>
      </w:r>
      <w:proofErr w:type="spellEnd"/>
      <w:r w:rsidR="00800E0F" w:rsidRPr="003A0C5C">
        <w:rPr>
          <w:rFonts w:eastAsia="Calibri"/>
          <w:i/>
        </w:rPr>
        <w:t xml:space="preserve"> </w:t>
      </w:r>
      <w:proofErr w:type="spellStart"/>
      <w:r w:rsidR="00800E0F" w:rsidRPr="003A0C5C">
        <w:rPr>
          <w:rFonts w:eastAsia="Calibri"/>
          <w:i/>
        </w:rPr>
        <w:t>anacardioides</w:t>
      </w:r>
      <w:proofErr w:type="spellEnd"/>
      <w:r w:rsidR="00800E0F" w:rsidRPr="003A0C5C">
        <w:rPr>
          <w:rFonts w:eastAsia="Calibri"/>
        </w:rPr>
        <w:t xml:space="preserve">) as street trees along </w:t>
      </w:r>
      <w:r w:rsidR="0030445A" w:rsidRPr="003A0C5C">
        <w:rPr>
          <w:rFonts w:eastAsia="Calibri"/>
        </w:rPr>
        <w:t xml:space="preserve">South </w:t>
      </w:r>
      <w:r w:rsidR="00800E0F" w:rsidRPr="003A0C5C">
        <w:rPr>
          <w:rFonts w:eastAsia="Calibri"/>
        </w:rPr>
        <w:t xml:space="preserve">Perry Street. </w:t>
      </w:r>
      <w:r w:rsidR="006F02E3" w:rsidRPr="003A0C5C">
        <w:t xml:space="preserve">A California Natural Diversity Database (CNDDB) and California Native Plant Society (CNPS) Online Inventory of Rare and Endangered Plants records search was conducted for the project </w:t>
      </w:r>
      <w:r w:rsidR="00662002" w:rsidRPr="003A0C5C">
        <w:t xml:space="preserve">site </w:t>
      </w:r>
      <w:r w:rsidR="006F02E3" w:rsidRPr="003A0C5C">
        <w:t xml:space="preserve">and the results are summarized in the Biological </w:t>
      </w:r>
      <w:r w:rsidR="00327982" w:rsidRPr="003A0C5C">
        <w:t>Resources</w:t>
      </w:r>
      <w:r w:rsidR="006F02E3" w:rsidRPr="003A0C5C">
        <w:t xml:space="preserve"> Memorandum. As discussed therein, the</w:t>
      </w:r>
      <w:r w:rsidR="00AB0C5D" w:rsidRPr="003A0C5C">
        <w:t xml:space="preserve"> project site does not contain suitable habitat for any species identified as a candidate, sensitive, or special-status species in local or regional plans, policies, or regulations, or by the California Department of Fish and Game or U.S. Fish and Wildlife Project</w:t>
      </w:r>
      <w:r w:rsidR="006F02E3" w:rsidRPr="003A0C5C">
        <w:t xml:space="preserve">. The </w:t>
      </w:r>
      <w:r w:rsidR="00327982" w:rsidRPr="003A0C5C">
        <w:t xml:space="preserve">Biological Resources Memorandum </w:t>
      </w:r>
      <w:r w:rsidR="006F02E3" w:rsidRPr="003A0C5C">
        <w:t xml:space="preserve">found that only two special-status plant species were determined to have a low potential to occur within the </w:t>
      </w:r>
      <w:r w:rsidR="00662002" w:rsidRPr="003A0C5C">
        <w:t>project site</w:t>
      </w:r>
      <w:r w:rsidR="00AB0C5D" w:rsidRPr="003A0C5C">
        <w:t xml:space="preserve">. </w:t>
      </w:r>
      <w:r w:rsidRPr="003A0C5C">
        <w:t xml:space="preserve">Therefore, </w:t>
      </w:r>
      <w:r w:rsidR="00800E0F" w:rsidRPr="003A0C5C">
        <w:t>less than significant</w:t>
      </w:r>
      <w:r w:rsidRPr="003A0C5C">
        <w:t xml:space="preserve"> impacts to candidate, sensitive, or </w:t>
      </w:r>
      <w:r w:rsidR="004F220F" w:rsidRPr="003A0C5C">
        <w:t>special-</w:t>
      </w:r>
      <w:r w:rsidRPr="003A0C5C">
        <w:t xml:space="preserve">status species would </w:t>
      </w:r>
      <w:r w:rsidR="005F352E" w:rsidRPr="003A0C5C">
        <w:t>occur,</w:t>
      </w:r>
      <w:r w:rsidRPr="003A0C5C">
        <w:t xml:space="preserve"> and no mitigation measures are required.</w:t>
      </w:r>
    </w:p>
    <w:p w14:paraId="53EC1B70" w14:textId="2B98783C" w:rsidR="004F426E" w:rsidRPr="003A0C5C" w:rsidRDefault="004F426E" w:rsidP="0039366F">
      <w:pPr>
        <w:pStyle w:val="12spaceindent"/>
      </w:pPr>
      <w:r w:rsidRPr="003A0C5C">
        <w:t>b)</w:t>
      </w:r>
      <w:r w:rsidRPr="003A0C5C">
        <w:tab/>
      </w:r>
      <w:r w:rsidR="00800E0F" w:rsidRPr="003A0C5C">
        <w:t>The</w:t>
      </w:r>
      <w:r w:rsidRPr="003A0C5C">
        <w:t xml:space="preserve"> project site and surrounding area are located in a</w:t>
      </w:r>
      <w:r w:rsidR="00CD3F27" w:rsidRPr="003A0C5C">
        <w:t>n</w:t>
      </w:r>
      <w:r w:rsidR="00800E0F" w:rsidRPr="003A0C5C">
        <w:t xml:space="preserve"> urbanized setting. There</w:t>
      </w:r>
      <w:r w:rsidRPr="003A0C5C">
        <w:t xml:space="preserve"> are no drainage channels </w:t>
      </w:r>
      <w:r w:rsidR="00800E0F" w:rsidRPr="003A0C5C">
        <w:t xml:space="preserve">on the project site </w:t>
      </w:r>
      <w:r w:rsidRPr="003A0C5C">
        <w:t xml:space="preserve">to the </w:t>
      </w:r>
      <w:r w:rsidR="00800E0F" w:rsidRPr="003A0C5C">
        <w:t>adjacent</w:t>
      </w:r>
      <w:r w:rsidRPr="003A0C5C">
        <w:t xml:space="preserve"> </w:t>
      </w:r>
      <w:r w:rsidR="00800E0F" w:rsidRPr="003A0C5C">
        <w:t xml:space="preserve">Dominguez Channel. In addition, the project site </w:t>
      </w:r>
      <w:r w:rsidRPr="003A0C5C">
        <w:t xml:space="preserve">does not contain riparian </w:t>
      </w:r>
      <w:r w:rsidR="00800E0F" w:rsidRPr="003A0C5C">
        <w:t>habitat and there</w:t>
      </w:r>
      <w:r w:rsidRPr="003A0C5C">
        <w:t xml:space="preserve"> are no other sensitive natural </w:t>
      </w:r>
      <w:r w:rsidRPr="003A0C5C">
        <w:lastRenderedPageBreak/>
        <w:t>communities as indicated in the City or regional plans or in regulations by the California Department of Fish and Wildlife (CDFW) or U.S. Fish and Wildlife Service (USFWS). Therefore, no impact would occur to riparian habitat or a natural community.</w:t>
      </w:r>
    </w:p>
    <w:p w14:paraId="5E636B45" w14:textId="20D6AEC5" w:rsidR="00F92AE1" w:rsidRPr="003A0C5C" w:rsidRDefault="004F426E" w:rsidP="0039366F">
      <w:pPr>
        <w:pStyle w:val="12spaceindent"/>
      </w:pPr>
      <w:r w:rsidRPr="003A0C5C">
        <w:t>c)</w:t>
      </w:r>
      <w:r w:rsidRPr="003A0C5C">
        <w:tab/>
        <w:t xml:space="preserve">As discussed above, in the response to </w:t>
      </w:r>
      <w:r w:rsidR="0019567A" w:rsidRPr="003A0C5C">
        <w:t>Threshold</w:t>
      </w:r>
      <w:r w:rsidR="004B30F5" w:rsidRPr="003A0C5C">
        <w:t> </w:t>
      </w:r>
      <w:r w:rsidR="000F123E" w:rsidRPr="003A0C5C">
        <w:t>(</w:t>
      </w:r>
      <w:r w:rsidR="004B30F5" w:rsidRPr="003A0C5C">
        <w:t>a</w:t>
      </w:r>
      <w:r w:rsidR="000F123E" w:rsidRPr="003A0C5C">
        <w:t>)</w:t>
      </w:r>
      <w:r w:rsidRPr="003A0C5C">
        <w:t>, the project site is located in a</w:t>
      </w:r>
      <w:r w:rsidR="00CD3F27" w:rsidRPr="003A0C5C">
        <w:t>n</w:t>
      </w:r>
      <w:r w:rsidRPr="003A0C5C">
        <w:t xml:space="preserve"> urbaniz</w:t>
      </w:r>
      <w:r w:rsidR="00DB7A0D" w:rsidRPr="003A0C5C">
        <w:t xml:space="preserve">ed area </w:t>
      </w:r>
      <w:r w:rsidR="00AC5F4F" w:rsidRPr="003A0C5C">
        <w:t xml:space="preserve">on two parcels, which are currently vacant and undeveloped. </w:t>
      </w:r>
      <w:r w:rsidRPr="003A0C5C">
        <w:t xml:space="preserve">The surrounding area has been fully developed with urban uses and associated infrastructure. The project site does not contain any wetlands as defined by </w:t>
      </w:r>
      <w:r w:rsidR="00CD2E2E" w:rsidRPr="003A0C5C">
        <w:t xml:space="preserve">Clean Water Act </w:t>
      </w:r>
      <w:r w:rsidR="00356D58" w:rsidRPr="003A0C5C">
        <w:t>Section </w:t>
      </w:r>
      <w:r w:rsidR="00CD2E2E" w:rsidRPr="003A0C5C">
        <w:t>404</w:t>
      </w:r>
      <w:r w:rsidRPr="003A0C5C">
        <w:t>. Thus, because the project site does not contain any wetland features no impact would occur.</w:t>
      </w:r>
    </w:p>
    <w:p w14:paraId="693508CB" w14:textId="66FB7137" w:rsidR="003D2CB2" w:rsidRPr="003A0C5C" w:rsidRDefault="004F426E" w:rsidP="000F5DF3">
      <w:pPr>
        <w:pStyle w:val="12spaceindent"/>
      </w:pPr>
      <w:r w:rsidRPr="003A0C5C">
        <w:t>d)</w:t>
      </w:r>
      <w:r w:rsidRPr="003A0C5C">
        <w:tab/>
      </w:r>
      <w:r w:rsidR="00A25CDE" w:rsidRPr="003A0C5C">
        <w:t xml:space="preserve">The project site is located within the City of Carson in an urbanized area </w:t>
      </w:r>
      <w:bookmarkStart w:id="58" w:name="_Hlk89043549"/>
      <w:r w:rsidR="00A25CDE" w:rsidRPr="003A0C5C">
        <w:t xml:space="preserve">on two parcels, which are currently vacant and undeveloped. </w:t>
      </w:r>
      <w:bookmarkEnd w:id="58"/>
      <w:r w:rsidR="00800E0F" w:rsidRPr="003A0C5C">
        <w:t xml:space="preserve">As described above under response to Threshold </w:t>
      </w:r>
      <w:r w:rsidR="000F123E" w:rsidRPr="003A0C5C">
        <w:t>(</w:t>
      </w:r>
      <w:r w:rsidR="0054774E" w:rsidRPr="003A0C5C">
        <w:t>a</w:t>
      </w:r>
      <w:r w:rsidR="000F123E" w:rsidRPr="003A0C5C">
        <w:t>)</w:t>
      </w:r>
      <w:r w:rsidR="00800E0F" w:rsidRPr="003A0C5C">
        <w:t>,</w:t>
      </w:r>
      <w:r w:rsidR="0054774E" w:rsidRPr="003A0C5C">
        <w:t xml:space="preserve"> above,</w:t>
      </w:r>
      <w:r w:rsidR="00800E0F" w:rsidRPr="003A0C5C">
        <w:t xml:space="preserve"> </w:t>
      </w:r>
      <w:r w:rsidR="00196A76" w:rsidRPr="003A0C5C">
        <w:rPr>
          <w:rFonts w:eastAsia="Calibri"/>
        </w:rPr>
        <w:t>the project site</w:t>
      </w:r>
      <w:r w:rsidR="00800E0F" w:rsidRPr="003A0C5C">
        <w:rPr>
          <w:rFonts w:eastAsia="Calibri"/>
        </w:rPr>
        <w:t xml:space="preserve"> consists of sparse ruderal vegetation with plantings of carrotwood (</w:t>
      </w:r>
      <w:proofErr w:type="spellStart"/>
      <w:r w:rsidR="00800E0F" w:rsidRPr="003A0C5C">
        <w:rPr>
          <w:rFonts w:eastAsia="Calibri"/>
          <w:i/>
        </w:rPr>
        <w:t>Cupaniopsis</w:t>
      </w:r>
      <w:proofErr w:type="spellEnd"/>
      <w:r w:rsidR="00800E0F" w:rsidRPr="003A0C5C">
        <w:rPr>
          <w:rFonts w:eastAsia="Calibri"/>
          <w:i/>
        </w:rPr>
        <w:t xml:space="preserve"> </w:t>
      </w:r>
      <w:proofErr w:type="spellStart"/>
      <w:r w:rsidR="00800E0F" w:rsidRPr="003A0C5C">
        <w:rPr>
          <w:rFonts w:eastAsia="Calibri"/>
          <w:i/>
        </w:rPr>
        <w:t>anacardioides</w:t>
      </w:r>
      <w:proofErr w:type="spellEnd"/>
      <w:r w:rsidR="00800E0F" w:rsidRPr="003A0C5C">
        <w:rPr>
          <w:rFonts w:eastAsia="Calibri"/>
        </w:rPr>
        <w:t xml:space="preserve">) as street trees along </w:t>
      </w:r>
      <w:r w:rsidR="0030445A" w:rsidRPr="003A0C5C">
        <w:rPr>
          <w:rFonts w:eastAsia="Calibri"/>
        </w:rPr>
        <w:t xml:space="preserve">South </w:t>
      </w:r>
      <w:r w:rsidR="00800E0F" w:rsidRPr="003A0C5C">
        <w:rPr>
          <w:rFonts w:eastAsia="Calibri"/>
        </w:rPr>
        <w:t>Perry Street. The street tree, which</w:t>
      </w:r>
      <w:r w:rsidR="003D2CB2" w:rsidRPr="003A0C5C">
        <w:t xml:space="preserve"> are </w:t>
      </w:r>
      <w:r w:rsidR="00800E0F" w:rsidRPr="003A0C5C">
        <w:t xml:space="preserve">not </w:t>
      </w:r>
      <w:r w:rsidR="003D2CB2" w:rsidRPr="003A0C5C">
        <w:t xml:space="preserve">native or protected as defined by CMC </w:t>
      </w:r>
      <w:r w:rsidR="00356D58" w:rsidRPr="003A0C5C">
        <w:t>Section </w:t>
      </w:r>
      <w:r w:rsidR="003D2CB2" w:rsidRPr="003A0C5C">
        <w:t>3901</w:t>
      </w:r>
      <w:r w:rsidR="00800E0F" w:rsidRPr="003A0C5C">
        <w:t xml:space="preserve">, may be removed as part of this </w:t>
      </w:r>
      <w:r w:rsidR="00057C25" w:rsidRPr="003A0C5C">
        <w:t xml:space="preserve">proposed </w:t>
      </w:r>
      <w:r w:rsidR="00800E0F" w:rsidRPr="003A0C5C">
        <w:t>project</w:t>
      </w:r>
      <w:r w:rsidR="003D2CB2" w:rsidRPr="003A0C5C">
        <w:t xml:space="preserve">. However, these </w:t>
      </w:r>
      <w:r w:rsidR="00800E0F" w:rsidRPr="003A0C5C">
        <w:t xml:space="preserve">street </w:t>
      </w:r>
      <w:r w:rsidR="003D2CB2" w:rsidRPr="003A0C5C">
        <w:t xml:space="preserve">trees have the potential to provide suitable nesting habitat for migratory birds and raptors protected under the Federal Migratory Bird Treaty Act (MBTA) and the California Fish and Game Code. The MBTA and California Fish and Game Code prohibit the take or destruction of migratory birds/raptors, their nests, and/or eggs. Impacts on nesting birds protected by the MBTA and similar provisions of the Fish and Game Code could occur if work is conducted during the breeding season (February 1 through August 15). However, the </w:t>
      </w:r>
      <w:r w:rsidR="00196A76" w:rsidRPr="003A0C5C">
        <w:t xml:space="preserve">proposed </w:t>
      </w:r>
      <w:r w:rsidR="003D2CB2" w:rsidRPr="003A0C5C">
        <w:t xml:space="preserve">project </w:t>
      </w:r>
      <w:r w:rsidR="007A0761" w:rsidRPr="003A0C5C">
        <w:t xml:space="preserve">would </w:t>
      </w:r>
      <w:r w:rsidR="003D2CB2" w:rsidRPr="003A0C5C">
        <w:t>adhere to all existing laws and regulations, including compliance with the MBTA</w:t>
      </w:r>
      <w:r w:rsidR="00EF3F3B" w:rsidRPr="003A0C5C">
        <w:t xml:space="preserve"> as provided in Mitigation Measure MM-BIO-1</w:t>
      </w:r>
      <w:r w:rsidR="00E720FC" w:rsidRPr="003A0C5C">
        <w:t xml:space="preserve">, which </w:t>
      </w:r>
      <w:r w:rsidR="007A0761" w:rsidRPr="003A0C5C">
        <w:t xml:space="preserve">would </w:t>
      </w:r>
      <w:r w:rsidR="00E720FC" w:rsidRPr="003A0C5C">
        <w:t>minimize any potential impacts to migratory birds or raptors as a result of tree removal</w:t>
      </w:r>
      <w:r w:rsidR="003D2CB2" w:rsidRPr="003A0C5C">
        <w:t>.</w:t>
      </w:r>
      <w:r w:rsidR="000F5DF3" w:rsidRPr="003A0C5C">
        <w:t xml:space="preserve"> </w:t>
      </w:r>
    </w:p>
    <w:p w14:paraId="04B17073" w14:textId="712362C8" w:rsidR="00EF3F3B" w:rsidRPr="003A0C5C" w:rsidRDefault="003D2CB2" w:rsidP="004F5AE5">
      <w:pPr>
        <w:pStyle w:val="12spaceindentcontinue"/>
      </w:pPr>
      <w:r w:rsidRPr="003A0C5C">
        <w:t>In addition, d</w:t>
      </w:r>
      <w:r w:rsidR="004F426E" w:rsidRPr="003A0C5C">
        <w:t xml:space="preserve">ue to the urbanized nature of the </w:t>
      </w:r>
      <w:r w:rsidR="009D3E0A" w:rsidRPr="003A0C5C">
        <w:t>p</w:t>
      </w:r>
      <w:r w:rsidR="004F426E" w:rsidRPr="003A0C5C">
        <w:t xml:space="preserve">roject </w:t>
      </w:r>
      <w:r w:rsidR="009D3E0A" w:rsidRPr="003A0C5C">
        <w:t>s</w:t>
      </w:r>
      <w:r w:rsidR="004F426E" w:rsidRPr="003A0C5C">
        <w:t xml:space="preserve">ite and surrounding area, the lack of a major water body, and the lack of natural open space area on the </w:t>
      </w:r>
      <w:r w:rsidR="009D3E0A" w:rsidRPr="003A0C5C">
        <w:t>p</w:t>
      </w:r>
      <w:r w:rsidR="004F426E" w:rsidRPr="003A0C5C">
        <w:t xml:space="preserve">roject </w:t>
      </w:r>
      <w:r w:rsidR="009D3E0A" w:rsidRPr="003A0C5C">
        <w:t>s</w:t>
      </w:r>
      <w:r w:rsidR="004F426E" w:rsidRPr="003A0C5C">
        <w:t xml:space="preserve">ite, the </w:t>
      </w:r>
      <w:r w:rsidR="000B225C" w:rsidRPr="003A0C5C">
        <w:t xml:space="preserve">project </w:t>
      </w:r>
      <w:r w:rsidR="004F426E" w:rsidRPr="003A0C5C">
        <w:t xml:space="preserve">site does not </w:t>
      </w:r>
      <w:r w:rsidRPr="003A0C5C">
        <w:t xml:space="preserve">otherwise </w:t>
      </w:r>
      <w:r w:rsidR="004F426E" w:rsidRPr="003A0C5C">
        <w:t xml:space="preserve">contain substantial habitat for native resident or migratory species, or native nursery sites. Therefore, the </w:t>
      </w:r>
      <w:r w:rsidR="00C10216" w:rsidRPr="003A0C5C">
        <w:t xml:space="preserve">proposed </w:t>
      </w:r>
      <w:r w:rsidR="004F426E" w:rsidRPr="003A0C5C">
        <w:t>project would not interfere with the movement of any native resident or migratory fish or wildlife species or with established native resident or migratory wildlife corridors, or impede the use of native wildlife nursery sites, and no impact would occur.</w:t>
      </w:r>
      <w:r w:rsidR="00EF3F3B" w:rsidRPr="003A0C5C">
        <w:t xml:space="preserve"> Mitigation Measure MM-</w:t>
      </w:r>
      <w:r w:rsidR="004F5AE5" w:rsidRPr="003A0C5C">
        <w:t>BIO</w:t>
      </w:r>
      <w:r w:rsidR="00EF3F3B" w:rsidRPr="003A0C5C">
        <w:t xml:space="preserve">-1 is identified to ensure that potentially significant impacts to </w:t>
      </w:r>
      <w:r w:rsidR="004F5AE5" w:rsidRPr="003A0C5C">
        <w:t>migratory birds or raptors</w:t>
      </w:r>
      <w:r w:rsidR="00EF3F3B" w:rsidRPr="003A0C5C">
        <w:t xml:space="preserve"> are reduced to a less-than-significant level.</w:t>
      </w:r>
    </w:p>
    <w:p w14:paraId="01B7B469" w14:textId="66D5A1E5" w:rsidR="00EF3F3B" w:rsidRPr="003A0C5C" w:rsidRDefault="00EF3F3B" w:rsidP="00EF3F3B">
      <w:pPr>
        <w:pStyle w:val="Heading6"/>
        <w:ind w:left="720"/>
      </w:pPr>
      <w:r w:rsidRPr="003A0C5C">
        <w:t>Mitigation Measure</w:t>
      </w:r>
    </w:p>
    <w:p w14:paraId="0A930A95" w14:textId="393BCF35" w:rsidR="00EF3F3B" w:rsidRPr="003A0C5C" w:rsidRDefault="004F5AE5" w:rsidP="00A52381">
      <w:pPr>
        <w:pStyle w:val="Mitigation"/>
      </w:pPr>
      <w:r w:rsidRPr="003A0C5C">
        <w:rPr>
          <w:rStyle w:val="Bold"/>
        </w:rPr>
        <w:t>MM-BIO-1.</w:t>
      </w:r>
      <w:r w:rsidRPr="003A0C5C">
        <w:t xml:space="preserve"> Pre-construction (vegetation removal) avian nesting surveys shall be conducted during the breeding season. A qualified avian biologist shall conduct these surveys within 7 days of vegetation and tree removal. The surveying biologist must be qualified to determine the species, status, and nesting stage without causing intrusive disturbance. The survey shall cover all reasonably potential nesting locations on and within 300 feet of the project site. If active nests are found, a no-disturbance buffer (300 feet for raptors and 50 feet for other birds, or as otherwise determined in consultation with CDFW shall be created around the active nests. If construction is scheduled to occur during the </w:t>
      </w:r>
      <w:r w:rsidRPr="003A0C5C">
        <w:lastRenderedPageBreak/>
        <w:t>non-nesting season (August 16 to January 31), no preconstruction surveys or additional measures are required.</w:t>
      </w:r>
    </w:p>
    <w:p w14:paraId="10ED27A1" w14:textId="308716B9" w:rsidR="004F426E" w:rsidRPr="003A0C5C" w:rsidRDefault="004F426E" w:rsidP="00A52381">
      <w:pPr>
        <w:pStyle w:val="12spaceindent"/>
      </w:pPr>
      <w:r w:rsidRPr="003A0C5C">
        <w:t>e)</w:t>
      </w:r>
      <w:r w:rsidRPr="003A0C5C">
        <w:tab/>
        <w:t xml:space="preserve">As discussed above, </w:t>
      </w:r>
      <w:r w:rsidR="007C6727" w:rsidRPr="003A0C5C">
        <w:t xml:space="preserve">the project site is located in an urbanized area of the City of Carson </w:t>
      </w:r>
      <w:r w:rsidR="00A25CDE" w:rsidRPr="003A0C5C">
        <w:t>in an urbanized area, on two parcels</w:t>
      </w:r>
      <w:r w:rsidR="00C532E4" w:rsidRPr="003A0C5C">
        <w:t>,</w:t>
      </w:r>
      <w:r w:rsidR="00A25CDE" w:rsidRPr="003A0C5C">
        <w:t xml:space="preserve"> which are currently vacant and undeveloped</w:t>
      </w:r>
      <w:r w:rsidR="00196A76" w:rsidRPr="003A0C5C">
        <w:t xml:space="preserve">. The potential </w:t>
      </w:r>
      <w:r w:rsidR="003D2CB2" w:rsidRPr="003A0C5C">
        <w:t xml:space="preserve">removal </w:t>
      </w:r>
      <w:r w:rsidR="00E720FC" w:rsidRPr="003A0C5C">
        <w:t xml:space="preserve">of the </w:t>
      </w:r>
      <w:r w:rsidR="00C16515" w:rsidRPr="003A0C5C">
        <w:t xml:space="preserve">non-protected and non-native </w:t>
      </w:r>
      <w:r w:rsidR="00E720FC" w:rsidRPr="003A0C5C">
        <w:t xml:space="preserve">existing </w:t>
      </w:r>
      <w:r w:rsidR="00196A76" w:rsidRPr="003A0C5C">
        <w:t>street</w:t>
      </w:r>
      <w:r w:rsidR="00E720FC" w:rsidRPr="003A0C5C">
        <w:t xml:space="preserve"> trees</w:t>
      </w:r>
      <w:r w:rsidR="003D2CB2" w:rsidRPr="003A0C5C">
        <w:t xml:space="preserve"> would occur </w:t>
      </w:r>
      <w:r w:rsidR="00E720FC" w:rsidRPr="003A0C5C">
        <w:t xml:space="preserve">in compliance with all existing laws and regulations, including the MBTA. </w:t>
      </w:r>
      <w:r w:rsidRPr="003A0C5C">
        <w:t>Thus, the proposed project would not interfere with local biological preservation policies or ordinances and no impact would occur.</w:t>
      </w:r>
    </w:p>
    <w:p w14:paraId="14862099" w14:textId="6068DA57" w:rsidR="000A59A2" w:rsidRPr="003A0C5C" w:rsidRDefault="004F426E" w:rsidP="000A59A2">
      <w:pPr>
        <w:pStyle w:val="12spaceindent"/>
      </w:pPr>
      <w:r w:rsidRPr="003A0C5C">
        <w:t>f)</w:t>
      </w:r>
      <w:r w:rsidRPr="003A0C5C">
        <w:tab/>
        <w:t xml:space="preserve">As discussed above, </w:t>
      </w:r>
      <w:r w:rsidR="00A25CDE" w:rsidRPr="003A0C5C">
        <w:t>the project site is located in an urbanized area of the City of Carson on two parcels</w:t>
      </w:r>
      <w:r w:rsidR="00C532E4" w:rsidRPr="003A0C5C">
        <w:t>,</w:t>
      </w:r>
      <w:r w:rsidR="00A25CDE" w:rsidRPr="003A0C5C">
        <w:t xml:space="preserve"> which are currently </w:t>
      </w:r>
      <w:r w:rsidR="00196A76" w:rsidRPr="003A0C5C">
        <w:t>v</w:t>
      </w:r>
      <w:r w:rsidR="00A25CDE" w:rsidRPr="003A0C5C">
        <w:t xml:space="preserve">acant and undeveloped. </w:t>
      </w:r>
      <w:r w:rsidR="00196A76" w:rsidRPr="003A0C5C">
        <w:t>No</w:t>
      </w:r>
      <w:r w:rsidRPr="003A0C5C">
        <w:t xml:space="preserve"> candidate, sensitive, or special</w:t>
      </w:r>
      <w:r w:rsidR="009A6D3E" w:rsidRPr="003A0C5C">
        <w:t>-</w:t>
      </w:r>
      <w:r w:rsidRPr="003A0C5C">
        <w:t xml:space="preserve">status species habitats occur on or in proximity to the project site. The project site is not located within an area designated within a habitat conservation plan, natural community conservation plan, or other approved local, regional, or State habitat conservation plan (CDFW </w:t>
      </w:r>
      <w:r w:rsidR="00A0585C" w:rsidRPr="003A0C5C">
        <w:t>2022</w:t>
      </w:r>
      <w:r w:rsidRPr="003A0C5C">
        <w:t xml:space="preserve">). Thus, the </w:t>
      </w:r>
      <w:r w:rsidR="00C10216" w:rsidRPr="003A0C5C">
        <w:t xml:space="preserve">proposed </w:t>
      </w:r>
      <w:r w:rsidRPr="003A0C5C">
        <w:t>project would not conflict with the provisions of any adopted conservation plan and no impact would occur.</w:t>
      </w:r>
    </w:p>
    <w:p w14:paraId="789D4314" w14:textId="77777777" w:rsidR="000A59A2" w:rsidRPr="003A0C5C" w:rsidRDefault="000A59A2" w:rsidP="000A59A2">
      <w:pPr>
        <w:pStyle w:val="12spaceindent"/>
        <w:keepNext/>
        <w:spacing w:after="120"/>
        <w:ind w:left="0" w:firstLine="0"/>
        <w:rPr>
          <w:highlight w:val="yellow"/>
        </w:rPr>
      </w:pPr>
    </w:p>
    <w:p w14:paraId="2C2DAE05" w14:textId="77777777" w:rsidR="002B6967" w:rsidRPr="003A0C5C" w:rsidRDefault="002B6967" w:rsidP="002B6967">
      <w:pPr>
        <w:pStyle w:val="ImpactSectionEnd"/>
        <w:rPr>
          <w:highlight w:val="yellow"/>
        </w:rPr>
      </w:pPr>
    </w:p>
    <w:p w14:paraId="6F79C204" w14:textId="77777777" w:rsidR="002B6967" w:rsidRPr="003A0C5C" w:rsidRDefault="002B6967" w:rsidP="002B6967">
      <w:pPr>
        <w:rPr>
          <w:highlight w:val="yellow"/>
        </w:rPr>
      </w:pPr>
      <w:r w:rsidRPr="003A0C5C">
        <w:rPr>
          <w:highlight w:val="yellow"/>
        </w:rPr>
        <w:br w:type="page"/>
      </w:r>
    </w:p>
    <w:p w14:paraId="2D3A5EF3" w14:textId="62961000" w:rsidR="004F426E" w:rsidRPr="003A0C5C" w:rsidRDefault="008B0DDC" w:rsidP="008B0DDC">
      <w:pPr>
        <w:pStyle w:val="Heading4"/>
      </w:pPr>
      <w:bookmarkStart w:id="59" w:name="_Toc101791984"/>
      <w:r w:rsidRPr="003A0C5C">
        <w:lastRenderedPageBreak/>
        <w:t>V.</w:t>
      </w:r>
      <w:r w:rsidRPr="003A0C5C">
        <w:tab/>
      </w:r>
      <w:r w:rsidR="004F426E" w:rsidRPr="003A0C5C">
        <w:t>Cultural Resources</w:t>
      </w:r>
      <w:bookmarkEnd w:id="59"/>
    </w:p>
    <w:tbl>
      <w:tblPr>
        <w:tblW w:w="0" w:type="auto"/>
        <w:tblCellMar>
          <w:left w:w="86" w:type="dxa"/>
          <w:right w:w="86" w:type="dxa"/>
        </w:tblCellMar>
        <w:tblLook w:val="0000" w:firstRow="0" w:lastRow="0" w:firstColumn="0" w:lastColumn="0" w:noHBand="0" w:noVBand="0"/>
      </w:tblPr>
      <w:tblGrid>
        <w:gridCol w:w="5088"/>
        <w:gridCol w:w="888"/>
        <w:gridCol w:w="1152"/>
        <w:gridCol w:w="888"/>
        <w:gridCol w:w="624"/>
      </w:tblGrid>
      <w:tr w:rsidR="003A0C5C" w:rsidRPr="003A0C5C" w14:paraId="157110DA" w14:textId="77777777" w:rsidTr="005C0B7A">
        <w:trPr>
          <w:cantSplit/>
          <w:tblHeader/>
        </w:trPr>
        <w:tc>
          <w:tcPr>
            <w:tcW w:w="0" w:type="auto"/>
            <w:vAlign w:val="bottom"/>
          </w:tcPr>
          <w:p w14:paraId="15F402E4" w14:textId="77777777" w:rsidR="005C0B7A" w:rsidRPr="003A0C5C" w:rsidRDefault="005C0B7A" w:rsidP="005C0B7A">
            <w:pPr>
              <w:keepNext/>
              <w:pBdr>
                <w:bottom w:val="single" w:sz="4" w:space="1" w:color="auto"/>
              </w:pBdr>
              <w:spacing w:before="60" w:after="60"/>
              <w:ind w:left="540" w:hanging="540"/>
              <w:rPr>
                <w:rFonts w:ascii="Arial" w:hAnsi="Arial" w:cs="Arial"/>
                <w:b/>
                <w:i/>
                <w:sz w:val="14"/>
                <w:szCs w:val="16"/>
              </w:rPr>
            </w:pPr>
            <w:r w:rsidRPr="003A0C5C">
              <w:rPr>
                <w:rFonts w:ascii="Arial" w:hAnsi="Arial" w:cs="Arial"/>
                <w:b/>
                <w:i/>
                <w:sz w:val="14"/>
                <w:szCs w:val="16"/>
              </w:rPr>
              <w:t>Issues (and Supporting Information Sources)</w:t>
            </w:r>
          </w:p>
        </w:tc>
        <w:tc>
          <w:tcPr>
            <w:tcW w:w="0" w:type="auto"/>
            <w:vAlign w:val="bottom"/>
          </w:tcPr>
          <w:p w14:paraId="4D1F9EE6" w14:textId="77777777" w:rsidR="005C0B7A" w:rsidRPr="003A0C5C" w:rsidRDefault="005C0B7A" w:rsidP="005C0B7A">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Potentially</w:t>
            </w:r>
            <w:r w:rsidRPr="003A0C5C">
              <w:rPr>
                <w:rFonts w:ascii="Arial" w:hAnsi="Arial" w:cs="Arial"/>
                <w:b/>
                <w:i/>
                <w:sz w:val="14"/>
                <w:szCs w:val="16"/>
              </w:rPr>
              <w:br/>
              <w:t>Significant</w:t>
            </w:r>
            <w:r w:rsidRPr="003A0C5C">
              <w:rPr>
                <w:rFonts w:ascii="Arial" w:hAnsi="Arial" w:cs="Arial"/>
                <w:b/>
                <w:i/>
                <w:sz w:val="14"/>
                <w:szCs w:val="16"/>
              </w:rPr>
              <w:br/>
              <w:t>Impact</w:t>
            </w:r>
          </w:p>
        </w:tc>
        <w:tc>
          <w:tcPr>
            <w:tcW w:w="0" w:type="auto"/>
            <w:vAlign w:val="bottom"/>
          </w:tcPr>
          <w:p w14:paraId="511FAEA0" w14:textId="77777777" w:rsidR="005C0B7A" w:rsidRPr="003A0C5C" w:rsidRDefault="005C0B7A" w:rsidP="005C0B7A">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Less than</w:t>
            </w:r>
            <w:r w:rsidRPr="003A0C5C">
              <w:rPr>
                <w:rFonts w:ascii="Arial" w:hAnsi="Arial" w:cs="Arial"/>
                <w:b/>
                <w:i/>
                <w:sz w:val="14"/>
                <w:szCs w:val="16"/>
              </w:rPr>
              <w:br/>
              <w:t>Significant</w:t>
            </w:r>
            <w:r w:rsidRPr="003A0C5C">
              <w:rPr>
                <w:rFonts w:ascii="Arial" w:hAnsi="Arial" w:cs="Arial"/>
                <w:b/>
                <w:i/>
                <w:sz w:val="14"/>
                <w:szCs w:val="16"/>
              </w:rPr>
              <w:br/>
              <w:t>with Mitigation</w:t>
            </w:r>
            <w:r w:rsidRPr="003A0C5C">
              <w:rPr>
                <w:rFonts w:ascii="Arial" w:hAnsi="Arial" w:cs="Arial"/>
                <w:b/>
                <w:i/>
                <w:sz w:val="14"/>
                <w:szCs w:val="16"/>
              </w:rPr>
              <w:br/>
              <w:t>Incorporated</w:t>
            </w:r>
          </w:p>
        </w:tc>
        <w:tc>
          <w:tcPr>
            <w:tcW w:w="0" w:type="auto"/>
            <w:vAlign w:val="bottom"/>
          </w:tcPr>
          <w:p w14:paraId="477B1E7F" w14:textId="77777777" w:rsidR="005C0B7A" w:rsidRPr="003A0C5C" w:rsidRDefault="005C0B7A" w:rsidP="005C0B7A">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Less-than-</w:t>
            </w:r>
            <w:r w:rsidRPr="003A0C5C">
              <w:rPr>
                <w:rFonts w:ascii="Arial" w:hAnsi="Arial" w:cs="Arial"/>
                <w:b/>
                <w:i/>
                <w:sz w:val="14"/>
                <w:szCs w:val="16"/>
              </w:rPr>
              <w:br/>
              <w:t>Significant</w:t>
            </w:r>
            <w:r w:rsidRPr="003A0C5C">
              <w:rPr>
                <w:rFonts w:ascii="Arial" w:hAnsi="Arial" w:cs="Arial"/>
                <w:b/>
                <w:i/>
                <w:sz w:val="14"/>
                <w:szCs w:val="16"/>
              </w:rPr>
              <w:br/>
              <w:t>Impact</w:t>
            </w:r>
          </w:p>
        </w:tc>
        <w:tc>
          <w:tcPr>
            <w:tcW w:w="0" w:type="auto"/>
            <w:vAlign w:val="bottom"/>
          </w:tcPr>
          <w:p w14:paraId="594DB6F7" w14:textId="77777777" w:rsidR="005C0B7A" w:rsidRPr="003A0C5C" w:rsidRDefault="005C0B7A" w:rsidP="005C0B7A">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No</w:t>
            </w:r>
            <w:r w:rsidRPr="003A0C5C">
              <w:rPr>
                <w:rFonts w:ascii="Arial" w:hAnsi="Arial" w:cs="Arial"/>
                <w:b/>
                <w:i/>
                <w:sz w:val="14"/>
                <w:szCs w:val="16"/>
              </w:rPr>
              <w:br/>
              <w:t>Impact</w:t>
            </w:r>
          </w:p>
        </w:tc>
      </w:tr>
      <w:tr w:rsidR="003A0C5C" w:rsidRPr="003A0C5C" w14:paraId="2621655F" w14:textId="77777777" w:rsidTr="005C0B7A">
        <w:trPr>
          <w:cantSplit/>
        </w:trPr>
        <w:tc>
          <w:tcPr>
            <w:tcW w:w="0" w:type="auto"/>
          </w:tcPr>
          <w:p w14:paraId="2DA03CFC" w14:textId="4DE28FDD" w:rsidR="005C0B7A" w:rsidRPr="003A0C5C" w:rsidRDefault="005C0B7A" w:rsidP="005C0B7A">
            <w:pPr>
              <w:pStyle w:val="Tabletextnumber"/>
              <w:keepNext/>
              <w:ind w:left="504" w:hanging="504"/>
              <w:rPr>
                <w:rStyle w:val="Bold"/>
              </w:rPr>
            </w:pPr>
            <w:r w:rsidRPr="003A0C5C">
              <w:rPr>
                <w:rStyle w:val="Bold"/>
              </w:rPr>
              <w:t>V.</w:t>
            </w:r>
            <w:r w:rsidRPr="003A0C5C">
              <w:rPr>
                <w:rStyle w:val="Bold"/>
              </w:rPr>
              <w:tab/>
              <w:t>CULTURAL RESOURCES</w:t>
            </w:r>
            <w:r w:rsidRPr="003A0C5C">
              <w:t>—Would the project:</w:t>
            </w:r>
          </w:p>
        </w:tc>
        <w:tc>
          <w:tcPr>
            <w:tcW w:w="0" w:type="auto"/>
          </w:tcPr>
          <w:p w14:paraId="77505574" w14:textId="77777777" w:rsidR="005C0B7A" w:rsidRPr="003A0C5C" w:rsidRDefault="005C0B7A" w:rsidP="005C0B7A">
            <w:pPr>
              <w:pStyle w:val="Checklist"/>
            </w:pPr>
          </w:p>
        </w:tc>
        <w:tc>
          <w:tcPr>
            <w:tcW w:w="0" w:type="auto"/>
          </w:tcPr>
          <w:p w14:paraId="5FEB2F09" w14:textId="77777777" w:rsidR="005C0B7A" w:rsidRPr="003A0C5C" w:rsidRDefault="005C0B7A" w:rsidP="005C0B7A">
            <w:pPr>
              <w:pStyle w:val="Checklist"/>
            </w:pPr>
          </w:p>
        </w:tc>
        <w:tc>
          <w:tcPr>
            <w:tcW w:w="0" w:type="auto"/>
          </w:tcPr>
          <w:p w14:paraId="5C785BB0" w14:textId="77777777" w:rsidR="005C0B7A" w:rsidRPr="003A0C5C" w:rsidRDefault="005C0B7A" w:rsidP="005C0B7A">
            <w:pPr>
              <w:pStyle w:val="Checklist"/>
            </w:pPr>
          </w:p>
        </w:tc>
        <w:tc>
          <w:tcPr>
            <w:tcW w:w="0" w:type="auto"/>
          </w:tcPr>
          <w:p w14:paraId="10624C9A" w14:textId="77777777" w:rsidR="005C0B7A" w:rsidRPr="003A0C5C" w:rsidRDefault="005C0B7A" w:rsidP="005C0B7A">
            <w:pPr>
              <w:pStyle w:val="Checklist"/>
            </w:pPr>
          </w:p>
        </w:tc>
      </w:tr>
      <w:tr w:rsidR="003A0C5C" w:rsidRPr="003A0C5C" w14:paraId="3D1518D0" w14:textId="77777777" w:rsidTr="005C0B7A">
        <w:trPr>
          <w:cantSplit/>
        </w:trPr>
        <w:tc>
          <w:tcPr>
            <w:tcW w:w="0" w:type="auto"/>
          </w:tcPr>
          <w:p w14:paraId="6A3AB48B" w14:textId="1DCFA414" w:rsidR="005C0B7A" w:rsidRPr="003A0C5C" w:rsidRDefault="005C0B7A" w:rsidP="005C0B7A">
            <w:pPr>
              <w:pStyle w:val="Tabletextnumber"/>
            </w:pPr>
            <w:r w:rsidRPr="003A0C5C">
              <w:rPr>
                <w:rFonts w:cs="Arial"/>
                <w:szCs w:val="16"/>
              </w:rPr>
              <w:t>a)</w:t>
            </w:r>
            <w:r w:rsidRPr="003A0C5C">
              <w:rPr>
                <w:rFonts w:cs="Arial"/>
                <w:szCs w:val="16"/>
              </w:rPr>
              <w:tab/>
              <w:t>Cause a substantial adverse change in the significance of a historical resource pursuant to §15064.5?</w:t>
            </w:r>
          </w:p>
        </w:tc>
        <w:tc>
          <w:tcPr>
            <w:tcW w:w="0" w:type="auto"/>
          </w:tcPr>
          <w:p w14:paraId="692D19D3" w14:textId="77777777" w:rsidR="005C0B7A" w:rsidRPr="003A0C5C" w:rsidRDefault="002348BC" w:rsidP="005C0B7A">
            <w:pPr>
              <w:pStyle w:val="Checklist"/>
            </w:pPr>
            <w:sdt>
              <w:sdtPr>
                <w:id w:val="-411936011"/>
                <w14:checkbox>
                  <w14:checked w14:val="0"/>
                  <w14:checkedState w14:val="2612" w14:font="MS Gothic"/>
                  <w14:uncheckedState w14:val="2610" w14:font="MS Gothic"/>
                </w14:checkbox>
              </w:sdtPr>
              <w:sdtEndPr/>
              <w:sdtContent>
                <w:r w:rsidR="005C0B7A" w:rsidRPr="003A0C5C">
                  <w:t>☐</w:t>
                </w:r>
              </w:sdtContent>
            </w:sdt>
          </w:p>
        </w:tc>
        <w:tc>
          <w:tcPr>
            <w:tcW w:w="0" w:type="auto"/>
          </w:tcPr>
          <w:p w14:paraId="0244B1FC" w14:textId="77777777" w:rsidR="005C0B7A" w:rsidRPr="003A0C5C" w:rsidRDefault="002348BC" w:rsidP="005C0B7A">
            <w:pPr>
              <w:pStyle w:val="Checklist"/>
              <w:rPr>
                <w:sz w:val="20"/>
              </w:rPr>
            </w:pPr>
            <w:sdt>
              <w:sdtPr>
                <w:id w:val="-1202786402"/>
                <w14:checkbox>
                  <w14:checked w14:val="0"/>
                  <w14:checkedState w14:val="2612" w14:font="MS Gothic"/>
                  <w14:uncheckedState w14:val="2610" w14:font="MS Gothic"/>
                </w14:checkbox>
              </w:sdtPr>
              <w:sdtEndPr/>
              <w:sdtContent>
                <w:r w:rsidR="005C0B7A" w:rsidRPr="003A0C5C">
                  <w:t>☐</w:t>
                </w:r>
              </w:sdtContent>
            </w:sdt>
          </w:p>
        </w:tc>
        <w:tc>
          <w:tcPr>
            <w:tcW w:w="0" w:type="auto"/>
          </w:tcPr>
          <w:p w14:paraId="206CCD77" w14:textId="77777777" w:rsidR="005C0B7A" w:rsidRPr="003A0C5C" w:rsidRDefault="002348BC" w:rsidP="005C0B7A">
            <w:pPr>
              <w:pStyle w:val="Checklist"/>
              <w:rPr>
                <w:sz w:val="20"/>
              </w:rPr>
            </w:pPr>
            <w:sdt>
              <w:sdtPr>
                <w:id w:val="-192384677"/>
                <w14:checkbox>
                  <w14:checked w14:val="0"/>
                  <w14:checkedState w14:val="2612" w14:font="MS Gothic"/>
                  <w14:uncheckedState w14:val="2610" w14:font="MS Gothic"/>
                </w14:checkbox>
              </w:sdtPr>
              <w:sdtEndPr/>
              <w:sdtContent>
                <w:r w:rsidR="005C0B7A" w:rsidRPr="003A0C5C">
                  <w:t>☐</w:t>
                </w:r>
              </w:sdtContent>
            </w:sdt>
          </w:p>
        </w:tc>
        <w:tc>
          <w:tcPr>
            <w:tcW w:w="0" w:type="auto"/>
          </w:tcPr>
          <w:p w14:paraId="09131B90" w14:textId="77777777" w:rsidR="005C0B7A" w:rsidRPr="003A0C5C" w:rsidRDefault="002348BC" w:rsidP="005C0B7A">
            <w:pPr>
              <w:pStyle w:val="Checklist"/>
              <w:rPr>
                <w:sz w:val="20"/>
              </w:rPr>
            </w:pPr>
            <w:sdt>
              <w:sdtPr>
                <w:id w:val="-112993122"/>
                <w14:checkbox>
                  <w14:checked w14:val="1"/>
                  <w14:checkedState w14:val="2612" w14:font="MS Gothic"/>
                  <w14:uncheckedState w14:val="2610" w14:font="MS Gothic"/>
                </w14:checkbox>
              </w:sdtPr>
              <w:sdtEndPr/>
              <w:sdtContent>
                <w:r w:rsidR="005C0B7A" w:rsidRPr="003A0C5C">
                  <w:t>☒</w:t>
                </w:r>
              </w:sdtContent>
            </w:sdt>
          </w:p>
        </w:tc>
      </w:tr>
      <w:tr w:rsidR="003A0C5C" w:rsidRPr="003A0C5C" w14:paraId="7DCF1008" w14:textId="77777777" w:rsidTr="005C0B7A">
        <w:trPr>
          <w:cantSplit/>
        </w:trPr>
        <w:tc>
          <w:tcPr>
            <w:tcW w:w="0" w:type="auto"/>
          </w:tcPr>
          <w:p w14:paraId="6D65B18F" w14:textId="53B84074" w:rsidR="005C0B7A" w:rsidRPr="003A0C5C" w:rsidRDefault="005C0B7A" w:rsidP="005C0B7A">
            <w:pPr>
              <w:pStyle w:val="Tabletextnumber"/>
            </w:pPr>
            <w:r w:rsidRPr="003A0C5C">
              <w:rPr>
                <w:rFonts w:cs="Arial"/>
                <w:szCs w:val="16"/>
              </w:rPr>
              <w:t>b)</w:t>
            </w:r>
            <w:r w:rsidRPr="003A0C5C">
              <w:rPr>
                <w:rFonts w:cs="Arial"/>
                <w:szCs w:val="16"/>
              </w:rPr>
              <w:tab/>
              <w:t>Cause a substantial adverse change in the significance of an archaeological resource pursuant to §15064.5?</w:t>
            </w:r>
          </w:p>
        </w:tc>
        <w:tc>
          <w:tcPr>
            <w:tcW w:w="0" w:type="auto"/>
          </w:tcPr>
          <w:p w14:paraId="7159BE85" w14:textId="77777777" w:rsidR="005C0B7A" w:rsidRPr="003A0C5C" w:rsidRDefault="002348BC" w:rsidP="005C0B7A">
            <w:pPr>
              <w:pStyle w:val="Checklist"/>
              <w:rPr>
                <w:sz w:val="20"/>
              </w:rPr>
            </w:pPr>
            <w:sdt>
              <w:sdtPr>
                <w:id w:val="374286549"/>
                <w14:checkbox>
                  <w14:checked w14:val="0"/>
                  <w14:checkedState w14:val="2612" w14:font="MS Gothic"/>
                  <w14:uncheckedState w14:val="2610" w14:font="MS Gothic"/>
                </w14:checkbox>
              </w:sdtPr>
              <w:sdtEndPr/>
              <w:sdtContent>
                <w:r w:rsidR="005C0B7A" w:rsidRPr="003A0C5C">
                  <w:t>☐</w:t>
                </w:r>
              </w:sdtContent>
            </w:sdt>
          </w:p>
        </w:tc>
        <w:tc>
          <w:tcPr>
            <w:tcW w:w="0" w:type="auto"/>
          </w:tcPr>
          <w:p w14:paraId="1AEEF306" w14:textId="1641731B" w:rsidR="005C0B7A" w:rsidRPr="003A0C5C" w:rsidRDefault="002348BC" w:rsidP="005C0B7A">
            <w:pPr>
              <w:pStyle w:val="Checklist"/>
              <w:rPr>
                <w:sz w:val="20"/>
              </w:rPr>
            </w:pPr>
            <w:sdt>
              <w:sdtPr>
                <w:id w:val="-963730457"/>
                <w14:checkbox>
                  <w14:checked w14:val="1"/>
                  <w14:checkedState w14:val="2612" w14:font="MS Gothic"/>
                  <w14:uncheckedState w14:val="2610" w14:font="MS Gothic"/>
                </w14:checkbox>
              </w:sdtPr>
              <w:sdtEndPr/>
              <w:sdtContent>
                <w:r w:rsidR="005C0B7A" w:rsidRPr="003A0C5C">
                  <w:t>☒</w:t>
                </w:r>
              </w:sdtContent>
            </w:sdt>
          </w:p>
        </w:tc>
        <w:tc>
          <w:tcPr>
            <w:tcW w:w="0" w:type="auto"/>
          </w:tcPr>
          <w:p w14:paraId="5BEDE6A6" w14:textId="77777777" w:rsidR="005C0B7A" w:rsidRPr="003A0C5C" w:rsidRDefault="002348BC" w:rsidP="005C0B7A">
            <w:pPr>
              <w:pStyle w:val="Checklist"/>
              <w:rPr>
                <w:sz w:val="20"/>
              </w:rPr>
            </w:pPr>
            <w:sdt>
              <w:sdtPr>
                <w:id w:val="1062294158"/>
                <w14:checkbox>
                  <w14:checked w14:val="0"/>
                  <w14:checkedState w14:val="2612" w14:font="MS Gothic"/>
                  <w14:uncheckedState w14:val="2610" w14:font="MS Gothic"/>
                </w14:checkbox>
              </w:sdtPr>
              <w:sdtEndPr/>
              <w:sdtContent>
                <w:r w:rsidR="005C0B7A" w:rsidRPr="003A0C5C">
                  <w:t>☐</w:t>
                </w:r>
              </w:sdtContent>
            </w:sdt>
          </w:p>
        </w:tc>
        <w:tc>
          <w:tcPr>
            <w:tcW w:w="0" w:type="auto"/>
          </w:tcPr>
          <w:p w14:paraId="50B6545B" w14:textId="0B8F5737" w:rsidR="005C0B7A" w:rsidRPr="003A0C5C" w:rsidRDefault="002348BC" w:rsidP="005C0B7A">
            <w:pPr>
              <w:pStyle w:val="Checklist"/>
              <w:rPr>
                <w:sz w:val="20"/>
              </w:rPr>
            </w:pPr>
            <w:sdt>
              <w:sdtPr>
                <w:id w:val="1434014872"/>
                <w14:checkbox>
                  <w14:checked w14:val="0"/>
                  <w14:checkedState w14:val="2612" w14:font="MS Gothic"/>
                  <w14:uncheckedState w14:val="2610" w14:font="MS Gothic"/>
                </w14:checkbox>
              </w:sdtPr>
              <w:sdtEndPr/>
              <w:sdtContent>
                <w:r w:rsidR="005C0B7A" w:rsidRPr="003A0C5C">
                  <w:t>☐</w:t>
                </w:r>
              </w:sdtContent>
            </w:sdt>
          </w:p>
        </w:tc>
      </w:tr>
      <w:tr w:rsidR="005C0B7A" w:rsidRPr="003A0C5C" w14:paraId="03A29DE9" w14:textId="77777777" w:rsidTr="005C0B7A">
        <w:trPr>
          <w:cantSplit/>
        </w:trPr>
        <w:tc>
          <w:tcPr>
            <w:tcW w:w="0" w:type="auto"/>
          </w:tcPr>
          <w:p w14:paraId="0BA6EF1B" w14:textId="77584124" w:rsidR="005C0B7A" w:rsidRPr="003A0C5C" w:rsidRDefault="005C0B7A" w:rsidP="005C0B7A">
            <w:pPr>
              <w:pStyle w:val="Tabletextnumber"/>
            </w:pPr>
            <w:r w:rsidRPr="003A0C5C">
              <w:rPr>
                <w:rFonts w:cs="Arial"/>
                <w:szCs w:val="16"/>
              </w:rPr>
              <w:t>c)</w:t>
            </w:r>
            <w:r w:rsidRPr="003A0C5C">
              <w:rPr>
                <w:rFonts w:cs="Arial"/>
                <w:szCs w:val="16"/>
              </w:rPr>
              <w:tab/>
              <w:t>Disturb any human remains, including those interred outside of formal cemeteries?</w:t>
            </w:r>
          </w:p>
        </w:tc>
        <w:tc>
          <w:tcPr>
            <w:tcW w:w="0" w:type="auto"/>
          </w:tcPr>
          <w:p w14:paraId="1E2F9D60" w14:textId="77777777" w:rsidR="005C0B7A" w:rsidRPr="003A0C5C" w:rsidRDefault="002348BC" w:rsidP="005C0B7A">
            <w:pPr>
              <w:pStyle w:val="Checklist"/>
              <w:rPr>
                <w:sz w:val="20"/>
              </w:rPr>
            </w:pPr>
            <w:sdt>
              <w:sdtPr>
                <w:id w:val="-1353489403"/>
                <w14:checkbox>
                  <w14:checked w14:val="0"/>
                  <w14:checkedState w14:val="2612" w14:font="MS Gothic"/>
                  <w14:uncheckedState w14:val="2610" w14:font="MS Gothic"/>
                </w14:checkbox>
              </w:sdtPr>
              <w:sdtEndPr/>
              <w:sdtContent>
                <w:r w:rsidR="005C0B7A" w:rsidRPr="003A0C5C">
                  <w:t>☐</w:t>
                </w:r>
              </w:sdtContent>
            </w:sdt>
          </w:p>
        </w:tc>
        <w:tc>
          <w:tcPr>
            <w:tcW w:w="0" w:type="auto"/>
          </w:tcPr>
          <w:p w14:paraId="23B5390E" w14:textId="2F26CD24" w:rsidR="005C0B7A" w:rsidRPr="003A0C5C" w:rsidRDefault="002348BC" w:rsidP="005C0B7A">
            <w:pPr>
              <w:pStyle w:val="Checklist"/>
              <w:rPr>
                <w:sz w:val="20"/>
              </w:rPr>
            </w:pPr>
            <w:sdt>
              <w:sdtPr>
                <w:id w:val="1886756935"/>
                <w14:checkbox>
                  <w14:checked w14:val="1"/>
                  <w14:checkedState w14:val="2612" w14:font="MS Gothic"/>
                  <w14:uncheckedState w14:val="2610" w14:font="MS Gothic"/>
                </w14:checkbox>
              </w:sdtPr>
              <w:sdtEndPr/>
              <w:sdtContent>
                <w:r w:rsidR="005C0B7A" w:rsidRPr="003A0C5C">
                  <w:t>☒</w:t>
                </w:r>
              </w:sdtContent>
            </w:sdt>
          </w:p>
        </w:tc>
        <w:tc>
          <w:tcPr>
            <w:tcW w:w="0" w:type="auto"/>
          </w:tcPr>
          <w:p w14:paraId="7A5A8501" w14:textId="77777777" w:rsidR="005C0B7A" w:rsidRPr="003A0C5C" w:rsidRDefault="002348BC" w:rsidP="005C0B7A">
            <w:pPr>
              <w:pStyle w:val="Checklist"/>
              <w:rPr>
                <w:sz w:val="20"/>
              </w:rPr>
            </w:pPr>
            <w:sdt>
              <w:sdtPr>
                <w:id w:val="908657379"/>
                <w14:checkbox>
                  <w14:checked w14:val="0"/>
                  <w14:checkedState w14:val="2612" w14:font="MS Gothic"/>
                  <w14:uncheckedState w14:val="2610" w14:font="MS Gothic"/>
                </w14:checkbox>
              </w:sdtPr>
              <w:sdtEndPr/>
              <w:sdtContent>
                <w:r w:rsidR="005C0B7A" w:rsidRPr="003A0C5C">
                  <w:t>☐</w:t>
                </w:r>
              </w:sdtContent>
            </w:sdt>
          </w:p>
        </w:tc>
        <w:tc>
          <w:tcPr>
            <w:tcW w:w="0" w:type="auto"/>
          </w:tcPr>
          <w:p w14:paraId="7DAD7D08" w14:textId="1E76C2D3" w:rsidR="005C0B7A" w:rsidRPr="003A0C5C" w:rsidRDefault="002348BC" w:rsidP="005C0B7A">
            <w:pPr>
              <w:pStyle w:val="Checklist"/>
              <w:rPr>
                <w:sz w:val="20"/>
              </w:rPr>
            </w:pPr>
            <w:sdt>
              <w:sdtPr>
                <w:id w:val="371276057"/>
                <w14:checkbox>
                  <w14:checked w14:val="0"/>
                  <w14:checkedState w14:val="2612" w14:font="MS Gothic"/>
                  <w14:uncheckedState w14:val="2610" w14:font="MS Gothic"/>
                </w14:checkbox>
              </w:sdtPr>
              <w:sdtEndPr/>
              <w:sdtContent>
                <w:r w:rsidR="005C0B7A" w:rsidRPr="003A0C5C">
                  <w:t>☐</w:t>
                </w:r>
              </w:sdtContent>
            </w:sdt>
          </w:p>
        </w:tc>
      </w:tr>
    </w:tbl>
    <w:p w14:paraId="2BD929D0" w14:textId="77777777" w:rsidR="00957C8B" w:rsidRPr="003A0C5C" w:rsidRDefault="00957C8B" w:rsidP="00957C8B">
      <w:pPr>
        <w:pStyle w:val="TableNotes"/>
        <w:rPr>
          <w:highlight w:val="yellow"/>
        </w:rPr>
      </w:pPr>
    </w:p>
    <w:p w14:paraId="35E100DF" w14:textId="3A2E5569" w:rsidR="00CF4BCF" w:rsidRPr="003A0C5C" w:rsidRDefault="00B90011" w:rsidP="00D21786">
      <w:pPr>
        <w:pStyle w:val="12space"/>
        <w:keepNext/>
        <w:spacing w:after="180"/>
      </w:pPr>
      <w:r w:rsidRPr="003A0C5C">
        <w:t>This section</w:t>
      </w:r>
      <w:r w:rsidR="00CF4BCF" w:rsidRPr="003A0C5C">
        <w:t xml:space="preserve"> is based on the </w:t>
      </w:r>
      <w:r w:rsidR="009D4C89" w:rsidRPr="003A0C5C">
        <w:rPr>
          <w:rStyle w:val="Italic"/>
          <w:i w:val="0"/>
        </w:rPr>
        <w:t>21611 Perry Street Self Storage</w:t>
      </w:r>
      <w:r w:rsidR="00CF4BCF" w:rsidRPr="003A0C5C">
        <w:rPr>
          <w:rStyle w:val="Italic"/>
          <w:i w:val="0"/>
        </w:rPr>
        <w:t>, Cultural Resources Assessment Report</w:t>
      </w:r>
      <w:r w:rsidR="00CF4BCF" w:rsidRPr="003A0C5C">
        <w:t xml:space="preserve">, located in </w:t>
      </w:r>
      <w:r w:rsidR="00CF4BCF" w:rsidRPr="003A0C5C">
        <w:rPr>
          <w:b/>
          <w:bCs/>
        </w:rPr>
        <w:t>Appendix </w:t>
      </w:r>
      <w:r w:rsidR="00C65C0D" w:rsidRPr="003A0C5C">
        <w:rPr>
          <w:b/>
          <w:bCs/>
        </w:rPr>
        <w:t>C</w:t>
      </w:r>
      <w:r w:rsidR="00CF4BCF" w:rsidRPr="003A0C5C">
        <w:t xml:space="preserve"> of this IS/MND. </w:t>
      </w:r>
      <w:r w:rsidR="00D33A9E" w:rsidRPr="003A0C5C">
        <w:t>Appendix C</w:t>
      </w:r>
      <w:r w:rsidR="00D33A9E" w:rsidRPr="003A0C5C" w:rsidDel="00D33A9E">
        <w:t xml:space="preserve"> </w:t>
      </w:r>
      <w:r w:rsidR="00CF4BCF" w:rsidRPr="003A0C5C">
        <w:t>is confidential and not for public distribution.</w:t>
      </w:r>
    </w:p>
    <w:p w14:paraId="52C4A835" w14:textId="617746A3" w:rsidR="008B519C" w:rsidRPr="003A0C5C" w:rsidRDefault="008B519C" w:rsidP="008B519C">
      <w:pPr>
        <w:pStyle w:val="Heading5"/>
      </w:pPr>
      <w:r w:rsidRPr="003A0C5C">
        <w:t>Discussion</w:t>
      </w:r>
    </w:p>
    <w:p w14:paraId="13EB33FF" w14:textId="72E628B6" w:rsidR="00CF4BCF" w:rsidRPr="003A0C5C" w:rsidRDefault="00CF4BCF" w:rsidP="00774125">
      <w:pPr>
        <w:pStyle w:val="12spaceindent"/>
        <w:rPr>
          <w:rFonts w:eastAsia="Calibri"/>
        </w:rPr>
      </w:pPr>
      <w:r w:rsidRPr="003A0C5C">
        <w:t>a)</w:t>
      </w:r>
      <w:r w:rsidRPr="003A0C5C">
        <w:tab/>
      </w:r>
      <w:r w:rsidRPr="003A0C5C">
        <w:rPr>
          <w:spacing w:val="-2"/>
        </w:rPr>
        <w:t xml:space="preserve">A historical resource is defined in CEQA Guidelines </w:t>
      </w:r>
      <w:r w:rsidR="00356D58" w:rsidRPr="003A0C5C">
        <w:rPr>
          <w:spacing w:val="-2"/>
        </w:rPr>
        <w:t>Section </w:t>
      </w:r>
      <w:r w:rsidRPr="003A0C5C">
        <w:rPr>
          <w:spacing w:val="-2"/>
        </w:rPr>
        <w:t xml:space="preserve">15064.5(a)(3) as any object, building, structure, site, area, place, record, or manuscript determined to be historically significant or significant in the architectural, engineering, scientific, economic, agricultural, educational, social, political, military, or cultural annals of California. Historical resources are further defined as those associated with significant events, important persons, or distinctive characteristics of a type, period or method of construction; representing the work of an important creative individual; or possessing high artistic values. Resources listed in or determined eligible for the California Register, included in a local register, or identified as significant in a historic resource survey are also considered historical resources under CEQA. </w:t>
      </w:r>
      <w:r w:rsidR="009D4C89" w:rsidRPr="003A0C5C">
        <w:rPr>
          <w:spacing w:val="-2"/>
        </w:rPr>
        <w:t xml:space="preserve">The site is currently </w:t>
      </w:r>
      <w:r w:rsidR="00A008F7" w:rsidRPr="003A0C5C">
        <w:rPr>
          <w:spacing w:val="-2"/>
        </w:rPr>
        <w:t xml:space="preserve">two </w:t>
      </w:r>
      <w:r w:rsidR="009D4C89" w:rsidRPr="003A0C5C">
        <w:rPr>
          <w:spacing w:val="-2"/>
        </w:rPr>
        <w:t xml:space="preserve">vacant </w:t>
      </w:r>
      <w:r w:rsidR="00994ACD" w:rsidRPr="003A0C5C">
        <w:rPr>
          <w:spacing w:val="-2"/>
        </w:rPr>
        <w:t>parcel</w:t>
      </w:r>
      <w:r w:rsidR="00A008F7" w:rsidRPr="003A0C5C">
        <w:rPr>
          <w:spacing w:val="-2"/>
        </w:rPr>
        <w:t>s</w:t>
      </w:r>
      <w:r w:rsidR="009D4C89" w:rsidRPr="003A0C5C">
        <w:rPr>
          <w:spacing w:val="-2"/>
        </w:rPr>
        <w:t xml:space="preserve"> and therefore n</w:t>
      </w:r>
      <w:r w:rsidRPr="003A0C5C">
        <w:rPr>
          <w:spacing w:val="-2"/>
        </w:rPr>
        <w:t xml:space="preserve">o historic-age architectural resources </w:t>
      </w:r>
      <w:r w:rsidR="009D4C89" w:rsidRPr="003A0C5C">
        <w:rPr>
          <w:spacing w:val="-2"/>
        </w:rPr>
        <w:t>exist</w:t>
      </w:r>
      <w:r w:rsidRPr="003A0C5C">
        <w:rPr>
          <w:spacing w:val="-2"/>
        </w:rPr>
        <w:t xml:space="preserve"> within the project site; therefore, the </w:t>
      </w:r>
      <w:r w:rsidR="00497241" w:rsidRPr="003A0C5C">
        <w:rPr>
          <w:spacing w:val="-2"/>
        </w:rPr>
        <w:t xml:space="preserve">proposed </w:t>
      </w:r>
      <w:r w:rsidRPr="003A0C5C">
        <w:rPr>
          <w:spacing w:val="-2"/>
        </w:rPr>
        <w:t xml:space="preserve">project would have no direct impact on known historical resources. </w:t>
      </w:r>
      <w:r w:rsidR="009D4C89" w:rsidRPr="003A0C5C">
        <w:rPr>
          <w:spacing w:val="-2"/>
        </w:rPr>
        <w:t xml:space="preserve">No known significant archaeological resources that could be historical resources under CEQA are known to exist within the project site. </w:t>
      </w:r>
      <w:r w:rsidR="00C07A38" w:rsidRPr="003A0C5C">
        <w:rPr>
          <w:spacing w:val="-2"/>
        </w:rPr>
        <w:t>The p</w:t>
      </w:r>
      <w:r w:rsidR="009D4C89" w:rsidRPr="003A0C5C">
        <w:rPr>
          <w:spacing w:val="-2"/>
        </w:rPr>
        <w:t xml:space="preserve">otential </w:t>
      </w:r>
      <w:r w:rsidR="00C07A38" w:rsidRPr="003A0C5C">
        <w:rPr>
          <w:spacing w:val="-2"/>
        </w:rPr>
        <w:t xml:space="preserve">for </w:t>
      </w:r>
      <w:r w:rsidR="009D4C89" w:rsidRPr="003A0C5C">
        <w:rPr>
          <w:spacing w:val="-2"/>
        </w:rPr>
        <w:t xml:space="preserve">impacts to significant archaeological resources is further addressed below in </w:t>
      </w:r>
      <w:r w:rsidR="00D34A85" w:rsidRPr="003A0C5C">
        <w:rPr>
          <w:spacing w:val="-2"/>
        </w:rPr>
        <w:t>Section V (</w:t>
      </w:r>
      <w:r w:rsidR="009D4C89" w:rsidRPr="003A0C5C">
        <w:rPr>
          <w:spacing w:val="-2"/>
        </w:rPr>
        <w:t xml:space="preserve">b). </w:t>
      </w:r>
      <w:r w:rsidRPr="003A0C5C">
        <w:rPr>
          <w:spacing w:val="-2"/>
        </w:rPr>
        <w:t xml:space="preserve">The records search revealed that one cultural resource has been previously recorded within the 0.5-mile radius of the project site. </w:t>
      </w:r>
      <w:r w:rsidR="009D4C89" w:rsidRPr="003A0C5C">
        <w:rPr>
          <w:spacing w:val="-2"/>
        </w:rPr>
        <w:t>This resource is a historic-period built environment</w:t>
      </w:r>
      <w:r w:rsidR="00A008F7" w:rsidRPr="003A0C5C">
        <w:rPr>
          <w:spacing w:val="-2"/>
        </w:rPr>
        <w:t>al</w:t>
      </w:r>
      <w:r w:rsidR="009D4C89" w:rsidRPr="003A0C5C">
        <w:rPr>
          <w:spacing w:val="-2"/>
        </w:rPr>
        <w:t xml:space="preserve"> resource consisting of the Shell Oil Refinery complex located approximately 0.20</w:t>
      </w:r>
      <w:r w:rsidR="003873C7" w:rsidRPr="003A0C5C">
        <w:rPr>
          <w:spacing w:val="-2"/>
        </w:rPr>
        <w:t xml:space="preserve"> </w:t>
      </w:r>
      <w:r w:rsidR="009D4C89" w:rsidRPr="003A0C5C">
        <w:rPr>
          <w:spacing w:val="-2"/>
        </w:rPr>
        <w:t xml:space="preserve">miles north of the project site. </w:t>
      </w:r>
      <w:r w:rsidR="006D5603" w:rsidRPr="003A0C5C">
        <w:rPr>
          <w:szCs w:val="22"/>
        </w:rPr>
        <w:t>The record search results did not indicate that any recorded historical resources were located in the immediate project vicinity, and no structures meeting the 45</w:t>
      </w:r>
      <w:r w:rsidR="003873C7" w:rsidRPr="003A0C5C">
        <w:rPr>
          <w:szCs w:val="22"/>
        </w:rPr>
        <w:noBreakHyphen/>
      </w:r>
      <w:r w:rsidR="006D5603" w:rsidRPr="003A0C5C">
        <w:rPr>
          <w:szCs w:val="22"/>
        </w:rPr>
        <w:t xml:space="preserve">year </w:t>
      </w:r>
      <w:r w:rsidR="00FC1893" w:rsidRPr="003A0C5C">
        <w:rPr>
          <w:szCs w:val="22"/>
        </w:rPr>
        <w:t>California Office of Historic Preservation (</w:t>
      </w:r>
      <w:r w:rsidR="006D5603" w:rsidRPr="003A0C5C">
        <w:rPr>
          <w:szCs w:val="22"/>
        </w:rPr>
        <w:t>OHP</w:t>
      </w:r>
      <w:r w:rsidR="00FC1893" w:rsidRPr="003A0C5C">
        <w:rPr>
          <w:szCs w:val="22"/>
        </w:rPr>
        <w:t>)</w:t>
      </w:r>
      <w:r w:rsidR="006D5603" w:rsidRPr="003A0C5C">
        <w:rPr>
          <w:szCs w:val="22"/>
        </w:rPr>
        <w:t xml:space="preserve"> threshold for historic resources were found in the immediate vicinity of the </w:t>
      </w:r>
      <w:r w:rsidR="00FC1893" w:rsidRPr="003A0C5C">
        <w:rPr>
          <w:szCs w:val="22"/>
        </w:rPr>
        <w:t>p</w:t>
      </w:r>
      <w:r w:rsidR="006D5603" w:rsidRPr="003A0C5C">
        <w:rPr>
          <w:szCs w:val="22"/>
        </w:rPr>
        <w:t xml:space="preserve">roject </w:t>
      </w:r>
      <w:r w:rsidR="00FC1893" w:rsidRPr="003A0C5C">
        <w:rPr>
          <w:szCs w:val="22"/>
        </w:rPr>
        <w:t>s</w:t>
      </w:r>
      <w:r w:rsidR="006D5603" w:rsidRPr="003A0C5C">
        <w:rPr>
          <w:szCs w:val="22"/>
        </w:rPr>
        <w:t xml:space="preserve">ite. As such, the </w:t>
      </w:r>
      <w:r w:rsidR="00497241" w:rsidRPr="003A0C5C">
        <w:rPr>
          <w:szCs w:val="22"/>
        </w:rPr>
        <w:t xml:space="preserve">proposed </w:t>
      </w:r>
      <w:r w:rsidR="00FC1893" w:rsidRPr="003A0C5C">
        <w:rPr>
          <w:szCs w:val="22"/>
        </w:rPr>
        <w:t>p</w:t>
      </w:r>
      <w:r w:rsidR="006D5603" w:rsidRPr="003A0C5C">
        <w:rPr>
          <w:szCs w:val="22"/>
        </w:rPr>
        <w:t xml:space="preserve">roject would not have indirect impacts to any known historical resources. The adjacent Dominguez Channel is listed in the Built Environment Resources Directory (BERD) for potential eligibility as a District. There was no additional information available on the District. However, the </w:t>
      </w:r>
      <w:r w:rsidR="00497241" w:rsidRPr="003A0C5C">
        <w:rPr>
          <w:szCs w:val="22"/>
        </w:rPr>
        <w:t xml:space="preserve">proposed </w:t>
      </w:r>
      <w:r w:rsidR="006D5603" w:rsidRPr="003A0C5C">
        <w:rPr>
          <w:szCs w:val="22"/>
        </w:rPr>
        <w:t xml:space="preserve">project </w:t>
      </w:r>
      <w:r w:rsidR="0038246C" w:rsidRPr="003A0C5C">
        <w:rPr>
          <w:szCs w:val="22"/>
        </w:rPr>
        <w:t>would</w:t>
      </w:r>
      <w:r w:rsidR="006D5603" w:rsidRPr="003A0C5C">
        <w:rPr>
          <w:szCs w:val="22"/>
        </w:rPr>
        <w:t xml:space="preserve"> not impact the </w:t>
      </w:r>
      <w:r w:rsidR="00273EEE" w:rsidRPr="003A0C5C">
        <w:t xml:space="preserve">Dominguez </w:t>
      </w:r>
      <w:r w:rsidR="006D5603" w:rsidRPr="003A0C5C">
        <w:rPr>
          <w:szCs w:val="22"/>
        </w:rPr>
        <w:t xml:space="preserve">Channel or related flood control components such as access roads as there </w:t>
      </w:r>
      <w:r w:rsidR="0038246C" w:rsidRPr="003A0C5C">
        <w:rPr>
          <w:szCs w:val="22"/>
        </w:rPr>
        <w:t>would</w:t>
      </w:r>
      <w:r w:rsidR="006D5603" w:rsidRPr="003A0C5C">
        <w:rPr>
          <w:szCs w:val="22"/>
        </w:rPr>
        <w:t xml:space="preserve"> not be any project components within these areas. </w:t>
      </w:r>
      <w:r w:rsidR="00BD6469" w:rsidRPr="003A0C5C">
        <w:rPr>
          <w:szCs w:val="22"/>
        </w:rPr>
        <w:t xml:space="preserve">Further, </w:t>
      </w:r>
      <w:r w:rsidR="00273EEE" w:rsidRPr="003A0C5C">
        <w:rPr>
          <w:szCs w:val="22"/>
        </w:rPr>
        <w:t xml:space="preserve">as described above, </w:t>
      </w:r>
      <w:r w:rsidR="00BD6469" w:rsidRPr="003A0C5C">
        <w:rPr>
          <w:szCs w:val="22"/>
        </w:rPr>
        <w:t>the project</w:t>
      </w:r>
      <w:r w:rsidR="00403E11" w:rsidRPr="003A0C5C">
        <w:rPr>
          <w:szCs w:val="22"/>
        </w:rPr>
        <w:t xml:space="preserve"> site</w:t>
      </w:r>
      <w:r w:rsidR="00BD6469" w:rsidRPr="003A0C5C">
        <w:rPr>
          <w:szCs w:val="22"/>
        </w:rPr>
        <w:t xml:space="preserve"> was formerly</w:t>
      </w:r>
      <w:r w:rsidR="000A0861" w:rsidRPr="003A0C5C">
        <w:rPr>
          <w:szCs w:val="22"/>
        </w:rPr>
        <w:t> </w:t>
      </w:r>
      <w:r w:rsidR="00BD6469" w:rsidRPr="003A0C5C">
        <w:rPr>
          <w:szCs w:val="22"/>
        </w:rPr>
        <w:t>developed with a large single</w:t>
      </w:r>
      <w:r w:rsidR="00331C4C" w:rsidRPr="003A0C5C">
        <w:rPr>
          <w:szCs w:val="22"/>
        </w:rPr>
        <w:t>-</w:t>
      </w:r>
      <w:r w:rsidR="00BD6469" w:rsidRPr="003A0C5C">
        <w:rPr>
          <w:szCs w:val="22"/>
        </w:rPr>
        <w:t xml:space="preserve">story warehouse </w:t>
      </w:r>
      <w:r w:rsidR="003B298D" w:rsidRPr="003A0C5C">
        <w:rPr>
          <w:szCs w:val="22"/>
        </w:rPr>
        <w:t xml:space="preserve">building that included </w:t>
      </w:r>
      <w:r w:rsidR="003B298D" w:rsidRPr="003A0C5C">
        <w:lastRenderedPageBreak/>
        <w:t>commercial/industrial uses</w:t>
      </w:r>
      <w:r w:rsidR="003B298D" w:rsidRPr="003A0C5C">
        <w:rPr>
          <w:szCs w:val="22"/>
        </w:rPr>
        <w:t xml:space="preserve"> </w:t>
      </w:r>
      <w:r w:rsidR="00BD6469" w:rsidRPr="003A0C5C">
        <w:rPr>
          <w:szCs w:val="22"/>
        </w:rPr>
        <w:t xml:space="preserve">next to the </w:t>
      </w:r>
      <w:r w:rsidR="00273EEE" w:rsidRPr="003A0C5C">
        <w:t xml:space="preserve">Dominguez </w:t>
      </w:r>
      <w:r w:rsidR="00BD6469" w:rsidRPr="003A0C5C">
        <w:rPr>
          <w:szCs w:val="22"/>
        </w:rPr>
        <w:t xml:space="preserve">Channel and the </w:t>
      </w:r>
      <w:r w:rsidR="00497241" w:rsidRPr="003A0C5C">
        <w:rPr>
          <w:szCs w:val="22"/>
        </w:rPr>
        <w:t xml:space="preserve">proposed </w:t>
      </w:r>
      <w:r w:rsidR="00BD6469" w:rsidRPr="003A0C5C">
        <w:rPr>
          <w:szCs w:val="22"/>
        </w:rPr>
        <w:t xml:space="preserve">project would have a similar development </w:t>
      </w:r>
      <w:r w:rsidR="0084223B" w:rsidRPr="003A0C5C">
        <w:rPr>
          <w:szCs w:val="22"/>
        </w:rPr>
        <w:t xml:space="preserve">consisting </w:t>
      </w:r>
      <w:r w:rsidR="00BD6469" w:rsidRPr="003A0C5C">
        <w:rPr>
          <w:szCs w:val="22"/>
        </w:rPr>
        <w:t>of a mix of one</w:t>
      </w:r>
      <w:r w:rsidR="00331C4C" w:rsidRPr="003A0C5C">
        <w:rPr>
          <w:szCs w:val="22"/>
        </w:rPr>
        <w:t>-</w:t>
      </w:r>
      <w:r w:rsidR="00BD6469" w:rsidRPr="003A0C5C">
        <w:rPr>
          <w:szCs w:val="22"/>
        </w:rPr>
        <w:t xml:space="preserve"> and two-story buildings of similar size and massing to the former development</w:t>
      </w:r>
      <w:r w:rsidR="0038246C" w:rsidRPr="003A0C5C">
        <w:rPr>
          <w:szCs w:val="22"/>
        </w:rPr>
        <w:t>,</w:t>
      </w:r>
      <w:r w:rsidR="00BD6469" w:rsidRPr="003A0C5C">
        <w:rPr>
          <w:szCs w:val="22"/>
        </w:rPr>
        <w:t xml:space="preserve"> which was present after the channel was developed until the warehouse complex was demolished in 2011, and did not impact the Dominguez Channel’s potential eligibility</w:t>
      </w:r>
      <w:r w:rsidR="00F47728" w:rsidRPr="003A0C5C">
        <w:rPr>
          <w:szCs w:val="22"/>
        </w:rPr>
        <w:t xml:space="preserve"> (refer to Appendix C of this IS/MND</w:t>
      </w:r>
      <w:r w:rsidR="006E1ED9" w:rsidRPr="003A0C5C">
        <w:rPr>
          <w:szCs w:val="22"/>
        </w:rPr>
        <w:t>)</w:t>
      </w:r>
      <w:r w:rsidR="00BD6469" w:rsidRPr="003A0C5C">
        <w:rPr>
          <w:szCs w:val="22"/>
        </w:rPr>
        <w:t xml:space="preserve">. The channel passes through a heavily developed urban and industrial area and the addition of the </w:t>
      </w:r>
      <w:r w:rsidR="00497241" w:rsidRPr="003A0C5C">
        <w:rPr>
          <w:szCs w:val="22"/>
        </w:rPr>
        <w:t xml:space="preserve">proposed </w:t>
      </w:r>
      <w:r w:rsidR="00BD6469" w:rsidRPr="003A0C5C">
        <w:rPr>
          <w:szCs w:val="22"/>
        </w:rPr>
        <w:t xml:space="preserve">project would not change the landscape surrounding the </w:t>
      </w:r>
      <w:r w:rsidR="00273EEE" w:rsidRPr="003A0C5C">
        <w:t>Dominguez Channel</w:t>
      </w:r>
      <w:r w:rsidR="00273EEE" w:rsidRPr="003A0C5C" w:rsidDel="00273EEE">
        <w:rPr>
          <w:szCs w:val="22"/>
        </w:rPr>
        <w:t xml:space="preserve"> </w:t>
      </w:r>
      <w:r w:rsidR="00BD6469" w:rsidRPr="003A0C5C">
        <w:rPr>
          <w:szCs w:val="22"/>
        </w:rPr>
        <w:t>and would not impact the potential eligibility of a District nor would it impact the portion of the channel that passes by the project site.</w:t>
      </w:r>
      <w:r w:rsidR="0038246C" w:rsidRPr="003A0C5C">
        <w:rPr>
          <w:szCs w:val="22"/>
        </w:rPr>
        <w:t xml:space="preserve"> </w:t>
      </w:r>
      <w:r w:rsidRPr="003A0C5C">
        <w:rPr>
          <w:rFonts w:eastAsia="Calibri"/>
          <w:spacing w:val="-2"/>
        </w:rPr>
        <w:t>Therefore, no impact would occur.</w:t>
      </w:r>
    </w:p>
    <w:p w14:paraId="41366DF7" w14:textId="02B4C15C" w:rsidR="00CF4BCF" w:rsidRPr="003A0C5C" w:rsidRDefault="00CF4BCF" w:rsidP="00774125">
      <w:pPr>
        <w:pStyle w:val="12spaceindent"/>
      </w:pPr>
      <w:r w:rsidRPr="003A0C5C">
        <w:t>b)</w:t>
      </w:r>
      <w:r w:rsidRPr="003A0C5C">
        <w:tab/>
        <w:t xml:space="preserve">CEQA Guidelines </w:t>
      </w:r>
      <w:r w:rsidR="00356D58" w:rsidRPr="003A0C5C">
        <w:t>Section </w:t>
      </w:r>
      <w:r w:rsidRPr="003A0C5C">
        <w:t>15064.5(a)(3)(D) generally defines archaeological resources as any resource that “has yielded, or may be likely to yield, information important in prehistory or history.” Archaeological resources are features, such as tools, utensils, carvings, fabric, building foundations, etc., that document evidence of past human endeavors and that may be historically or culturally important to a significant earlier community.</w:t>
      </w:r>
    </w:p>
    <w:p w14:paraId="423495E0" w14:textId="52D41EF5" w:rsidR="00DB385A" w:rsidRPr="003A0C5C" w:rsidRDefault="00CF4BCF" w:rsidP="00774125">
      <w:pPr>
        <w:pStyle w:val="12spaceindentcontinue"/>
        <w:rPr>
          <w:spacing w:val="-2"/>
        </w:rPr>
      </w:pPr>
      <w:r w:rsidRPr="003A0C5C">
        <w:rPr>
          <w:spacing w:val="-2"/>
        </w:rPr>
        <w:t xml:space="preserve">A records search for the project </w:t>
      </w:r>
      <w:r w:rsidR="00497241" w:rsidRPr="003A0C5C">
        <w:rPr>
          <w:spacing w:val="-2"/>
        </w:rPr>
        <w:t xml:space="preserve">site </w:t>
      </w:r>
      <w:r w:rsidRPr="003A0C5C">
        <w:rPr>
          <w:spacing w:val="-2"/>
        </w:rPr>
        <w:t xml:space="preserve">was received from the </w:t>
      </w:r>
      <w:proofErr w:type="gramStart"/>
      <w:r w:rsidRPr="003A0C5C">
        <w:rPr>
          <w:spacing w:val="-2"/>
        </w:rPr>
        <w:t>South Central</w:t>
      </w:r>
      <w:proofErr w:type="gramEnd"/>
      <w:r w:rsidRPr="003A0C5C">
        <w:rPr>
          <w:spacing w:val="-2"/>
        </w:rPr>
        <w:t xml:space="preserve"> Coastal Information Center (SCCIC) on </w:t>
      </w:r>
      <w:r w:rsidR="00285C9A" w:rsidRPr="003A0C5C">
        <w:rPr>
          <w:spacing w:val="-2"/>
        </w:rPr>
        <w:t>December 7</w:t>
      </w:r>
      <w:r w:rsidRPr="003A0C5C">
        <w:rPr>
          <w:spacing w:val="-2"/>
        </w:rPr>
        <w:t xml:space="preserve">, 2021. The records search included a review of all recorded archaeological resources and previous studies within a 0.5-mile radius of the project site. </w:t>
      </w:r>
      <w:bookmarkStart w:id="60" w:name="_Toc337568098"/>
      <w:r w:rsidR="006D5603" w:rsidRPr="003A0C5C">
        <w:rPr>
          <w:spacing w:val="-2"/>
        </w:rPr>
        <w:t xml:space="preserve">The records search results indicate five cultural resources studies have been conducted within the records search radius. The entirety of the 0.5-mile records search radius has been included in previous cultural resources studies. Of the five previous studies, one (LA-04512) overlaps the entirety of the project site. This study is a cultural resources inventory of the City conducted in 1977 and included extensive archival research and field survey of accessible parcels within the City. In reviewing the report, it is difficult to discern if the project site was included as part of the inventory’s field survey. </w:t>
      </w:r>
      <w:bookmarkEnd w:id="60"/>
      <w:r w:rsidR="00DB385A" w:rsidRPr="003A0C5C">
        <w:rPr>
          <w:spacing w:val="-2"/>
        </w:rPr>
        <w:t>The records search revealed that one cultural resource (P-19-188395) has been previously recorded within the 0.5-mile radius of the project site. This resource is a historic-period built environment resource consisting of the Shell Oil Refinery complex located approximately 0.20</w:t>
      </w:r>
      <w:r w:rsidR="008E551B" w:rsidRPr="003A0C5C">
        <w:rPr>
          <w:spacing w:val="-2"/>
        </w:rPr>
        <w:t xml:space="preserve"> </w:t>
      </w:r>
      <w:r w:rsidR="00DB385A" w:rsidRPr="003A0C5C">
        <w:rPr>
          <w:spacing w:val="-2"/>
        </w:rPr>
        <w:t xml:space="preserve">miles north of the project site. </w:t>
      </w:r>
      <w:r w:rsidRPr="003A0C5C">
        <w:rPr>
          <w:spacing w:val="-2"/>
        </w:rPr>
        <w:t>No resources have been recorded within the project site.</w:t>
      </w:r>
      <w:r w:rsidR="00893717" w:rsidRPr="003A0C5C">
        <w:rPr>
          <w:spacing w:val="-2"/>
        </w:rPr>
        <w:t xml:space="preserve"> </w:t>
      </w:r>
      <w:r w:rsidR="00DB385A" w:rsidRPr="003A0C5C">
        <w:rPr>
          <w:spacing w:val="-2"/>
        </w:rPr>
        <w:t xml:space="preserve">A survey of the project site further did not result in the recordation of any additional resources. </w:t>
      </w:r>
    </w:p>
    <w:p w14:paraId="1E572D32" w14:textId="5FD7E4C1" w:rsidR="00774125" w:rsidRPr="003A0C5C" w:rsidRDefault="00CB0FFF" w:rsidP="002E6215">
      <w:pPr>
        <w:pStyle w:val="12spaceindentcontinue"/>
        <w:rPr>
          <w:rFonts w:ascii="Arial" w:eastAsia="Times New Roman" w:hAnsi="Arial" w:cs="Times New Roman"/>
          <w:b/>
        </w:rPr>
      </w:pPr>
      <w:r w:rsidRPr="003A0C5C">
        <w:t>T</w:t>
      </w:r>
      <w:r w:rsidR="00DB385A" w:rsidRPr="003A0C5C">
        <w:t xml:space="preserve">he project site has been subject to a number of previous disturbances, which is reflected by the presence of artificial fill as identified as a result of geotechnical borings. </w:t>
      </w:r>
      <w:r w:rsidR="002B7C44" w:rsidRPr="003A0C5C">
        <w:t>Additionally, a remediation program was carried out in 2014 to remediate 7,255.69 tons of contaminated soil from four discrete locations within the project site (</w:t>
      </w:r>
      <w:r w:rsidR="002B7C44" w:rsidRPr="003A0C5C">
        <w:rPr>
          <w:b/>
        </w:rPr>
        <w:t>Figure 2-5</w:t>
      </w:r>
      <w:r w:rsidR="00164276" w:rsidRPr="003A0C5C">
        <w:rPr>
          <w:b/>
        </w:rPr>
        <w:t xml:space="preserve">, </w:t>
      </w:r>
      <w:r w:rsidR="00164276" w:rsidRPr="003A0C5C">
        <w:rPr>
          <w:i/>
        </w:rPr>
        <w:t>Remediation Areas</w:t>
      </w:r>
      <w:r w:rsidR="002B7C44" w:rsidRPr="003A0C5C">
        <w:t>). These four areas were excavated to depths ranging from 5 to 8</w:t>
      </w:r>
      <w:r w:rsidR="008E551B" w:rsidRPr="003A0C5C">
        <w:t xml:space="preserve"> </w:t>
      </w:r>
      <w:r w:rsidR="002B7C44" w:rsidRPr="003A0C5C">
        <w:t>feet</w:t>
      </w:r>
      <w:r w:rsidR="008E551B" w:rsidRPr="003A0C5C">
        <w:t xml:space="preserve"> </w:t>
      </w:r>
      <w:r w:rsidR="002B7C44" w:rsidRPr="003A0C5C">
        <w:t>deep to remove petroleum hydrocarbons and volatile organic compounds from the project site. Following the removal of the contaminated soils, the excavated areas were backfilled with imported clean fill or with a mix of crushed concrete and imported fill.</w:t>
      </w:r>
      <w:r w:rsidR="00485E18" w:rsidRPr="003A0C5C">
        <w:t xml:space="preserve"> </w:t>
      </w:r>
      <w:r w:rsidR="00DB385A" w:rsidRPr="003A0C5C">
        <w:t xml:space="preserve">Project-related ground disturbance within the artificial fill is not likely to encounter subsurface archaeological resources; however, there may exist pockets of undisturbed sediments within the project site, outside of the remediation areas or below the remediation areas that may contain subsurface archaeological deposits. </w:t>
      </w:r>
      <w:r w:rsidR="00774125" w:rsidRPr="003A0C5C">
        <w:br w:type="page"/>
      </w:r>
    </w:p>
    <w:p w14:paraId="2C524562" w14:textId="5968A38D" w:rsidR="00F47C7B" w:rsidRPr="003A0C5C" w:rsidRDefault="00F47C7B" w:rsidP="00F47C7B">
      <w:pPr>
        <w:pStyle w:val="Figure"/>
      </w:pPr>
      <w:bookmarkStart w:id="61" w:name="_Toc101792192"/>
      <w:r w:rsidRPr="003A0C5C">
        <w:lastRenderedPageBreak/>
        <w:t>Figure 2</w:t>
      </w:r>
      <w:r w:rsidRPr="003A0C5C">
        <w:noBreakHyphen/>
        <w:t>5</w:t>
      </w:r>
      <w:r w:rsidRPr="003A0C5C">
        <w:tab/>
        <w:t>Remediation Areas</w:t>
      </w:r>
      <w:bookmarkEnd w:id="61"/>
      <w:r w:rsidRPr="003A0C5C">
        <w:t xml:space="preserve"> </w:t>
      </w:r>
    </w:p>
    <w:p w14:paraId="6B3C9ABD" w14:textId="77777777" w:rsidR="00F47C7B" w:rsidRPr="003A0C5C" w:rsidRDefault="00F47C7B" w:rsidP="00F47C7B">
      <w:pPr>
        <w:rPr>
          <w:highlight w:val="yellow"/>
        </w:rPr>
      </w:pPr>
      <w:r w:rsidRPr="003A0C5C">
        <w:rPr>
          <w:highlight w:val="yellow"/>
        </w:rPr>
        <w:br w:type="page"/>
      </w:r>
    </w:p>
    <w:p w14:paraId="6E280573" w14:textId="489AE774" w:rsidR="00D21786" w:rsidRPr="003A0C5C" w:rsidRDefault="00DB385A" w:rsidP="00774125">
      <w:pPr>
        <w:pStyle w:val="12spaceindentcontinue"/>
      </w:pPr>
      <w:r w:rsidRPr="003A0C5C">
        <w:lastRenderedPageBreak/>
        <w:t xml:space="preserve">Should these potential deposits be present they may qualify as historical resources or unique archaeological resources pursuant to CEQA. </w:t>
      </w:r>
    </w:p>
    <w:p w14:paraId="192B663D" w14:textId="209AEBA3" w:rsidR="00CF4BCF" w:rsidRPr="003A0C5C" w:rsidRDefault="00CF4BCF" w:rsidP="00774125">
      <w:pPr>
        <w:pStyle w:val="12spaceindentcontinue"/>
      </w:pPr>
      <w:r w:rsidRPr="003A0C5C">
        <w:t>I</w:t>
      </w:r>
      <w:r w:rsidR="00B5026E" w:rsidRPr="003A0C5C">
        <w:t xml:space="preserve">n order to </w:t>
      </w:r>
      <w:r w:rsidR="00A95562" w:rsidRPr="003A0C5C">
        <w:t xml:space="preserve">avoid significant impacts to any </w:t>
      </w:r>
      <w:r w:rsidR="00DA0260" w:rsidRPr="003A0C5C">
        <w:t>historic</w:t>
      </w:r>
      <w:r w:rsidR="000C52FD" w:rsidRPr="003A0C5C">
        <w:t>al</w:t>
      </w:r>
      <w:r w:rsidR="00DA0260" w:rsidRPr="003A0C5C">
        <w:t xml:space="preserve"> or </w:t>
      </w:r>
      <w:r w:rsidR="00697B57" w:rsidRPr="003A0C5C">
        <w:t xml:space="preserve">unique archaeological </w:t>
      </w:r>
      <w:r w:rsidR="00DA0260" w:rsidRPr="003A0C5C">
        <w:t>resources that may be present, i</w:t>
      </w:r>
      <w:r w:rsidRPr="003A0C5C">
        <w:t>t is recommended that an archaeological monitor be present during initial ground-disturbing activities, including grubbing and other methods of de-vegetation, in order to assess surface and subsurface conditions</w:t>
      </w:r>
      <w:r w:rsidR="00BD6469" w:rsidRPr="003A0C5C">
        <w:t xml:space="preserve"> outside or below the remediation areas</w:t>
      </w:r>
      <w:r w:rsidRPr="003A0C5C">
        <w:t>. Based on observations made by the archaeological monitor, monitoring activities may be modified or discontinued at the recommendation of the archaeologist. Additionally, it is recommended that protocols for work stoppage in the event that archaeological resources or human remains are encountered during construction should be implemented.</w:t>
      </w:r>
    </w:p>
    <w:p w14:paraId="30FDF0A7" w14:textId="4C2E341B" w:rsidR="00CF4BCF" w:rsidRPr="003A0C5C" w:rsidRDefault="00CF4BCF" w:rsidP="00774125">
      <w:pPr>
        <w:pStyle w:val="12spaceindentcontinue"/>
      </w:pPr>
      <w:r w:rsidRPr="003A0C5C">
        <w:t xml:space="preserve">Based on these results, Mitigation Measure MM-CULT-1 </w:t>
      </w:r>
      <w:r w:rsidR="00327034" w:rsidRPr="003A0C5C">
        <w:t>is</w:t>
      </w:r>
      <w:r w:rsidRPr="003A0C5C">
        <w:t xml:space="preserve"> identified to ensure that potentially significant impacts to archaeological resources are reduced to a less-than-significant level.</w:t>
      </w:r>
    </w:p>
    <w:p w14:paraId="1905FCE1" w14:textId="77777777" w:rsidR="00CF4BCF" w:rsidRPr="003A0C5C" w:rsidRDefault="00CF4BCF" w:rsidP="00CF4BCF">
      <w:pPr>
        <w:pStyle w:val="Heading6"/>
        <w:ind w:left="720"/>
      </w:pPr>
      <w:r w:rsidRPr="003A0C5C">
        <w:t>Mitigation Measure</w:t>
      </w:r>
    </w:p>
    <w:p w14:paraId="15C2FEC9" w14:textId="1C88ECE2" w:rsidR="00CF4BCF" w:rsidRPr="003A0C5C" w:rsidRDefault="00CF4BCF" w:rsidP="00774125">
      <w:pPr>
        <w:pStyle w:val="Mitigation"/>
      </w:pPr>
      <w:r w:rsidRPr="003A0C5C">
        <w:rPr>
          <w:rStyle w:val="Bold"/>
        </w:rPr>
        <w:t>MM-CULT-1.</w:t>
      </w:r>
      <w:r w:rsidRPr="003A0C5C">
        <w:t xml:space="preserve"> Prior to issuance of demolition permit, the Applicant shall retain a qualified Archaeologist who meets the Secretary of the Interior’s Professional Qualifications Standards (Qualified Archaeologist) to oversee an archaeological monitor who shall be present during construction excavations such as demolition, clearing/grubbing, grading, trenching, or any other construction excavation activity associated with the </w:t>
      </w:r>
      <w:r w:rsidR="00497241" w:rsidRPr="003A0C5C">
        <w:t xml:space="preserve">proposed </w:t>
      </w:r>
      <w:r w:rsidRPr="003A0C5C">
        <w:t>project</w:t>
      </w:r>
      <w:r w:rsidR="00BD6469" w:rsidRPr="003A0C5C">
        <w:t xml:space="preserve"> that occur outside or below the remediation areas</w:t>
      </w:r>
      <w:r w:rsidRPr="003A0C5C">
        <w:t>. The frequency of monitoring shall be based on the rate of excavation and grading activities, proximity to known archaeological resources, the materials being excavated (younger alluvium vs. older alluvium), and the depth of excavation, and if found, the abundance and type of archaeological resources encountered, as determined by the Qualified Archaeologist. Full-time field observation can be reduced to part-time inspections or ceased entirely if determined appropriate by the Qualified Archaeologist. Prior to commencement of excavation activities, an Archaeological and Cultural Resources Sensitivity Training shall be given for construction personnel. The training session, shall be carried out by the Qualified Archaeologist and shall focus on how to identify archaeological and cultural resources that may be encountered during earthmoving activities and the procedures to be followed in such an event.</w:t>
      </w:r>
    </w:p>
    <w:p w14:paraId="74B51D96" w14:textId="53A3470B" w:rsidR="00CF4BCF" w:rsidRPr="003A0C5C" w:rsidRDefault="00CF4BCF" w:rsidP="00774125">
      <w:pPr>
        <w:pStyle w:val="Mitigation"/>
      </w:pPr>
      <w:r w:rsidRPr="003A0C5C">
        <w:t xml:space="preserve">In the event that historic or prehistoric archaeological resources (e.g., bottles, foundations, refuse dumps, Native American artifacts or features, etc.) are unearthed, ground-disturbing activities shall be halted or diverted away from the vicinity of the find so that the find can be evaluated. An appropriate buffer area shall be established by the Qualified Archaeologist around the find where construction activities shall not be allowed to continue. Work shall be allowed to continue outside of the buffer area. All archaeological resources unearthed by project construction activities shall be evaluated by the Qualified Archaeologist and a </w:t>
      </w:r>
      <w:proofErr w:type="spellStart"/>
      <w:r w:rsidR="00D96A34" w:rsidRPr="003A0C5C">
        <w:t>Gabriele</w:t>
      </w:r>
      <w:r w:rsidR="00D96A34" w:rsidRPr="003A0C5C">
        <w:rPr>
          <w:rFonts w:cs="Times New Roman"/>
        </w:rPr>
        <w:t>ño</w:t>
      </w:r>
      <w:proofErr w:type="spellEnd"/>
      <w:r w:rsidR="00D96A34" w:rsidRPr="003A0C5C" w:rsidDel="004D558B">
        <w:t xml:space="preserve"> </w:t>
      </w:r>
      <w:r w:rsidR="00D96A34" w:rsidRPr="003A0C5C">
        <w:t xml:space="preserve">Band of Mission Indians – </w:t>
      </w:r>
      <w:proofErr w:type="spellStart"/>
      <w:r w:rsidR="00D96A34" w:rsidRPr="003A0C5C">
        <w:t>Kizh</w:t>
      </w:r>
      <w:proofErr w:type="spellEnd"/>
      <w:r w:rsidR="00D96A34" w:rsidRPr="003A0C5C">
        <w:t xml:space="preserve"> Nation</w:t>
      </w:r>
      <w:r w:rsidR="00D96A34" w:rsidRPr="003A0C5C" w:rsidDel="00D96A34">
        <w:t xml:space="preserve"> </w:t>
      </w:r>
      <w:r w:rsidR="00A008F7" w:rsidRPr="003A0C5C">
        <w:t>Monitor</w:t>
      </w:r>
      <w:r w:rsidRPr="003A0C5C">
        <w:t xml:space="preserve">. If the resources are Native American in origin, the </w:t>
      </w:r>
      <w:proofErr w:type="spellStart"/>
      <w:r w:rsidR="00D96A34" w:rsidRPr="003A0C5C">
        <w:t>Kizh</w:t>
      </w:r>
      <w:proofErr w:type="spellEnd"/>
      <w:r w:rsidR="00D96A34" w:rsidRPr="003A0C5C">
        <w:t xml:space="preserve"> Nation</w:t>
      </w:r>
      <w:r w:rsidRPr="003A0C5C">
        <w:t xml:space="preserve"> shall consult with the City and Qualified Archaeologist regarding the treatment and curation of any prehistoric archaeological resources. If a resource is determined by the Qualified Archaeologist to constitute a “historical resource” pursuant to CEQA Guidelines </w:t>
      </w:r>
      <w:r w:rsidR="00356D58" w:rsidRPr="003A0C5C">
        <w:t>Section </w:t>
      </w:r>
      <w:r w:rsidRPr="003A0C5C">
        <w:t xml:space="preserve">15064.5(a) or a “unique archaeological resource” pursuant to Public Resources Code </w:t>
      </w:r>
      <w:r w:rsidR="00356D58" w:rsidRPr="003A0C5C">
        <w:t>Section </w:t>
      </w:r>
      <w:r w:rsidRPr="003A0C5C">
        <w:t xml:space="preserve">21083.2(g), the Qualified Archaeologist shall coordinate with the Applicant and the City to develop a </w:t>
      </w:r>
      <w:r w:rsidRPr="003A0C5C">
        <w:lastRenderedPageBreak/>
        <w:t xml:space="preserve">formal treatment plan that would serve to reduce impacts to the resources. The treatment plan established for the resources shall be in accordance with CEQA Guidelines </w:t>
      </w:r>
      <w:r w:rsidR="00356D58" w:rsidRPr="003A0C5C">
        <w:t>Section </w:t>
      </w:r>
      <w:r w:rsidRPr="003A0C5C">
        <w:t xml:space="preserve">15064.5(f) for historical resources and </w:t>
      </w:r>
      <w:bookmarkStart w:id="62" w:name="_Hlk101727698"/>
      <w:r w:rsidRPr="003A0C5C">
        <w:t>Public Resources Code</w:t>
      </w:r>
      <w:bookmarkEnd w:id="62"/>
      <w:r w:rsidRPr="003A0C5C">
        <w:t xml:space="preserve"> </w:t>
      </w:r>
      <w:r w:rsidR="00356D58" w:rsidRPr="003A0C5C">
        <w:t>Section </w:t>
      </w:r>
      <w:r w:rsidRPr="003A0C5C">
        <w:t xml:space="preserve">21083.2(b) for unique archaeological resources. The treatment plan shall incorporate the </w:t>
      </w:r>
      <w:proofErr w:type="spellStart"/>
      <w:r w:rsidR="00714BCF" w:rsidRPr="003A0C5C">
        <w:t>Kizh</w:t>
      </w:r>
      <w:proofErr w:type="spellEnd"/>
      <w:r w:rsidR="00714BCF" w:rsidRPr="003A0C5C">
        <w:t xml:space="preserve"> Nation</w:t>
      </w:r>
      <w:r w:rsidRPr="003A0C5C">
        <w:t xml:space="preserve">’s treatment and curation recommendations. Preservation in place (i.e., avoidance) is the preferred manner of treatment. If preservation in place is not feasible, treatment may include implementation of archaeological data recovery excavations to remove the resource along with subsequent laboratory processing and analysis. The treatment plan shall include measures regarding the curation of the recovered resources that may include curation at a public, non-profit institution with a research interest in the materials, such as the Natural History Museum of Los Angeles County or the Fowler Museum, if such an institution agrees to accept the material and/or the </w:t>
      </w:r>
      <w:proofErr w:type="spellStart"/>
      <w:r w:rsidR="00714BCF" w:rsidRPr="003A0C5C">
        <w:t>Kizh</w:t>
      </w:r>
      <w:proofErr w:type="spellEnd"/>
      <w:r w:rsidR="00714BCF" w:rsidRPr="003A0C5C">
        <w:t xml:space="preserve"> Nation</w:t>
      </w:r>
      <w:r w:rsidRPr="003A0C5C">
        <w:t xml:space="preserve">. If no institution or the </w:t>
      </w:r>
      <w:proofErr w:type="spellStart"/>
      <w:r w:rsidR="00714BCF" w:rsidRPr="003A0C5C">
        <w:t>Kizh</w:t>
      </w:r>
      <w:proofErr w:type="spellEnd"/>
      <w:r w:rsidR="00714BCF" w:rsidRPr="003A0C5C">
        <w:t xml:space="preserve"> Nation</w:t>
      </w:r>
      <w:r w:rsidR="00714BCF" w:rsidRPr="003A0C5C" w:rsidDel="00714BCF">
        <w:t xml:space="preserve"> </w:t>
      </w:r>
      <w:r w:rsidRPr="003A0C5C">
        <w:t>accepts the resources, they may be donated to a local school or historical society in the area (such as the Culver City Historical Society) for educational purposes.</w:t>
      </w:r>
    </w:p>
    <w:p w14:paraId="633D0903" w14:textId="3A699630" w:rsidR="00CF4BCF" w:rsidRPr="003A0C5C" w:rsidRDefault="00CF4BCF" w:rsidP="00774125">
      <w:pPr>
        <w:pStyle w:val="Mitigation"/>
      </w:pPr>
      <w:r w:rsidRPr="003A0C5C">
        <w:t xml:space="preserve">Prior to the release of the grading bond, the Qualified Archaeologist shall prepare a final report and appropriate California Department of Parks and Recreation Site Forms at the conclusion of archaeological monitoring. The report shall include a description of resources unearthed, if any, treatment of the resources, results of the artifact processing, analysis, and research, and evaluation of the resources with respect to the California Register of Historical Resources and CEQA. The report and the Site Forms shall be submitted by the Applicant to the City, the </w:t>
      </w:r>
      <w:proofErr w:type="gramStart"/>
      <w:r w:rsidRPr="003A0C5C">
        <w:t>South Central</w:t>
      </w:r>
      <w:proofErr w:type="gramEnd"/>
      <w:r w:rsidRPr="003A0C5C">
        <w:t xml:space="preserve"> Coastal Information Center, and representatives of other appropriate or concerned agencies to signify the satisfactory completion of the </w:t>
      </w:r>
      <w:r w:rsidR="00497241" w:rsidRPr="003A0C5C">
        <w:t xml:space="preserve">proposed </w:t>
      </w:r>
      <w:r w:rsidRPr="003A0C5C">
        <w:t>project and required mitigation measures.</w:t>
      </w:r>
    </w:p>
    <w:p w14:paraId="378FAC4E" w14:textId="6B80DA78" w:rsidR="00CF4BCF" w:rsidRPr="003A0C5C" w:rsidRDefault="00CF4BCF" w:rsidP="00774125">
      <w:pPr>
        <w:pStyle w:val="12spaceindent"/>
      </w:pPr>
      <w:r w:rsidRPr="003A0C5C">
        <w:t>c)</w:t>
      </w:r>
      <w:r w:rsidRPr="003A0C5C">
        <w:tab/>
        <w:t xml:space="preserve">The California Native American Heritage Commission (NAHC) was contacted on </w:t>
      </w:r>
      <w:r w:rsidR="00DB385A" w:rsidRPr="003A0C5C">
        <w:t>November 2</w:t>
      </w:r>
      <w:r w:rsidRPr="003A0C5C">
        <w:t xml:space="preserve">, 2021, to request a search of the </w:t>
      </w:r>
      <w:r w:rsidR="00327034" w:rsidRPr="003A0C5C">
        <w:t>Sacred Land</w:t>
      </w:r>
      <w:r w:rsidR="004700D3" w:rsidRPr="003A0C5C">
        <w:t>s</w:t>
      </w:r>
      <w:r w:rsidR="00327034" w:rsidRPr="003A0C5C">
        <w:t xml:space="preserve"> File (</w:t>
      </w:r>
      <w:r w:rsidRPr="003A0C5C">
        <w:t>SLF</w:t>
      </w:r>
      <w:r w:rsidR="00327034" w:rsidRPr="003A0C5C">
        <w:t>)</w:t>
      </w:r>
      <w:r w:rsidRPr="003A0C5C">
        <w:t xml:space="preserve">. The NAHC responded to the request in a letter dated </w:t>
      </w:r>
      <w:r w:rsidR="00DB385A" w:rsidRPr="003A0C5C">
        <w:t>December 16</w:t>
      </w:r>
      <w:r w:rsidRPr="003A0C5C">
        <w:t>, 2021, with the results of the SLF search conducted by the NAHC, which indicated a negative search result. The NAHC provided a list of tribes who could be contacted for information regarding known and recorded sites.</w:t>
      </w:r>
    </w:p>
    <w:p w14:paraId="1DD1FB9D" w14:textId="3D054EB5" w:rsidR="00CF4BCF" w:rsidRPr="003A0C5C" w:rsidRDefault="00CF4BCF" w:rsidP="00774125">
      <w:pPr>
        <w:pStyle w:val="12spaceindentcontinue"/>
      </w:pPr>
      <w:r w:rsidRPr="003A0C5C">
        <w:t xml:space="preserve">Archival research did not reveal any evidence that human remains could be found at the project site or in the area adjacent to the project site. Even so, construction of the </w:t>
      </w:r>
      <w:r w:rsidR="00497241" w:rsidRPr="003A0C5C">
        <w:t xml:space="preserve">proposed </w:t>
      </w:r>
      <w:r w:rsidRPr="003A0C5C">
        <w:t>project could potentially disturb previously unknown human remains. Implementation of Mitigation Measure</w:t>
      </w:r>
      <w:r w:rsidR="00C337B4" w:rsidRPr="003A0C5C">
        <w:t>s</w:t>
      </w:r>
      <w:r w:rsidRPr="003A0C5C">
        <w:t xml:space="preserve"> </w:t>
      </w:r>
      <w:r w:rsidR="00327034" w:rsidRPr="003A0C5C">
        <w:t>MM-</w:t>
      </w:r>
      <w:r w:rsidRPr="003A0C5C">
        <w:t xml:space="preserve">CULT-2 </w:t>
      </w:r>
      <w:r w:rsidR="009D6D8C" w:rsidRPr="003A0C5C">
        <w:t xml:space="preserve">and MM-CULT-3 </w:t>
      </w:r>
      <w:r w:rsidRPr="003A0C5C">
        <w:t>would ensure impacts related to the discovery of human remains would be reduced to a less than significant level.</w:t>
      </w:r>
    </w:p>
    <w:p w14:paraId="1BAE7042" w14:textId="77777777" w:rsidR="00CF4BCF" w:rsidRPr="003A0C5C" w:rsidRDefault="00CF4BCF" w:rsidP="00774125">
      <w:pPr>
        <w:pStyle w:val="Heading6"/>
        <w:ind w:left="720"/>
        <w:jc w:val="both"/>
      </w:pPr>
      <w:r w:rsidRPr="003A0C5C">
        <w:t>Mitigation Measure</w:t>
      </w:r>
    </w:p>
    <w:p w14:paraId="0E154CA0" w14:textId="486E6419" w:rsidR="00CF4BCF" w:rsidRPr="003A0C5C" w:rsidRDefault="00CF4BCF" w:rsidP="00774125">
      <w:pPr>
        <w:pStyle w:val="Mitigation"/>
        <w:rPr>
          <w:spacing w:val="-2"/>
        </w:rPr>
      </w:pPr>
      <w:r w:rsidRPr="003A0C5C">
        <w:rPr>
          <w:rStyle w:val="Bold"/>
          <w:spacing w:val="-2"/>
        </w:rPr>
        <w:t>MM-CULT-2.</w:t>
      </w:r>
      <w:r w:rsidRPr="003A0C5C">
        <w:rPr>
          <w:spacing w:val="-2"/>
        </w:rPr>
        <w:t xml:space="preserve"> If human remains are encountered unexpectedly during implementation of the </w:t>
      </w:r>
      <w:r w:rsidR="00497241" w:rsidRPr="003A0C5C">
        <w:rPr>
          <w:spacing w:val="-2"/>
        </w:rPr>
        <w:t xml:space="preserve">proposed </w:t>
      </w:r>
      <w:r w:rsidRPr="003A0C5C">
        <w:rPr>
          <w:spacing w:val="-2"/>
        </w:rPr>
        <w:t xml:space="preserve">project, State Health and Safety Code </w:t>
      </w:r>
      <w:r w:rsidR="00356D58" w:rsidRPr="003A0C5C">
        <w:rPr>
          <w:spacing w:val="-2"/>
        </w:rPr>
        <w:t>Section </w:t>
      </w:r>
      <w:r w:rsidRPr="003A0C5C">
        <w:rPr>
          <w:spacing w:val="-2"/>
        </w:rPr>
        <w:t xml:space="preserve">7050.5 requires that no further disturbance shall occur until the County Coroner has made the necessary findings as to origin and disposition pursuant to </w:t>
      </w:r>
      <w:r w:rsidR="009A6D3E" w:rsidRPr="003A0C5C">
        <w:rPr>
          <w:spacing w:val="-2"/>
        </w:rPr>
        <w:t>Public Resources Code</w:t>
      </w:r>
      <w:r w:rsidR="009A6D3E" w:rsidRPr="003A0C5C" w:rsidDel="009A6D3E">
        <w:rPr>
          <w:spacing w:val="-2"/>
        </w:rPr>
        <w:t xml:space="preserve"> </w:t>
      </w:r>
      <w:r w:rsidR="00356D58" w:rsidRPr="003A0C5C">
        <w:rPr>
          <w:spacing w:val="-2"/>
        </w:rPr>
        <w:t>Section </w:t>
      </w:r>
      <w:r w:rsidRPr="003A0C5C">
        <w:rPr>
          <w:spacing w:val="-2"/>
        </w:rPr>
        <w:t xml:space="preserve">5097.98. If the remains are determined to be of Native American descent, the coroner has 24 hours to notify the NAHC. The NAHC shall then identify the person(s) thought to be the Most Likely Descendent (MLD). The MLD may, with the permission of the land owner, or his or her authorized representative, inspect the site of the discovery of the Native American remains and may recommend to the owner or the person responsible for the excavation work means for treating or disposing, with appropriate dignity, the human remains and any associated grave goods. </w:t>
      </w:r>
      <w:r w:rsidRPr="003A0C5C">
        <w:rPr>
          <w:spacing w:val="-2"/>
        </w:rPr>
        <w:lastRenderedPageBreak/>
        <w:t>The MLD shall complete their inspection and make their recommendation within 48 hours of being granted access by the land owner to inspect the discovery. The recommendation may include the scientific removal and nondestructive analysis of human remains and items associated with Native American burials. Upon the discovery of the Native American remains, the landowner shall ensure that the immediate vicinity, according to generally accepted cultural or archaeological standards or practices, where the Native American human remains are located, is not damaged or disturbed by further development activity until the landowner has discussed and conferred, as prescribed in this mitigation measure, with the MLD regarding their recommendations, if applicable, taking into account the possibility of multiple human remains. The landowner shall discuss and confer with the descendants all reasonable options regarding the descendants’ preferences for treatment.</w:t>
      </w:r>
    </w:p>
    <w:p w14:paraId="622955E3" w14:textId="5F22E41B" w:rsidR="00CF4BCF" w:rsidRPr="003A0C5C" w:rsidRDefault="00CF4BCF" w:rsidP="00774125">
      <w:pPr>
        <w:pStyle w:val="Mitigation"/>
      </w:pPr>
      <w:r w:rsidRPr="003A0C5C">
        <w:t xml:space="preserve">If the NAHC is unable to identify a MLD, or the MLD identified fails to make a recommendation, or the landowner rejects the recommendation of the MLD and the mediation provided for in </w:t>
      </w:r>
      <w:r w:rsidR="009A6D3E" w:rsidRPr="003A0C5C">
        <w:t>Public Resources Code</w:t>
      </w:r>
      <w:r w:rsidR="009A6D3E" w:rsidRPr="003A0C5C" w:rsidDel="009A6D3E">
        <w:t xml:space="preserve"> </w:t>
      </w:r>
      <w:r w:rsidR="00356D58" w:rsidRPr="003A0C5C">
        <w:t>Section </w:t>
      </w:r>
      <w:r w:rsidRPr="003A0C5C">
        <w:t>5097.94, subdivision (k), if invoked, fails to provide measures acceptable to the landowner, the landowner or his or her authorized representative shall inter the human remains and items associated with Native American human remains with appropriate dignity on the facility property in a location not subject to further and future subsurface disturbance.</w:t>
      </w:r>
    </w:p>
    <w:p w14:paraId="3983B81D" w14:textId="6568E5E1" w:rsidR="00E473ED" w:rsidRPr="003A0C5C" w:rsidRDefault="00C361EC" w:rsidP="00C337B4">
      <w:pPr>
        <w:pStyle w:val="Mitigation"/>
      </w:pPr>
      <w:r w:rsidRPr="003A0C5C">
        <w:rPr>
          <w:rStyle w:val="Bold"/>
          <w:spacing w:val="-2"/>
        </w:rPr>
        <w:t>MM-CULT-3</w:t>
      </w:r>
      <w:r w:rsidR="00FD5F91" w:rsidRPr="003A0C5C">
        <w:rPr>
          <w:rStyle w:val="Bold"/>
          <w:spacing w:val="-2"/>
        </w:rPr>
        <w:t xml:space="preserve">. </w:t>
      </w:r>
      <w:r w:rsidR="009D6D8C" w:rsidRPr="003A0C5C">
        <w:t xml:space="preserve">In the case of human remains findings (as mitigated under MM-CULT-2), should the remains be determined to be Native American and should the </w:t>
      </w:r>
      <w:proofErr w:type="spellStart"/>
      <w:r w:rsidR="009D6D8C" w:rsidRPr="003A0C5C">
        <w:t>Kizh</w:t>
      </w:r>
      <w:proofErr w:type="spellEnd"/>
      <w:r w:rsidR="009D6D8C" w:rsidRPr="003A0C5C">
        <w:t xml:space="preserve"> </w:t>
      </w:r>
      <w:r w:rsidR="006D3E06" w:rsidRPr="003A0C5C">
        <w:t xml:space="preserve">Nation </w:t>
      </w:r>
      <w:r w:rsidR="009D6D8C" w:rsidRPr="003A0C5C">
        <w:t xml:space="preserve">be recommended by the NAHC as Most Likely Descendant (MLD), then the following policy </w:t>
      </w:r>
      <w:r w:rsidR="00D67C7E" w:rsidRPr="003A0C5C">
        <w:t xml:space="preserve">shall </w:t>
      </w:r>
      <w:r w:rsidR="009D6D8C" w:rsidRPr="003A0C5C">
        <w:t xml:space="preserve">apply. Should the </w:t>
      </w:r>
      <w:proofErr w:type="spellStart"/>
      <w:r w:rsidR="009D6D8C" w:rsidRPr="003A0C5C">
        <w:t>Kizh</w:t>
      </w:r>
      <w:proofErr w:type="spellEnd"/>
      <w:r w:rsidR="009D6D8C" w:rsidRPr="003A0C5C">
        <w:t xml:space="preserve"> </w:t>
      </w:r>
      <w:r w:rsidR="006D3E06" w:rsidRPr="003A0C5C">
        <w:t xml:space="preserve">Nation </w:t>
      </w:r>
      <w:r w:rsidR="009D6D8C" w:rsidRPr="003A0C5C">
        <w:t>not be named MLD by the NAHC other procedures may be required by the assigned MLD. As the MLD, the Koo-</w:t>
      </w:r>
      <w:proofErr w:type="spellStart"/>
      <w:r w:rsidR="009D6D8C" w:rsidRPr="003A0C5C">
        <w:t>nas</w:t>
      </w:r>
      <w:proofErr w:type="spellEnd"/>
      <w:r w:rsidR="009D6D8C" w:rsidRPr="003A0C5C">
        <w:t>-</w:t>
      </w:r>
      <w:proofErr w:type="spellStart"/>
      <w:r w:rsidR="009D6D8C" w:rsidRPr="003A0C5C">
        <w:t>gna</w:t>
      </w:r>
      <w:proofErr w:type="spellEnd"/>
      <w:r w:rsidR="009D6D8C" w:rsidRPr="003A0C5C">
        <w:t xml:space="preserve"> Burial Policy shall be implemented. To </w:t>
      </w:r>
      <w:r w:rsidR="00714BCF" w:rsidRPr="003A0C5C">
        <w:t xml:space="preserve">the </w:t>
      </w:r>
      <w:proofErr w:type="spellStart"/>
      <w:r w:rsidR="00714BCF" w:rsidRPr="003A0C5C">
        <w:t>Kizh</w:t>
      </w:r>
      <w:proofErr w:type="spellEnd"/>
      <w:r w:rsidR="00714BCF" w:rsidRPr="003A0C5C">
        <w:t xml:space="preserve"> Nation</w:t>
      </w:r>
      <w:r w:rsidR="009D6D8C" w:rsidRPr="003A0C5C">
        <w:t xml:space="preserve">, the term “human remains” encompasses more than human bones. In ancient as well as historic times, Tribal Traditions included, but were </w:t>
      </w:r>
      <w:r w:rsidR="009D6D8C" w:rsidRPr="003A0C5C">
        <w:rPr>
          <w:rStyle w:val="Bold"/>
          <w:b w:val="0"/>
          <w:bCs/>
          <w:spacing w:val="-2"/>
        </w:rPr>
        <w:t>not</w:t>
      </w:r>
      <w:r w:rsidR="009D6D8C" w:rsidRPr="003A0C5C">
        <w:t xml:space="preserve"> limited to, the preparation of the soil for burial, the burial of funerary objects with the deceased, and the ceremonial burning of human remains. If the discovery of human remains includes four or more burials, the discovery location shall be treated as a cemetery and a separate treatment plan shall be created. The prepared soil and cremation soils are to be treated in the same manner as bone fragments that remain intact. Associated funerary objects are objects that, as part of the death rite or ceremony of a culture, are reasonably believed to have been placed with individual human remains either at the time of death or later; other items made exclusively for burial purposes or to contain human remains can also be considered as associated funerary objects. Cremations will either be removed in bulk or by means as necessary to ensure complete recovery of all sacred materials. In the case where discovered human remains cannot be fully documented and recovered on the same day, the remains will be covered with muslin cloth and a steel plate that can be moved by heavy equipment placed over the excavation opening to protect the remains. If this type of steel plate is not available, a 24-hour guard should be posted outside of working hours. The </w:t>
      </w:r>
      <w:proofErr w:type="spellStart"/>
      <w:r w:rsidR="001E30C0" w:rsidRPr="003A0C5C">
        <w:t>Kizh</w:t>
      </w:r>
      <w:proofErr w:type="spellEnd"/>
      <w:r w:rsidR="001E30C0" w:rsidRPr="003A0C5C">
        <w:t xml:space="preserve"> Nation </w:t>
      </w:r>
      <w:r w:rsidR="009D6D8C" w:rsidRPr="003A0C5C">
        <w:t>will make every effort to recommend diverting the project and keeping the remains in situ and protected. If the project cannot be diverted, it may be determined that burials will be removed. In the event preservation in place is not possible despite good faith efforts by the project applicant/developer and/or landowner, before ground-disturbing activities may resume on the project site, the landowner shall arrange a designated site location within the footprint of the project for the respectful reburial of the human remains and/or ceremonial objects. Each occurrence of human remains and associated funerary objects will be stored using opaque cloth bags. All human remains, funerary objects, sacred objects and objects of cultural patrimony will be removed to a secure container on</w:t>
      </w:r>
      <w:r w:rsidR="00FD5F91" w:rsidRPr="003A0C5C">
        <w:t>-</w:t>
      </w:r>
      <w:r w:rsidR="009D6D8C" w:rsidRPr="003A0C5C">
        <w:t xml:space="preserve">site if possible. These items should be retained and reburied within </w:t>
      </w:r>
      <w:r w:rsidR="0029555A" w:rsidRPr="003A0C5C">
        <w:t xml:space="preserve">6 </w:t>
      </w:r>
      <w:r w:rsidR="009D6D8C" w:rsidRPr="003A0C5C">
        <w:t xml:space="preserve">months of recovery. The </w:t>
      </w:r>
      <w:r w:rsidR="009D6D8C" w:rsidRPr="003A0C5C">
        <w:lastRenderedPageBreak/>
        <w:t xml:space="preserve">site of reburial/repatriation shall be on the project site but at a location agreed upon between the </w:t>
      </w:r>
      <w:proofErr w:type="spellStart"/>
      <w:r w:rsidR="00714BCF" w:rsidRPr="003A0C5C">
        <w:t>Kizh</w:t>
      </w:r>
      <w:proofErr w:type="spellEnd"/>
      <w:r w:rsidR="00714BCF" w:rsidRPr="003A0C5C">
        <w:t xml:space="preserve"> Nation </w:t>
      </w:r>
      <w:r w:rsidR="009D6D8C" w:rsidRPr="003A0C5C">
        <w:t xml:space="preserve">and the landowner at a site to be protected in perpetuity. There shall be no publicity regarding any cultural materials recovered. The </w:t>
      </w:r>
      <w:proofErr w:type="spellStart"/>
      <w:r w:rsidR="001E30C0" w:rsidRPr="003A0C5C">
        <w:t>Kizh</w:t>
      </w:r>
      <w:proofErr w:type="spellEnd"/>
      <w:r w:rsidR="001E30C0" w:rsidRPr="003A0C5C">
        <w:t xml:space="preserve"> Nation</w:t>
      </w:r>
      <w:r w:rsidR="009D6D8C" w:rsidRPr="003A0C5C">
        <w:t xml:space="preserve"> will work closely with the project’s qualified archaeologist to ensure that the excavation is treated carefully, ethically and respectfully. If data recovery is approved by the </w:t>
      </w:r>
      <w:proofErr w:type="spellStart"/>
      <w:r w:rsidR="001E30C0" w:rsidRPr="003A0C5C">
        <w:t>Kizh</w:t>
      </w:r>
      <w:proofErr w:type="spellEnd"/>
      <w:r w:rsidR="001E30C0" w:rsidRPr="003A0C5C">
        <w:t xml:space="preserve"> Nation</w:t>
      </w:r>
      <w:r w:rsidR="009D6D8C" w:rsidRPr="003A0C5C">
        <w:t xml:space="preserve">, documentation shall be prepared and shall include (at a minimum) detailed descriptive notes and sketches. All data recovery data recovery-related forms of documentation shall be approved in advance by the </w:t>
      </w:r>
      <w:proofErr w:type="spellStart"/>
      <w:r w:rsidR="00714BCF" w:rsidRPr="003A0C5C">
        <w:t>Kizh</w:t>
      </w:r>
      <w:proofErr w:type="spellEnd"/>
      <w:r w:rsidR="00714BCF" w:rsidRPr="003A0C5C">
        <w:t xml:space="preserve"> Nation</w:t>
      </w:r>
      <w:r w:rsidR="009D6D8C" w:rsidRPr="003A0C5C">
        <w:t xml:space="preserve">. If any data recovery is performed, once complete, a final report shall be submitted to the </w:t>
      </w:r>
      <w:proofErr w:type="spellStart"/>
      <w:r w:rsidR="001E30C0" w:rsidRPr="003A0C5C">
        <w:t>Kizh</w:t>
      </w:r>
      <w:proofErr w:type="spellEnd"/>
      <w:r w:rsidR="001E30C0" w:rsidRPr="003A0C5C">
        <w:t xml:space="preserve"> Nation</w:t>
      </w:r>
      <w:r w:rsidR="009D6D8C" w:rsidRPr="003A0C5C">
        <w:t xml:space="preserve"> and the NAHC. The </w:t>
      </w:r>
      <w:proofErr w:type="spellStart"/>
      <w:r w:rsidR="00714BCF" w:rsidRPr="003A0C5C">
        <w:t>Kizh</w:t>
      </w:r>
      <w:proofErr w:type="spellEnd"/>
      <w:r w:rsidR="00714BCF" w:rsidRPr="003A0C5C">
        <w:t xml:space="preserve"> Nation</w:t>
      </w:r>
      <w:r w:rsidR="00714BCF" w:rsidRPr="003A0C5C" w:rsidDel="00714BCF">
        <w:t xml:space="preserve"> </w:t>
      </w:r>
      <w:r w:rsidR="009D6D8C" w:rsidRPr="003A0C5C">
        <w:t>does NOT authorize any scientific study or the utilization of any invasive and/or destructive diagnostics on human remains.</w:t>
      </w:r>
    </w:p>
    <w:p w14:paraId="0D3B0CDA" w14:textId="77777777" w:rsidR="00E473ED" w:rsidRPr="003A0C5C" w:rsidRDefault="00E473ED" w:rsidP="00E473ED">
      <w:pPr>
        <w:pStyle w:val="12spaceindent"/>
        <w:keepNext/>
        <w:spacing w:after="120"/>
        <w:ind w:left="0" w:firstLine="0"/>
        <w:rPr>
          <w:highlight w:val="yellow"/>
        </w:rPr>
      </w:pPr>
    </w:p>
    <w:p w14:paraId="2D68B248" w14:textId="77777777" w:rsidR="00E473ED" w:rsidRPr="003A0C5C" w:rsidRDefault="00E473ED" w:rsidP="00E473ED">
      <w:pPr>
        <w:pStyle w:val="ImpactSectionEnd"/>
        <w:rPr>
          <w:highlight w:val="yellow"/>
        </w:rPr>
      </w:pPr>
    </w:p>
    <w:p w14:paraId="248C38A5" w14:textId="77777777" w:rsidR="00E473ED" w:rsidRPr="003A0C5C" w:rsidRDefault="00E473ED" w:rsidP="00E473ED">
      <w:pPr>
        <w:rPr>
          <w:highlight w:val="yellow"/>
        </w:rPr>
      </w:pPr>
      <w:r w:rsidRPr="003A0C5C">
        <w:rPr>
          <w:highlight w:val="yellow"/>
        </w:rPr>
        <w:br w:type="page"/>
      </w:r>
    </w:p>
    <w:p w14:paraId="0B3C2927" w14:textId="2D87713F" w:rsidR="00AA0355" w:rsidRPr="003A0C5C" w:rsidRDefault="008B0DDC" w:rsidP="00E473ED">
      <w:pPr>
        <w:pStyle w:val="Heading4"/>
      </w:pPr>
      <w:bookmarkStart w:id="63" w:name="_Toc101791985"/>
      <w:r w:rsidRPr="003A0C5C">
        <w:lastRenderedPageBreak/>
        <w:t>VI.</w:t>
      </w:r>
      <w:r w:rsidRPr="003A0C5C">
        <w:tab/>
      </w:r>
      <w:r w:rsidR="00AA0355" w:rsidRPr="003A0C5C">
        <w:t>Energy</w:t>
      </w:r>
      <w:bookmarkEnd w:id="63"/>
    </w:p>
    <w:tbl>
      <w:tblPr>
        <w:tblW w:w="0" w:type="auto"/>
        <w:tblCellMar>
          <w:left w:w="86" w:type="dxa"/>
          <w:right w:w="86" w:type="dxa"/>
        </w:tblCellMar>
        <w:tblLook w:val="0000" w:firstRow="0" w:lastRow="0" w:firstColumn="0" w:lastColumn="0" w:noHBand="0" w:noVBand="0"/>
      </w:tblPr>
      <w:tblGrid>
        <w:gridCol w:w="5088"/>
        <w:gridCol w:w="888"/>
        <w:gridCol w:w="1152"/>
        <w:gridCol w:w="888"/>
        <w:gridCol w:w="624"/>
      </w:tblGrid>
      <w:tr w:rsidR="003A0C5C" w:rsidRPr="003A0C5C" w14:paraId="5F01C37D" w14:textId="77777777" w:rsidTr="005C0B7A">
        <w:trPr>
          <w:cantSplit/>
          <w:tblHeader/>
        </w:trPr>
        <w:tc>
          <w:tcPr>
            <w:tcW w:w="0" w:type="auto"/>
            <w:vAlign w:val="bottom"/>
          </w:tcPr>
          <w:p w14:paraId="598BE100" w14:textId="77777777" w:rsidR="005C0B7A" w:rsidRPr="003A0C5C" w:rsidRDefault="005C0B7A" w:rsidP="005C0B7A">
            <w:pPr>
              <w:keepNext/>
              <w:pBdr>
                <w:bottom w:val="single" w:sz="4" w:space="1" w:color="auto"/>
              </w:pBdr>
              <w:spacing w:before="60" w:after="60"/>
              <w:ind w:left="540" w:hanging="540"/>
              <w:rPr>
                <w:rFonts w:ascii="Arial" w:hAnsi="Arial" w:cs="Arial"/>
                <w:b/>
                <w:i/>
                <w:sz w:val="14"/>
                <w:szCs w:val="16"/>
              </w:rPr>
            </w:pPr>
            <w:r w:rsidRPr="003A0C5C">
              <w:rPr>
                <w:rFonts w:ascii="Arial" w:hAnsi="Arial" w:cs="Arial"/>
                <w:b/>
                <w:i/>
                <w:sz w:val="14"/>
                <w:szCs w:val="16"/>
              </w:rPr>
              <w:t>Issues (and Supporting Information Sources)</w:t>
            </w:r>
          </w:p>
        </w:tc>
        <w:tc>
          <w:tcPr>
            <w:tcW w:w="0" w:type="auto"/>
            <w:vAlign w:val="bottom"/>
          </w:tcPr>
          <w:p w14:paraId="6643B449" w14:textId="77777777" w:rsidR="005C0B7A" w:rsidRPr="003A0C5C" w:rsidRDefault="005C0B7A" w:rsidP="005C0B7A">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Potentially</w:t>
            </w:r>
            <w:r w:rsidRPr="003A0C5C">
              <w:rPr>
                <w:rFonts w:ascii="Arial" w:hAnsi="Arial" w:cs="Arial"/>
                <w:b/>
                <w:i/>
                <w:sz w:val="14"/>
                <w:szCs w:val="16"/>
              </w:rPr>
              <w:br/>
              <w:t>Significant</w:t>
            </w:r>
            <w:r w:rsidRPr="003A0C5C">
              <w:rPr>
                <w:rFonts w:ascii="Arial" w:hAnsi="Arial" w:cs="Arial"/>
                <w:b/>
                <w:i/>
                <w:sz w:val="14"/>
                <w:szCs w:val="16"/>
              </w:rPr>
              <w:br/>
              <w:t>Impact</w:t>
            </w:r>
          </w:p>
        </w:tc>
        <w:tc>
          <w:tcPr>
            <w:tcW w:w="0" w:type="auto"/>
            <w:vAlign w:val="bottom"/>
          </w:tcPr>
          <w:p w14:paraId="4E684BF4" w14:textId="77777777" w:rsidR="005C0B7A" w:rsidRPr="003A0C5C" w:rsidRDefault="005C0B7A" w:rsidP="005C0B7A">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Less than</w:t>
            </w:r>
            <w:r w:rsidRPr="003A0C5C">
              <w:rPr>
                <w:rFonts w:ascii="Arial" w:hAnsi="Arial" w:cs="Arial"/>
                <w:b/>
                <w:i/>
                <w:sz w:val="14"/>
                <w:szCs w:val="16"/>
              </w:rPr>
              <w:br/>
              <w:t>Significant</w:t>
            </w:r>
            <w:r w:rsidRPr="003A0C5C">
              <w:rPr>
                <w:rFonts w:ascii="Arial" w:hAnsi="Arial" w:cs="Arial"/>
                <w:b/>
                <w:i/>
                <w:sz w:val="14"/>
                <w:szCs w:val="16"/>
              </w:rPr>
              <w:br/>
              <w:t>with Mitigation</w:t>
            </w:r>
            <w:r w:rsidRPr="003A0C5C">
              <w:rPr>
                <w:rFonts w:ascii="Arial" w:hAnsi="Arial" w:cs="Arial"/>
                <w:b/>
                <w:i/>
                <w:sz w:val="14"/>
                <w:szCs w:val="16"/>
              </w:rPr>
              <w:br/>
              <w:t>Incorporated</w:t>
            </w:r>
          </w:p>
        </w:tc>
        <w:tc>
          <w:tcPr>
            <w:tcW w:w="0" w:type="auto"/>
            <w:vAlign w:val="bottom"/>
          </w:tcPr>
          <w:p w14:paraId="1236BE03" w14:textId="77777777" w:rsidR="005C0B7A" w:rsidRPr="003A0C5C" w:rsidRDefault="005C0B7A" w:rsidP="005C0B7A">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Less-than-</w:t>
            </w:r>
            <w:r w:rsidRPr="003A0C5C">
              <w:rPr>
                <w:rFonts w:ascii="Arial" w:hAnsi="Arial" w:cs="Arial"/>
                <w:b/>
                <w:i/>
                <w:sz w:val="14"/>
                <w:szCs w:val="16"/>
              </w:rPr>
              <w:br/>
              <w:t>Significant</w:t>
            </w:r>
            <w:r w:rsidRPr="003A0C5C">
              <w:rPr>
                <w:rFonts w:ascii="Arial" w:hAnsi="Arial" w:cs="Arial"/>
                <w:b/>
                <w:i/>
                <w:sz w:val="14"/>
                <w:szCs w:val="16"/>
              </w:rPr>
              <w:br/>
              <w:t>Impact</w:t>
            </w:r>
          </w:p>
        </w:tc>
        <w:tc>
          <w:tcPr>
            <w:tcW w:w="0" w:type="auto"/>
            <w:vAlign w:val="bottom"/>
          </w:tcPr>
          <w:p w14:paraId="592441EB" w14:textId="77777777" w:rsidR="005C0B7A" w:rsidRPr="003A0C5C" w:rsidRDefault="005C0B7A" w:rsidP="005C0B7A">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No</w:t>
            </w:r>
            <w:r w:rsidRPr="003A0C5C">
              <w:rPr>
                <w:rFonts w:ascii="Arial" w:hAnsi="Arial" w:cs="Arial"/>
                <w:b/>
                <w:i/>
                <w:sz w:val="14"/>
                <w:szCs w:val="16"/>
              </w:rPr>
              <w:br/>
              <w:t>Impact</w:t>
            </w:r>
          </w:p>
        </w:tc>
      </w:tr>
      <w:tr w:rsidR="003A0C5C" w:rsidRPr="003A0C5C" w14:paraId="659C1762" w14:textId="77777777" w:rsidTr="005C0B7A">
        <w:trPr>
          <w:cantSplit/>
        </w:trPr>
        <w:tc>
          <w:tcPr>
            <w:tcW w:w="0" w:type="auto"/>
          </w:tcPr>
          <w:p w14:paraId="61B57A8F" w14:textId="389C10D4" w:rsidR="005C0B7A" w:rsidRPr="003A0C5C" w:rsidRDefault="005C0B7A" w:rsidP="00B8605C">
            <w:pPr>
              <w:pStyle w:val="Tabletextnumber"/>
              <w:keepNext/>
              <w:ind w:left="504" w:hanging="504"/>
              <w:rPr>
                <w:rStyle w:val="Bold"/>
              </w:rPr>
            </w:pPr>
            <w:r w:rsidRPr="003A0C5C">
              <w:rPr>
                <w:rStyle w:val="Bold"/>
              </w:rPr>
              <w:t>VI.</w:t>
            </w:r>
            <w:r w:rsidRPr="003A0C5C">
              <w:rPr>
                <w:rStyle w:val="Bold"/>
              </w:rPr>
              <w:tab/>
              <w:t>ENERGY</w:t>
            </w:r>
            <w:r w:rsidRPr="003A0C5C">
              <w:t>—Would the project:</w:t>
            </w:r>
          </w:p>
        </w:tc>
        <w:tc>
          <w:tcPr>
            <w:tcW w:w="0" w:type="auto"/>
          </w:tcPr>
          <w:p w14:paraId="0A2BAC39" w14:textId="77777777" w:rsidR="005C0B7A" w:rsidRPr="003A0C5C" w:rsidRDefault="005C0B7A" w:rsidP="005C0B7A">
            <w:pPr>
              <w:pStyle w:val="Checklist"/>
            </w:pPr>
          </w:p>
        </w:tc>
        <w:tc>
          <w:tcPr>
            <w:tcW w:w="0" w:type="auto"/>
          </w:tcPr>
          <w:p w14:paraId="487ACC3E" w14:textId="77777777" w:rsidR="005C0B7A" w:rsidRPr="003A0C5C" w:rsidRDefault="005C0B7A" w:rsidP="005C0B7A">
            <w:pPr>
              <w:pStyle w:val="Checklist"/>
            </w:pPr>
          </w:p>
        </w:tc>
        <w:tc>
          <w:tcPr>
            <w:tcW w:w="0" w:type="auto"/>
          </w:tcPr>
          <w:p w14:paraId="29FA2F95" w14:textId="77777777" w:rsidR="005C0B7A" w:rsidRPr="003A0C5C" w:rsidRDefault="005C0B7A" w:rsidP="005C0B7A">
            <w:pPr>
              <w:pStyle w:val="Checklist"/>
            </w:pPr>
          </w:p>
        </w:tc>
        <w:tc>
          <w:tcPr>
            <w:tcW w:w="0" w:type="auto"/>
          </w:tcPr>
          <w:p w14:paraId="7E001E6C" w14:textId="77777777" w:rsidR="005C0B7A" w:rsidRPr="003A0C5C" w:rsidRDefault="005C0B7A" w:rsidP="005C0B7A">
            <w:pPr>
              <w:pStyle w:val="Checklist"/>
            </w:pPr>
          </w:p>
        </w:tc>
      </w:tr>
      <w:tr w:rsidR="003A0C5C" w:rsidRPr="003A0C5C" w14:paraId="1533A6ED" w14:textId="77777777" w:rsidTr="005C0B7A">
        <w:trPr>
          <w:cantSplit/>
        </w:trPr>
        <w:tc>
          <w:tcPr>
            <w:tcW w:w="0" w:type="auto"/>
          </w:tcPr>
          <w:p w14:paraId="3039F813" w14:textId="46651DF4" w:rsidR="005C0B7A" w:rsidRPr="003A0C5C" w:rsidRDefault="005C0B7A" w:rsidP="005C0B7A">
            <w:pPr>
              <w:pStyle w:val="Tabletextnumber"/>
            </w:pPr>
            <w:r w:rsidRPr="003A0C5C">
              <w:rPr>
                <w:rFonts w:cs="Arial"/>
                <w:szCs w:val="16"/>
              </w:rPr>
              <w:t>a)</w:t>
            </w:r>
            <w:r w:rsidRPr="003A0C5C">
              <w:rPr>
                <w:rFonts w:cs="Arial"/>
                <w:szCs w:val="16"/>
              </w:rPr>
              <w:tab/>
              <w:t>Result in potentially significant environmental impact due to wasteful, inefficient, or unnecessary consumption of energy resources, during project construction or operation?</w:t>
            </w:r>
          </w:p>
        </w:tc>
        <w:tc>
          <w:tcPr>
            <w:tcW w:w="0" w:type="auto"/>
          </w:tcPr>
          <w:p w14:paraId="3AEEB2D7" w14:textId="77777777" w:rsidR="005C0B7A" w:rsidRPr="003A0C5C" w:rsidRDefault="002348BC" w:rsidP="005C0B7A">
            <w:pPr>
              <w:pStyle w:val="Checklist"/>
            </w:pPr>
            <w:sdt>
              <w:sdtPr>
                <w:id w:val="-505513373"/>
                <w14:checkbox>
                  <w14:checked w14:val="0"/>
                  <w14:checkedState w14:val="2612" w14:font="MS Gothic"/>
                  <w14:uncheckedState w14:val="2610" w14:font="MS Gothic"/>
                </w14:checkbox>
              </w:sdtPr>
              <w:sdtEndPr/>
              <w:sdtContent>
                <w:r w:rsidR="005C0B7A" w:rsidRPr="003A0C5C">
                  <w:t>☐</w:t>
                </w:r>
              </w:sdtContent>
            </w:sdt>
          </w:p>
        </w:tc>
        <w:tc>
          <w:tcPr>
            <w:tcW w:w="0" w:type="auto"/>
          </w:tcPr>
          <w:p w14:paraId="724FB5F3" w14:textId="77777777" w:rsidR="005C0B7A" w:rsidRPr="003A0C5C" w:rsidRDefault="002348BC" w:rsidP="005C0B7A">
            <w:pPr>
              <w:pStyle w:val="Checklist"/>
              <w:rPr>
                <w:sz w:val="20"/>
              </w:rPr>
            </w:pPr>
            <w:sdt>
              <w:sdtPr>
                <w:id w:val="2066060179"/>
                <w14:checkbox>
                  <w14:checked w14:val="0"/>
                  <w14:checkedState w14:val="2612" w14:font="MS Gothic"/>
                  <w14:uncheckedState w14:val="2610" w14:font="MS Gothic"/>
                </w14:checkbox>
              </w:sdtPr>
              <w:sdtEndPr/>
              <w:sdtContent>
                <w:r w:rsidR="005C0B7A" w:rsidRPr="003A0C5C">
                  <w:t>☐</w:t>
                </w:r>
              </w:sdtContent>
            </w:sdt>
          </w:p>
        </w:tc>
        <w:tc>
          <w:tcPr>
            <w:tcW w:w="0" w:type="auto"/>
          </w:tcPr>
          <w:p w14:paraId="77040EEE" w14:textId="26A91F21" w:rsidR="005C0B7A" w:rsidRPr="003A0C5C" w:rsidRDefault="002348BC" w:rsidP="005C0B7A">
            <w:pPr>
              <w:pStyle w:val="Checklist"/>
              <w:rPr>
                <w:sz w:val="20"/>
              </w:rPr>
            </w:pPr>
            <w:sdt>
              <w:sdtPr>
                <w:id w:val="-672415854"/>
                <w14:checkbox>
                  <w14:checked w14:val="1"/>
                  <w14:checkedState w14:val="2612" w14:font="MS Gothic"/>
                  <w14:uncheckedState w14:val="2610" w14:font="MS Gothic"/>
                </w14:checkbox>
              </w:sdtPr>
              <w:sdtEndPr/>
              <w:sdtContent>
                <w:r w:rsidR="005C0B7A" w:rsidRPr="003A0C5C">
                  <w:rPr>
                    <w:rFonts w:hint="eastAsia"/>
                  </w:rPr>
                  <w:t>☒</w:t>
                </w:r>
              </w:sdtContent>
            </w:sdt>
          </w:p>
        </w:tc>
        <w:tc>
          <w:tcPr>
            <w:tcW w:w="0" w:type="auto"/>
          </w:tcPr>
          <w:p w14:paraId="71BDB0C7" w14:textId="37D2522F" w:rsidR="005C0B7A" w:rsidRPr="003A0C5C" w:rsidRDefault="002348BC" w:rsidP="005C0B7A">
            <w:pPr>
              <w:pStyle w:val="Checklist"/>
              <w:rPr>
                <w:sz w:val="20"/>
              </w:rPr>
            </w:pPr>
            <w:sdt>
              <w:sdtPr>
                <w:id w:val="-1154064734"/>
                <w14:checkbox>
                  <w14:checked w14:val="0"/>
                  <w14:checkedState w14:val="2612" w14:font="MS Gothic"/>
                  <w14:uncheckedState w14:val="2610" w14:font="MS Gothic"/>
                </w14:checkbox>
              </w:sdtPr>
              <w:sdtEndPr/>
              <w:sdtContent>
                <w:r w:rsidR="005C0B7A" w:rsidRPr="003A0C5C">
                  <w:rPr>
                    <w:rFonts w:hint="eastAsia"/>
                  </w:rPr>
                  <w:t>☐</w:t>
                </w:r>
              </w:sdtContent>
            </w:sdt>
          </w:p>
        </w:tc>
      </w:tr>
      <w:tr w:rsidR="005C0B7A" w:rsidRPr="003A0C5C" w14:paraId="6D0DE11E" w14:textId="77777777" w:rsidTr="005C0B7A">
        <w:trPr>
          <w:cantSplit/>
        </w:trPr>
        <w:tc>
          <w:tcPr>
            <w:tcW w:w="0" w:type="auto"/>
          </w:tcPr>
          <w:p w14:paraId="79978379" w14:textId="20BAAF4F" w:rsidR="005C0B7A" w:rsidRPr="003A0C5C" w:rsidRDefault="005C0B7A" w:rsidP="005C0B7A">
            <w:pPr>
              <w:pStyle w:val="Tabletextnumber"/>
            </w:pPr>
            <w:r w:rsidRPr="003A0C5C">
              <w:rPr>
                <w:rFonts w:cs="Arial"/>
                <w:szCs w:val="16"/>
              </w:rPr>
              <w:t>b)</w:t>
            </w:r>
            <w:r w:rsidRPr="003A0C5C">
              <w:rPr>
                <w:rFonts w:cs="Arial"/>
                <w:szCs w:val="16"/>
              </w:rPr>
              <w:tab/>
              <w:t xml:space="preserve">Conflict with or obstruct a </w:t>
            </w:r>
            <w:r w:rsidR="00E51793" w:rsidRPr="003A0C5C">
              <w:rPr>
                <w:rFonts w:cs="Arial"/>
                <w:szCs w:val="16"/>
              </w:rPr>
              <w:t>State</w:t>
            </w:r>
            <w:r w:rsidRPr="003A0C5C">
              <w:rPr>
                <w:rFonts w:cs="Arial"/>
                <w:szCs w:val="16"/>
              </w:rPr>
              <w:t xml:space="preserve"> or local plan for renewable energy or energy efficiency? </w:t>
            </w:r>
          </w:p>
        </w:tc>
        <w:tc>
          <w:tcPr>
            <w:tcW w:w="0" w:type="auto"/>
          </w:tcPr>
          <w:p w14:paraId="449BADB2" w14:textId="77777777" w:rsidR="005C0B7A" w:rsidRPr="003A0C5C" w:rsidRDefault="002348BC" w:rsidP="005C0B7A">
            <w:pPr>
              <w:pStyle w:val="Checklist"/>
              <w:rPr>
                <w:sz w:val="20"/>
              </w:rPr>
            </w:pPr>
            <w:sdt>
              <w:sdtPr>
                <w:id w:val="-872605181"/>
                <w14:checkbox>
                  <w14:checked w14:val="0"/>
                  <w14:checkedState w14:val="2612" w14:font="MS Gothic"/>
                  <w14:uncheckedState w14:val="2610" w14:font="MS Gothic"/>
                </w14:checkbox>
              </w:sdtPr>
              <w:sdtEndPr/>
              <w:sdtContent>
                <w:r w:rsidR="005C0B7A" w:rsidRPr="003A0C5C">
                  <w:t>☐</w:t>
                </w:r>
              </w:sdtContent>
            </w:sdt>
          </w:p>
        </w:tc>
        <w:tc>
          <w:tcPr>
            <w:tcW w:w="0" w:type="auto"/>
          </w:tcPr>
          <w:p w14:paraId="23635F81" w14:textId="77777777" w:rsidR="005C0B7A" w:rsidRPr="003A0C5C" w:rsidRDefault="002348BC" w:rsidP="005C0B7A">
            <w:pPr>
              <w:pStyle w:val="Checklist"/>
              <w:rPr>
                <w:sz w:val="20"/>
              </w:rPr>
            </w:pPr>
            <w:sdt>
              <w:sdtPr>
                <w:id w:val="771829034"/>
                <w14:checkbox>
                  <w14:checked w14:val="0"/>
                  <w14:checkedState w14:val="2612" w14:font="MS Gothic"/>
                  <w14:uncheckedState w14:val="2610" w14:font="MS Gothic"/>
                </w14:checkbox>
              </w:sdtPr>
              <w:sdtEndPr/>
              <w:sdtContent>
                <w:r w:rsidR="005C0B7A" w:rsidRPr="003A0C5C">
                  <w:t>☐</w:t>
                </w:r>
              </w:sdtContent>
            </w:sdt>
          </w:p>
        </w:tc>
        <w:tc>
          <w:tcPr>
            <w:tcW w:w="0" w:type="auto"/>
          </w:tcPr>
          <w:p w14:paraId="3653A989" w14:textId="048454BD" w:rsidR="005C0B7A" w:rsidRPr="003A0C5C" w:rsidRDefault="002348BC" w:rsidP="005C0B7A">
            <w:pPr>
              <w:pStyle w:val="Checklist"/>
              <w:rPr>
                <w:sz w:val="20"/>
              </w:rPr>
            </w:pPr>
            <w:sdt>
              <w:sdtPr>
                <w:id w:val="-225385785"/>
                <w14:checkbox>
                  <w14:checked w14:val="1"/>
                  <w14:checkedState w14:val="2612" w14:font="MS Gothic"/>
                  <w14:uncheckedState w14:val="2610" w14:font="MS Gothic"/>
                </w14:checkbox>
              </w:sdtPr>
              <w:sdtEndPr/>
              <w:sdtContent>
                <w:r w:rsidR="005C0B7A" w:rsidRPr="003A0C5C">
                  <w:rPr>
                    <w:rFonts w:hint="eastAsia"/>
                  </w:rPr>
                  <w:t>☒</w:t>
                </w:r>
              </w:sdtContent>
            </w:sdt>
          </w:p>
        </w:tc>
        <w:tc>
          <w:tcPr>
            <w:tcW w:w="0" w:type="auto"/>
          </w:tcPr>
          <w:p w14:paraId="429BC629" w14:textId="38BB4AA5" w:rsidR="005C0B7A" w:rsidRPr="003A0C5C" w:rsidRDefault="002348BC" w:rsidP="005C0B7A">
            <w:pPr>
              <w:pStyle w:val="Checklist"/>
              <w:rPr>
                <w:sz w:val="20"/>
              </w:rPr>
            </w:pPr>
            <w:sdt>
              <w:sdtPr>
                <w:id w:val="1460527434"/>
                <w14:checkbox>
                  <w14:checked w14:val="0"/>
                  <w14:checkedState w14:val="2612" w14:font="MS Gothic"/>
                  <w14:uncheckedState w14:val="2610" w14:font="MS Gothic"/>
                </w14:checkbox>
              </w:sdtPr>
              <w:sdtEndPr/>
              <w:sdtContent>
                <w:r w:rsidR="005C0B7A" w:rsidRPr="003A0C5C">
                  <w:rPr>
                    <w:rFonts w:hint="eastAsia"/>
                  </w:rPr>
                  <w:t>☐</w:t>
                </w:r>
              </w:sdtContent>
            </w:sdt>
          </w:p>
        </w:tc>
      </w:tr>
    </w:tbl>
    <w:p w14:paraId="4ACB49F3" w14:textId="77777777" w:rsidR="00957C8B" w:rsidRPr="003A0C5C" w:rsidRDefault="00957C8B" w:rsidP="00957C8B">
      <w:pPr>
        <w:pStyle w:val="TableNotes"/>
      </w:pPr>
    </w:p>
    <w:p w14:paraId="52C8AB66" w14:textId="2706AB46" w:rsidR="009E2FF9" w:rsidRPr="003A0C5C" w:rsidRDefault="00957C8B" w:rsidP="009E2FF9">
      <w:pPr>
        <w:pStyle w:val="Heading5"/>
      </w:pPr>
      <w:r w:rsidRPr="003A0C5C">
        <w:t>Discussion</w:t>
      </w:r>
    </w:p>
    <w:p w14:paraId="0B997649" w14:textId="77F77468" w:rsidR="00FF5E9B" w:rsidRPr="003A0C5C" w:rsidRDefault="00FF5E9B" w:rsidP="00737FA5">
      <w:pPr>
        <w:pStyle w:val="12spaceindent"/>
      </w:pPr>
      <w:r w:rsidRPr="003A0C5C">
        <w:t>a)</w:t>
      </w:r>
      <w:r w:rsidRPr="003A0C5C">
        <w:tab/>
        <w:t>The proposed project would consume energy during construction activities primarily from on- and off-road vehicle fuel consumption in the form of diesel</w:t>
      </w:r>
      <w:r w:rsidR="007C43D4" w:rsidRPr="003A0C5C">
        <w:t xml:space="preserve"> and </w:t>
      </w:r>
      <w:r w:rsidRPr="003A0C5C">
        <w:t xml:space="preserve">gasoline and electricity from water conveyance for dust control. Project operation would consume energy from energy use from general building operations, including HVAC systems and lighting, and from mobile sources. The analysis below includes the proposed project’s energy requirements and energy use efficiencies by energy type for each stage of the </w:t>
      </w:r>
      <w:r w:rsidR="00B646B9" w:rsidRPr="003A0C5C">
        <w:t xml:space="preserve">proposed </w:t>
      </w:r>
      <w:r w:rsidRPr="003A0C5C">
        <w:t>project (construction and operations).</w:t>
      </w:r>
    </w:p>
    <w:p w14:paraId="195B7629" w14:textId="77777777" w:rsidR="00FF5E9B" w:rsidRPr="003A0C5C" w:rsidRDefault="00FF5E9B" w:rsidP="00FF5E9B">
      <w:pPr>
        <w:pStyle w:val="Heading6"/>
        <w:ind w:left="720"/>
        <w:rPr>
          <w:bCs/>
        </w:rPr>
      </w:pPr>
      <w:r w:rsidRPr="003A0C5C">
        <w:rPr>
          <w:bCs/>
        </w:rPr>
        <w:t>Construction</w:t>
      </w:r>
    </w:p>
    <w:p w14:paraId="64D0C53E" w14:textId="0779F9BA" w:rsidR="00FF5E9B" w:rsidRPr="003A0C5C" w:rsidRDefault="00FF5E9B" w:rsidP="0020432B">
      <w:pPr>
        <w:pStyle w:val="12spaceindentcontinue"/>
      </w:pPr>
      <w:r w:rsidRPr="003A0C5C">
        <w:t xml:space="preserve">Construction of the </w:t>
      </w:r>
      <w:r w:rsidR="00B646B9" w:rsidRPr="003A0C5C">
        <w:t xml:space="preserve">proposed </w:t>
      </w:r>
      <w:r w:rsidRPr="003A0C5C">
        <w:t>project would result in energy demand primarily from off-road equipment and on-road vehicle fuel consumption (diesel and gasoline) and secondarily from electricity for conveying water used for dust suppression and for a temporary on-site construction office/trailer. The analysis below includes the proposed project’s energy requirements and energy use efficiencies by energy type for each stage of the</w:t>
      </w:r>
      <w:r w:rsidR="00B646B9" w:rsidRPr="003A0C5C">
        <w:t xml:space="preserve"> proposed</w:t>
      </w:r>
      <w:r w:rsidRPr="003A0C5C">
        <w:t xml:space="preserve"> project.</w:t>
      </w:r>
    </w:p>
    <w:p w14:paraId="382BC283" w14:textId="12972A82" w:rsidR="00FF5E9B" w:rsidRPr="003A0C5C" w:rsidRDefault="00FF5E9B" w:rsidP="0020432B">
      <w:pPr>
        <w:pStyle w:val="12spaceindentcontinue"/>
      </w:pPr>
      <w:r w:rsidRPr="003A0C5C">
        <w:t xml:space="preserve">The estimated fuel usage for off-road equipment is based on the number and type of equipment that would be used during construction activities, hour usage estimates, the total duration of construction activities, and hourly equipment fuel consumption factors from the California Air Resources Board (CARB) OFFROAD model, which was used in the </w:t>
      </w:r>
      <w:r w:rsidR="00B646B9" w:rsidRPr="003A0C5C">
        <w:t xml:space="preserve">proposed </w:t>
      </w:r>
      <w:r w:rsidRPr="003A0C5C">
        <w:t xml:space="preserve">project’s air quality analysis. On-road vehicles would include trucks to haul material to and from the project site, vendor trucks to deliver supplies necessary for project construction, water trucks for dust control, and fuel used for employee commute trips. The estimated fuel usage for on-road vehicles is based on the number of trucks and employee commute trips that would occur during construction activities and per mile fuel consumption factors from the CARB on-road vehicle emissions factor (EMFAC) model, which was used in the </w:t>
      </w:r>
      <w:r w:rsidR="00B646B9" w:rsidRPr="003A0C5C">
        <w:t xml:space="preserve">proposed </w:t>
      </w:r>
      <w:r w:rsidRPr="003A0C5C">
        <w:t xml:space="preserve">project’s air quality analysis. Electricity used for a portable construction office was calculated using energy intensity factors from </w:t>
      </w:r>
      <w:proofErr w:type="spellStart"/>
      <w:r w:rsidRPr="003A0C5C">
        <w:t>CalEEMod</w:t>
      </w:r>
      <w:proofErr w:type="spellEnd"/>
      <w:r w:rsidRPr="003A0C5C">
        <w:t xml:space="preserve"> and electricity from water conveyance for dust control was calculated using assumptions for gallons used per acre per day and </w:t>
      </w:r>
      <w:proofErr w:type="spellStart"/>
      <w:r w:rsidRPr="003A0C5C">
        <w:t>CalEEMod</w:t>
      </w:r>
      <w:proofErr w:type="spellEnd"/>
      <w:r w:rsidRPr="003A0C5C">
        <w:t xml:space="preserve"> water conveyance intensity factors applied to calculate total construction electricity consumption. Construction activities typically do not involve the consumption of natural gas. </w:t>
      </w:r>
      <w:r w:rsidRPr="003A0C5C">
        <w:rPr>
          <w:rStyle w:val="Bold"/>
        </w:rPr>
        <w:t>Table </w:t>
      </w:r>
      <w:r w:rsidR="004D1D08" w:rsidRPr="003A0C5C">
        <w:rPr>
          <w:rStyle w:val="Bold"/>
        </w:rPr>
        <w:t>6</w:t>
      </w:r>
      <w:r w:rsidRPr="003A0C5C">
        <w:t xml:space="preserve">, </w:t>
      </w:r>
      <w:r w:rsidRPr="003A0C5C">
        <w:rPr>
          <w:rStyle w:val="Italic"/>
        </w:rPr>
        <w:t xml:space="preserve">Summary of Energy Consumption </w:t>
      </w:r>
      <w:r w:rsidR="00B646B9" w:rsidRPr="003A0C5C">
        <w:rPr>
          <w:rStyle w:val="Italic"/>
        </w:rPr>
        <w:lastRenderedPageBreak/>
        <w:t>D</w:t>
      </w:r>
      <w:r w:rsidRPr="003A0C5C">
        <w:rPr>
          <w:rStyle w:val="Italic"/>
        </w:rPr>
        <w:t>uring Project Construction</w:t>
      </w:r>
      <w:r w:rsidRPr="003A0C5C">
        <w:t>, summarizes the proposed project’s total and annual fuel and electricity consumption from construction activities.</w:t>
      </w:r>
    </w:p>
    <w:p w14:paraId="01D1FBCD" w14:textId="4C46859B" w:rsidR="00FF5E9B" w:rsidRPr="003A0C5C" w:rsidRDefault="00FF5E9B" w:rsidP="00FF5E9B">
      <w:pPr>
        <w:pStyle w:val="TableNoTitle"/>
      </w:pPr>
      <w:bookmarkStart w:id="64" w:name="_Toc101792198"/>
      <w:r w:rsidRPr="003A0C5C">
        <w:t>Table </w:t>
      </w:r>
      <w:r w:rsidR="004D1D08" w:rsidRPr="003A0C5C">
        <w:t>6</w:t>
      </w:r>
      <w:r w:rsidRPr="003A0C5C">
        <w:br/>
      </w:r>
      <w:r w:rsidRPr="003A0C5C">
        <w:tab/>
        <w:t xml:space="preserve">Summary of Energy Consumption </w:t>
      </w:r>
      <w:r w:rsidR="00B646B9" w:rsidRPr="003A0C5C">
        <w:t>D</w:t>
      </w:r>
      <w:r w:rsidRPr="003A0C5C">
        <w:t>uring Project Construction</w:t>
      </w:r>
      <w:bookmarkEnd w:id="64"/>
    </w:p>
    <w:tbl>
      <w:tblPr>
        <w:tblW w:w="6048" w:type="dxa"/>
        <w:jc w:val="center"/>
        <w:tblBorders>
          <w:top w:val="single" w:sz="4" w:space="0" w:color="auto"/>
          <w:bottom w:val="single" w:sz="4" w:space="0" w:color="auto"/>
        </w:tblBorders>
        <w:tblCellMar>
          <w:left w:w="86" w:type="dxa"/>
          <w:right w:w="86" w:type="dxa"/>
        </w:tblCellMar>
        <w:tblLook w:val="04A0" w:firstRow="1" w:lastRow="0" w:firstColumn="1" w:lastColumn="0" w:noHBand="0" w:noVBand="1"/>
      </w:tblPr>
      <w:tblGrid>
        <w:gridCol w:w="4637"/>
        <w:gridCol w:w="1411"/>
      </w:tblGrid>
      <w:tr w:rsidR="003A0C5C" w:rsidRPr="003A0C5C" w14:paraId="7105AF0F" w14:textId="77777777" w:rsidTr="003C2FE6">
        <w:trPr>
          <w:cantSplit/>
          <w:jc w:val="center"/>
        </w:trPr>
        <w:tc>
          <w:tcPr>
            <w:tcW w:w="0" w:type="auto"/>
            <w:tcBorders>
              <w:bottom w:val="single" w:sz="12" w:space="0" w:color="auto"/>
            </w:tcBorders>
          </w:tcPr>
          <w:p w14:paraId="6FB5A3A3" w14:textId="77777777" w:rsidR="00FF5E9B" w:rsidRPr="003A0C5C" w:rsidRDefault="00FF5E9B" w:rsidP="003C2FE6">
            <w:pPr>
              <w:pStyle w:val="Tablecolumnheading"/>
            </w:pPr>
            <w:r w:rsidRPr="003A0C5C">
              <w:t>Fuel Type</w:t>
            </w:r>
          </w:p>
        </w:tc>
        <w:tc>
          <w:tcPr>
            <w:tcW w:w="0" w:type="auto"/>
            <w:tcBorders>
              <w:bottom w:val="single" w:sz="12" w:space="0" w:color="auto"/>
            </w:tcBorders>
          </w:tcPr>
          <w:p w14:paraId="26539EF4" w14:textId="77777777" w:rsidR="00FF5E9B" w:rsidRPr="003A0C5C" w:rsidRDefault="00FF5E9B" w:rsidP="003C2FE6">
            <w:pPr>
              <w:pStyle w:val="Tablecolumnheading"/>
              <w:jc w:val="center"/>
              <w:rPr>
                <w:szCs w:val="16"/>
              </w:rPr>
            </w:pPr>
            <w:r w:rsidRPr="003A0C5C">
              <w:rPr>
                <w:szCs w:val="16"/>
              </w:rPr>
              <w:t>Quantity</w:t>
            </w:r>
          </w:p>
        </w:tc>
      </w:tr>
      <w:tr w:rsidR="003A0C5C" w:rsidRPr="003A0C5C" w14:paraId="7097AB92" w14:textId="77777777" w:rsidTr="003C2FE6">
        <w:trPr>
          <w:cantSplit/>
          <w:jc w:val="center"/>
        </w:trPr>
        <w:tc>
          <w:tcPr>
            <w:tcW w:w="0" w:type="auto"/>
            <w:tcBorders>
              <w:top w:val="single" w:sz="12" w:space="0" w:color="auto"/>
              <w:bottom w:val="nil"/>
            </w:tcBorders>
            <w:shd w:val="clear" w:color="auto" w:fill="D9D9D9" w:themeFill="background1" w:themeFillShade="D9"/>
          </w:tcPr>
          <w:p w14:paraId="0219CA0A" w14:textId="77777777" w:rsidR="00FF5E9B" w:rsidRPr="003A0C5C" w:rsidRDefault="00FF5E9B" w:rsidP="003C2FE6">
            <w:pPr>
              <w:pStyle w:val="Tablerowheading"/>
            </w:pPr>
            <w:r w:rsidRPr="003A0C5C">
              <w:t>Gasoline</w:t>
            </w:r>
          </w:p>
        </w:tc>
        <w:tc>
          <w:tcPr>
            <w:tcW w:w="0" w:type="auto"/>
            <w:tcBorders>
              <w:top w:val="single" w:sz="12" w:space="0" w:color="auto"/>
              <w:bottom w:val="nil"/>
            </w:tcBorders>
            <w:shd w:val="clear" w:color="auto" w:fill="D9D9D9" w:themeFill="background1" w:themeFillShade="D9"/>
          </w:tcPr>
          <w:p w14:paraId="32689137" w14:textId="77777777" w:rsidR="00FF5E9B" w:rsidRPr="003A0C5C" w:rsidRDefault="00FF5E9B" w:rsidP="003C2FE6">
            <w:pPr>
              <w:pStyle w:val="Tablerowheading"/>
              <w:jc w:val="center"/>
            </w:pPr>
            <w:r w:rsidRPr="003A0C5C">
              <w:t>gallons</w:t>
            </w:r>
          </w:p>
        </w:tc>
      </w:tr>
      <w:tr w:rsidR="003A0C5C" w:rsidRPr="003A0C5C" w14:paraId="12F98BCE" w14:textId="77777777" w:rsidTr="003C2FE6">
        <w:trPr>
          <w:cantSplit/>
          <w:jc w:val="center"/>
        </w:trPr>
        <w:tc>
          <w:tcPr>
            <w:tcW w:w="0" w:type="auto"/>
            <w:tcBorders>
              <w:top w:val="nil"/>
              <w:bottom w:val="nil"/>
            </w:tcBorders>
          </w:tcPr>
          <w:p w14:paraId="059DE08D" w14:textId="77777777" w:rsidR="00FF5E9B" w:rsidRPr="003A0C5C" w:rsidRDefault="00FF5E9B" w:rsidP="003C2FE6">
            <w:pPr>
              <w:pStyle w:val="Tabletext"/>
              <w:keepNext/>
            </w:pPr>
            <w:r w:rsidRPr="003A0C5C">
              <w:t>On-Road Construction (Workers)</w:t>
            </w:r>
          </w:p>
        </w:tc>
        <w:tc>
          <w:tcPr>
            <w:tcW w:w="0" w:type="auto"/>
            <w:tcBorders>
              <w:top w:val="nil"/>
              <w:bottom w:val="nil"/>
            </w:tcBorders>
          </w:tcPr>
          <w:p w14:paraId="14BC32E7" w14:textId="77777777" w:rsidR="00FF5E9B" w:rsidRPr="003A0C5C" w:rsidRDefault="00FF5E9B" w:rsidP="003C2FE6">
            <w:pPr>
              <w:pStyle w:val="Tabletext"/>
              <w:jc w:val="center"/>
              <w:rPr>
                <w:rFonts w:cs="Arial"/>
                <w:szCs w:val="16"/>
              </w:rPr>
            </w:pPr>
            <w:r w:rsidRPr="003A0C5C">
              <w:rPr>
                <w:rFonts w:cs="Arial"/>
                <w:szCs w:val="16"/>
              </w:rPr>
              <w:t>18,942</w:t>
            </w:r>
          </w:p>
        </w:tc>
      </w:tr>
      <w:tr w:rsidR="003A0C5C" w:rsidRPr="003A0C5C" w14:paraId="5FFB28FA" w14:textId="77777777" w:rsidTr="003C2FE6">
        <w:trPr>
          <w:cantSplit/>
          <w:jc w:val="center"/>
        </w:trPr>
        <w:tc>
          <w:tcPr>
            <w:tcW w:w="0" w:type="auto"/>
            <w:tcBorders>
              <w:top w:val="nil"/>
              <w:bottom w:val="nil"/>
            </w:tcBorders>
          </w:tcPr>
          <w:p w14:paraId="0A75270B" w14:textId="77777777" w:rsidR="00FF5E9B" w:rsidRPr="003A0C5C" w:rsidRDefault="00FF5E9B" w:rsidP="003C2FE6">
            <w:pPr>
              <w:pStyle w:val="Tabletext"/>
              <w:keepNext/>
              <w:jc w:val="right"/>
              <w:rPr>
                <w:rStyle w:val="BoldItalic"/>
              </w:rPr>
            </w:pPr>
            <w:r w:rsidRPr="003A0C5C">
              <w:rPr>
                <w:rStyle w:val="BoldItalic"/>
              </w:rPr>
              <w:t>Total Gasoline (13 months)</w:t>
            </w:r>
          </w:p>
        </w:tc>
        <w:tc>
          <w:tcPr>
            <w:tcW w:w="0" w:type="auto"/>
            <w:tcBorders>
              <w:top w:val="nil"/>
              <w:bottom w:val="nil"/>
            </w:tcBorders>
          </w:tcPr>
          <w:p w14:paraId="4B67963B" w14:textId="77777777" w:rsidR="00FF5E9B" w:rsidRPr="003A0C5C" w:rsidRDefault="00FF5E9B" w:rsidP="003C2FE6">
            <w:pPr>
              <w:pStyle w:val="TableTotal"/>
              <w:rPr>
                <w:rStyle w:val="BoldItalic"/>
                <w:szCs w:val="16"/>
              </w:rPr>
            </w:pPr>
          </w:p>
        </w:tc>
      </w:tr>
      <w:tr w:rsidR="003A0C5C" w:rsidRPr="003A0C5C" w14:paraId="1CAB86F0" w14:textId="77777777" w:rsidTr="003C2FE6">
        <w:trPr>
          <w:cantSplit/>
          <w:jc w:val="center"/>
        </w:trPr>
        <w:tc>
          <w:tcPr>
            <w:tcW w:w="0" w:type="auto"/>
            <w:tcBorders>
              <w:top w:val="nil"/>
              <w:bottom w:val="nil"/>
            </w:tcBorders>
            <w:shd w:val="clear" w:color="auto" w:fill="D9D9D9" w:themeFill="background1" w:themeFillShade="D9"/>
          </w:tcPr>
          <w:p w14:paraId="415FECF7" w14:textId="77777777" w:rsidR="00FF5E9B" w:rsidRPr="003A0C5C" w:rsidRDefault="00FF5E9B" w:rsidP="003C2FE6">
            <w:pPr>
              <w:pStyle w:val="Tablerowheading"/>
            </w:pPr>
            <w:r w:rsidRPr="003A0C5C">
              <w:t>Diesel</w:t>
            </w:r>
          </w:p>
        </w:tc>
        <w:tc>
          <w:tcPr>
            <w:tcW w:w="0" w:type="auto"/>
            <w:tcBorders>
              <w:top w:val="nil"/>
              <w:bottom w:val="nil"/>
            </w:tcBorders>
            <w:shd w:val="clear" w:color="auto" w:fill="D9D9D9" w:themeFill="background1" w:themeFillShade="D9"/>
          </w:tcPr>
          <w:p w14:paraId="18129A06" w14:textId="77777777" w:rsidR="00FF5E9B" w:rsidRPr="003A0C5C" w:rsidRDefault="00FF5E9B" w:rsidP="003C2FE6">
            <w:pPr>
              <w:pStyle w:val="Tablerowheading"/>
              <w:jc w:val="center"/>
            </w:pPr>
            <w:r w:rsidRPr="003A0C5C">
              <w:t>gallons</w:t>
            </w:r>
          </w:p>
        </w:tc>
      </w:tr>
      <w:tr w:rsidR="003A0C5C" w:rsidRPr="003A0C5C" w14:paraId="16527943" w14:textId="77777777" w:rsidTr="003C2FE6">
        <w:trPr>
          <w:cantSplit/>
          <w:jc w:val="center"/>
        </w:trPr>
        <w:tc>
          <w:tcPr>
            <w:tcW w:w="0" w:type="auto"/>
            <w:tcBorders>
              <w:top w:val="nil"/>
              <w:bottom w:val="nil"/>
            </w:tcBorders>
          </w:tcPr>
          <w:p w14:paraId="7B6465D9" w14:textId="77777777" w:rsidR="00FF5E9B" w:rsidRPr="003A0C5C" w:rsidRDefault="00FF5E9B" w:rsidP="003C2FE6">
            <w:pPr>
              <w:pStyle w:val="Tabletext"/>
              <w:keepNext/>
            </w:pPr>
            <w:r w:rsidRPr="003A0C5C">
              <w:t>On-Road Construction Equipment</w:t>
            </w:r>
          </w:p>
        </w:tc>
        <w:tc>
          <w:tcPr>
            <w:tcW w:w="0" w:type="auto"/>
            <w:tcBorders>
              <w:top w:val="nil"/>
              <w:bottom w:val="nil"/>
            </w:tcBorders>
          </w:tcPr>
          <w:p w14:paraId="55A42CAB" w14:textId="1CC56D6C" w:rsidR="00FF5E9B" w:rsidRPr="003A0C5C" w:rsidRDefault="00CE1D1C" w:rsidP="003C2FE6">
            <w:pPr>
              <w:pStyle w:val="Tabletext"/>
              <w:jc w:val="center"/>
              <w:rPr>
                <w:rFonts w:cs="Arial"/>
                <w:szCs w:val="16"/>
              </w:rPr>
            </w:pPr>
            <w:r w:rsidRPr="003A0C5C">
              <w:rPr>
                <w:rFonts w:cs="Arial"/>
                <w:szCs w:val="16"/>
              </w:rPr>
              <w:t xml:space="preserve"> </w:t>
            </w:r>
            <w:r w:rsidR="00FF5E9B" w:rsidRPr="003A0C5C">
              <w:rPr>
                <w:rFonts w:cs="Arial"/>
                <w:szCs w:val="16"/>
              </w:rPr>
              <w:t>4,132</w:t>
            </w:r>
          </w:p>
        </w:tc>
      </w:tr>
      <w:tr w:rsidR="003A0C5C" w:rsidRPr="003A0C5C" w14:paraId="04D18268" w14:textId="77777777" w:rsidTr="003C2FE6">
        <w:trPr>
          <w:cantSplit/>
          <w:jc w:val="center"/>
        </w:trPr>
        <w:tc>
          <w:tcPr>
            <w:tcW w:w="0" w:type="auto"/>
            <w:tcBorders>
              <w:top w:val="nil"/>
              <w:bottom w:val="nil"/>
            </w:tcBorders>
          </w:tcPr>
          <w:p w14:paraId="7502AA59" w14:textId="77777777" w:rsidR="00FF5E9B" w:rsidRPr="003A0C5C" w:rsidRDefault="00FF5E9B" w:rsidP="003C2FE6">
            <w:pPr>
              <w:pStyle w:val="Tabletext"/>
              <w:keepNext/>
            </w:pPr>
            <w:r w:rsidRPr="003A0C5C">
              <w:t>Off-Road Construction Equipment</w:t>
            </w:r>
          </w:p>
        </w:tc>
        <w:tc>
          <w:tcPr>
            <w:tcW w:w="0" w:type="auto"/>
            <w:tcBorders>
              <w:top w:val="nil"/>
              <w:bottom w:val="nil"/>
            </w:tcBorders>
          </w:tcPr>
          <w:p w14:paraId="024DFC37" w14:textId="77777777" w:rsidR="00FF5E9B" w:rsidRPr="003A0C5C" w:rsidRDefault="00FF5E9B" w:rsidP="003C2FE6">
            <w:pPr>
              <w:pStyle w:val="Tabletext"/>
              <w:jc w:val="center"/>
              <w:rPr>
                <w:rFonts w:cs="Arial"/>
                <w:szCs w:val="16"/>
              </w:rPr>
            </w:pPr>
            <w:r w:rsidRPr="003A0C5C">
              <w:rPr>
                <w:rFonts w:cs="Arial"/>
                <w:szCs w:val="16"/>
              </w:rPr>
              <w:t>83,758</w:t>
            </w:r>
          </w:p>
        </w:tc>
      </w:tr>
      <w:tr w:rsidR="003A0C5C" w:rsidRPr="003A0C5C" w14:paraId="58D5E0B4" w14:textId="77777777" w:rsidTr="003C2FE6">
        <w:trPr>
          <w:cantSplit/>
          <w:jc w:val="center"/>
        </w:trPr>
        <w:tc>
          <w:tcPr>
            <w:tcW w:w="0" w:type="auto"/>
            <w:tcBorders>
              <w:top w:val="nil"/>
              <w:bottom w:val="nil"/>
            </w:tcBorders>
          </w:tcPr>
          <w:p w14:paraId="74847AA4" w14:textId="77777777" w:rsidR="00FF5E9B" w:rsidRPr="003A0C5C" w:rsidRDefault="00FF5E9B" w:rsidP="003C2FE6">
            <w:pPr>
              <w:pStyle w:val="Tabletext"/>
              <w:keepNext/>
              <w:jc w:val="right"/>
              <w:rPr>
                <w:rStyle w:val="BoldItalic"/>
              </w:rPr>
            </w:pPr>
            <w:r w:rsidRPr="003A0C5C">
              <w:rPr>
                <w:rStyle w:val="BoldItalic"/>
              </w:rPr>
              <w:t>Total Diesel (13 months)</w:t>
            </w:r>
          </w:p>
        </w:tc>
        <w:tc>
          <w:tcPr>
            <w:tcW w:w="0" w:type="auto"/>
            <w:tcBorders>
              <w:top w:val="nil"/>
              <w:bottom w:val="nil"/>
            </w:tcBorders>
          </w:tcPr>
          <w:p w14:paraId="1961D284" w14:textId="6B39A24E" w:rsidR="00FF5E9B" w:rsidRPr="003A0C5C" w:rsidRDefault="00CE1D1C" w:rsidP="003C2FE6">
            <w:pPr>
              <w:pStyle w:val="TableTotal"/>
              <w:rPr>
                <w:rStyle w:val="BoldItalic"/>
                <w:szCs w:val="16"/>
              </w:rPr>
            </w:pPr>
            <w:r w:rsidRPr="003A0C5C">
              <w:rPr>
                <w:rStyle w:val="BoldItalic"/>
                <w:szCs w:val="16"/>
              </w:rPr>
              <w:t>8</w:t>
            </w:r>
            <w:r w:rsidRPr="003A0C5C">
              <w:rPr>
                <w:rStyle w:val="BoldItalic"/>
              </w:rPr>
              <w:t>7,890</w:t>
            </w:r>
          </w:p>
        </w:tc>
      </w:tr>
      <w:tr w:rsidR="003A0C5C" w:rsidRPr="003A0C5C" w14:paraId="26C4108F" w14:textId="77777777" w:rsidTr="003C2FE6">
        <w:trPr>
          <w:cantSplit/>
          <w:jc w:val="center"/>
        </w:trPr>
        <w:tc>
          <w:tcPr>
            <w:tcW w:w="0" w:type="auto"/>
            <w:tcBorders>
              <w:top w:val="nil"/>
              <w:bottom w:val="nil"/>
            </w:tcBorders>
            <w:shd w:val="clear" w:color="auto" w:fill="D9D9D9" w:themeFill="background1" w:themeFillShade="D9"/>
          </w:tcPr>
          <w:p w14:paraId="201A2F8F" w14:textId="77777777" w:rsidR="00FF5E9B" w:rsidRPr="003A0C5C" w:rsidRDefault="00FF5E9B" w:rsidP="003C2FE6">
            <w:pPr>
              <w:pStyle w:val="Tablerowheading"/>
            </w:pPr>
            <w:r w:rsidRPr="003A0C5C">
              <w:t>Electricity</w:t>
            </w:r>
          </w:p>
        </w:tc>
        <w:tc>
          <w:tcPr>
            <w:tcW w:w="0" w:type="auto"/>
            <w:tcBorders>
              <w:top w:val="nil"/>
              <w:bottom w:val="nil"/>
            </w:tcBorders>
            <w:shd w:val="clear" w:color="auto" w:fill="D9D9D9" w:themeFill="background1" w:themeFillShade="D9"/>
          </w:tcPr>
          <w:p w14:paraId="279F5672" w14:textId="77777777" w:rsidR="00FF5E9B" w:rsidRPr="003A0C5C" w:rsidRDefault="00FF5E9B" w:rsidP="003C2FE6">
            <w:pPr>
              <w:pStyle w:val="Tablerowheading"/>
              <w:jc w:val="center"/>
            </w:pPr>
            <w:r w:rsidRPr="003A0C5C">
              <w:t>MWh</w:t>
            </w:r>
          </w:p>
        </w:tc>
      </w:tr>
      <w:tr w:rsidR="003A0C5C" w:rsidRPr="003A0C5C" w14:paraId="44C3E836" w14:textId="77777777" w:rsidTr="003C2FE6">
        <w:trPr>
          <w:cantSplit/>
          <w:jc w:val="center"/>
        </w:trPr>
        <w:tc>
          <w:tcPr>
            <w:tcW w:w="0" w:type="auto"/>
            <w:tcBorders>
              <w:top w:val="nil"/>
              <w:bottom w:val="nil"/>
            </w:tcBorders>
          </w:tcPr>
          <w:p w14:paraId="4ABBF9D1" w14:textId="77777777" w:rsidR="00FF5E9B" w:rsidRPr="003A0C5C" w:rsidRDefault="00FF5E9B" w:rsidP="003C2FE6">
            <w:pPr>
              <w:pStyle w:val="Tabletext"/>
              <w:keepNext/>
            </w:pPr>
            <w:r w:rsidRPr="003A0C5C">
              <w:t>Water Conveyance for Dust Control</w:t>
            </w:r>
          </w:p>
        </w:tc>
        <w:tc>
          <w:tcPr>
            <w:tcW w:w="0" w:type="auto"/>
            <w:tcBorders>
              <w:top w:val="nil"/>
              <w:bottom w:val="nil"/>
            </w:tcBorders>
          </w:tcPr>
          <w:p w14:paraId="286BA5C9" w14:textId="77777777" w:rsidR="00FF5E9B" w:rsidRPr="003A0C5C" w:rsidRDefault="00FF5E9B" w:rsidP="003C2FE6">
            <w:pPr>
              <w:pStyle w:val="Tabletext"/>
              <w:jc w:val="center"/>
              <w:rPr>
                <w:rFonts w:cs="Arial"/>
                <w:szCs w:val="16"/>
              </w:rPr>
            </w:pPr>
            <w:r w:rsidRPr="003A0C5C">
              <w:rPr>
                <w:rFonts w:cs="Arial"/>
                <w:szCs w:val="16"/>
              </w:rPr>
              <w:t>3.5</w:t>
            </w:r>
          </w:p>
        </w:tc>
      </w:tr>
      <w:tr w:rsidR="003A0C5C" w:rsidRPr="003A0C5C" w14:paraId="0479C871" w14:textId="77777777" w:rsidTr="003C2FE6">
        <w:trPr>
          <w:cantSplit/>
          <w:jc w:val="center"/>
        </w:trPr>
        <w:tc>
          <w:tcPr>
            <w:tcW w:w="0" w:type="auto"/>
            <w:tcBorders>
              <w:top w:val="nil"/>
              <w:bottom w:val="single" w:sz="4" w:space="0" w:color="auto"/>
            </w:tcBorders>
          </w:tcPr>
          <w:p w14:paraId="2AB03171" w14:textId="77777777" w:rsidR="00FF5E9B" w:rsidRPr="003A0C5C" w:rsidRDefault="00FF5E9B" w:rsidP="003C2FE6">
            <w:pPr>
              <w:pStyle w:val="Tabletext"/>
              <w:keepNext/>
              <w:jc w:val="right"/>
              <w:rPr>
                <w:rStyle w:val="BoldItalic"/>
              </w:rPr>
            </w:pPr>
            <w:r w:rsidRPr="003A0C5C">
              <w:rPr>
                <w:rStyle w:val="BoldItalic"/>
              </w:rPr>
              <w:t>Total Electricity (13 months)</w:t>
            </w:r>
          </w:p>
        </w:tc>
        <w:tc>
          <w:tcPr>
            <w:tcW w:w="0" w:type="auto"/>
            <w:tcBorders>
              <w:top w:val="nil"/>
              <w:bottom w:val="single" w:sz="4" w:space="0" w:color="auto"/>
            </w:tcBorders>
          </w:tcPr>
          <w:p w14:paraId="44657D03" w14:textId="3BC17D64" w:rsidR="00FF5E9B" w:rsidRPr="003A0C5C" w:rsidRDefault="00CE1D1C" w:rsidP="003C2FE6">
            <w:pPr>
              <w:pStyle w:val="TableTotal"/>
              <w:rPr>
                <w:rStyle w:val="BoldItalic"/>
                <w:szCs w:val="16"/>
              </w:rPr>
            </w:pPr>
            <w:r w:rsidRPr="003A0C5C">
              <w:rPr>
                <w:rFonts w:cs="Arial"/>
                <w:szCs w:val="16"/>
              </w:rPr>
              <w:t>3.5</w:t>
            </w:r>
          </w:p>
        </w:tc>
      </w:tr>
      <w:tr w:rsidR="003A0C5C" w:rsidRPr="003A0C5C" w14:paraId="4C7B1B55" w14:textId="77777777" w:rsidTr="003C2FE6">
        <w:trPr>
          <w:cantSplit/>
          <w:jc w:val="center"/>
        </w:trPr>
        <w:tc>
          <w:tcPr>
            <w:tcW w:w="0" w:type="auto"/>
            <w:tcBorders>
              <w:top w:val="single" w:sz="4" w:space="0" w:color="auto"/>
              <w:bottom w:val="nil"/>
            </w:tcBorders>
          </w:tcPr>
          <w:p w14:paraId="4F0B3D30" w14:textId="77777777" w:rsidR="00FF5E9B" w:rsidRPr="003A0C5C" w:rsidRDefault="00FF5E9B" w:rsidP="003C2FE6">
            <w:pPr>
              <w:pStyle w:val="Tabletext"/>
              <w:keepNext/>
              <w:rPr>
                <w:rStyle w:val="Bold"/>
              </w:rPr>
            </w:pPr>
            <w:r w:rsidRPr="003A0C5C">
              <w:rPr>
                <w:rStyle w:val="Bold"/>
              </w:rPr>
              <w:t>Annualized Gasoline Use (gal)</w:t>
            </w:r>
          </w:p>
        </w:tc>
        <w:tc>
          <w:tcPr>
            <w:tcW w:w="0" w:type="auto"/>
            <w:tcBorders>
              <w:top w:val="single" w:sz="4" w:space="0" w:color="auto"/>
              <w:bottom w:val="nil"/>
            </w:tcBorders>
          </w:tcPr>
          <w:p w14:paraId="7D3745BB" w14:textId="77777777" w:rsidR="00FF5E9B" w:rsidRPr="003A0C5C" w:rsidRDefault="00FF5E9B" w:rsidP="003C2FE6">
            <w:pPr>
              <w:pStyle w:val="Tabletext"/>
              <w:jc w:val="center"/>
              <w:rPr>
                <w:rStyle w:val="Bold"/>
                <w:szCs w:val="16"/>
              </w:rPr>
            </w:pPr>
            <w:r w:rsidRPr="003A0C5C">
              <w:rPr>
                <w:rStyle w:val="Bold"/>
                <w:szCs w:val="16"/>
              </w:rPr>
              <w:t>17,459</w:t>
            </w:r>
          </w:p>
        </w:tc>
      </w:tr>
      <w:tr w:rsidR="003A0C5C" w:rsidRPr="003A0C5C" w14:paraId="5B78FC87" w14:textId="77777777" w:rsidTr="003C2FE6">
        <w:trPr>
          <w:cantSplit/>
          <w:jc w:val="center"/>
        </w:trPr>
        <w:tc>
          <w:tcPr>
            <w:tcW w:w="0" w:type="auto"/>
            <w:tcBorders>
              <w:top w:val="nil"/>
              <w:bottom w:val="nil"/>
            </w:tcBorders>
          </w:tcPr>
          <w:p w14:paraId="29D46439" w14:textId="77777777" w:rsidR="00FF5E9B" w:rsidRPr="003A0C5C" w:rsidRDefault="00FF5E9B" w:rsidP="003C2FE6">
            <w:pPr>
              <w:pStyle w:val="Tabletext"/>
              <w:keepNext/>
              <w:rPr>
                <w:rStyle w:val="Bold"/>
              </w:rPr>
            </w:pPr>
            <w:r w:rsidRPr="003A0C5C">
              <w:rPr>
                <w:rStyle w:val="Bold"/>
              </w:rPr>
              <w:t>Annualized Diesel Use (gal)</w:t>
            </w:r>
          </w:p>
        </w:tc>
        <w:tc>
          <w:tcPr>
            <w:tcW w:w="0" w:type="auto"/>
            <w:tcBorders>
              <w:top w:val="nil"/>
              <w:bottom w:val="nil"/>
            </w:tcBorders>
          </w:tcPr>
          <w:p w14:paraId="5415981A" w14:textId="77777777" w:rsidR="00FF5E9B" w:rsidRPr="003A0C5C" w:rsidRDefault="00FF5E9B" w:rsidP="003C2FE6">
            <w:pPr>
              <w:pStyle w:val="Tabletext"/>
              <w:jc w:val="center"/>
              <w:rPr>
                <w:rStyle w:val="Bold"/>
                <w:szCs w:val="16"/>
              </w:rPr>
            </w:pPr>
            <w:r w:rsidRPr="003A0C5C">
              <w:rPr>
                <w:rStyle w:val="Bold"/>
                <w:szCs w:val="16"/>
              </w:rPr>
              <w:t>81,010</w:t>
            </w:r>
          </w:p>
        </w:tc>
      </w:tr>
      <w:tr w:rsidR="003A0C5C" w:rsidRPr="003A0C5C" w14:paraId="44C40638" w14:textId="77777777" w:rsidTr="003C2FE6">
        <w:trPr>
          <w:cantSplit/>
          <w:jc w:val="center"/>
        </w:trPr>
        <w:tc>
          <w:tcPr>
            <w:tcW w:w="0" w:type="auto"/>
            <w:tcBorders>
              <w:top w:val="nil"/>
              <w:bottom w:val="single" w:sz="4" w:space="0" w:color="auto"/>
            </w:tcBorders>
          </w:tcPr>
          <w:p w14:paraId="4B7CB423" w14:textId="77777777" w:rsidR="00FF5E9B" w:rsidRPr="003A0C5C" w:rsidRDefault="00FF5E9B" w:rsidP="003C2FE6">
            <w:pPr>
              <w:pStyle w:val="Tabletext"/>
              <w:keepNext/>
              <w:rPr>
                <w:rStyle w:val="Bold"/>
              </w:rPr>
            </w:pPr>
            <w:r w:rsidRPr="003A0C5C">
              <w:rPr>
                <w:rStyle w:val="Bold"/>
              </w:rPr>
              <w:t>Annualized Electricity (MWh)</w:t>
            </w:r>
          </w:p>
        </w:tc>
        <w:tc>
          <w:tcPr>
            <w:tcW w:w="0" w:type="auto"/>
            <w:tcBorders>
              <w:top w:val="nil"/>
              <w:bottom w:val="single" w:sz="4" w:space="0" w:color="auto"/>
            </w:tcBorders>
          </w:tcPr>
          <w:p w14:paraId="0A178E8A" w14:textId="392A5757" w:rsidR="00FF5E9B" w:rsidRPr="003A0C5C" w:rsidRDefault="00FF5E9B" w:rsidP="003C2FE6">
            <w:pPr>
              <w:pStyle w:val="Tabletext"/>
              <w:jc w:val="center"/>
              <w:rPr>
                <w:rStyle w:val="Bold"/>
                <w:szCs w:val="16"/>
              </w:rPr>
            </w:pPr>
            <w:r w:rsidRPr="003A0C5C">
              <w:rPr>
                <w:rStyle w:val="Bold"/>
                <w:szCs w:val="16"/>
              </w:rPr>
              <w:t>3</w:t>
            </w:r>
            <w:r w:rsidR="00476B3D" w:rsidRPr="003A0C5C">
              <w:rPr>
                <w:rStyle w:val="Bold"/>
                <w:szCs w:val="16"/>
              </w:rPr>
              <w:t>.5</w:t>
            </w:r>
          </w:p>
        </w:tc>
      </w:tr>
      <w:tr w:rsidR="00FF5E9B" w:rsidRPr="003A0C5C" w14:paraId="0AF54604" w14:textId="77777777" w:rsidTr="003C2FE6">
        <w:trPr>
          <w:cantSplit/>
          <w:jc w:val="center"/>
        </w:trPr>
        <w:tc>
          <w:tcPr>
            <w:tcW w:w="0" w:type="auto"/>
            <w:gridSpan w:val="2"/>
            <w:tcBorders>
              <w:top w:val="single" w:sz="4" w:space="0" w:color="auto"/>
            </w:tcBorders>
          </w:tcPr>
          <w:p w14:paraId="2F2F7420" w14:textId="77777777" w:rsidR="00FF5E9B" w:rsidRPr="003A0C5C" w:rsidRDefault="00FF5E9B" w:rsidP="00A52381">
            <w:pPr>
              <w:pStyle w:val="TableNotes"/>
              <w:spacing w:before="120"/>
            </w:pPr>
            <w:r w:rsidRPr="003A0C5C">
              <w:t>NOTES:</w:t>
            </w:r>
          </w:p>
          <w:p w14:paraId="4A86CB0A" w14:textId="77777777" w:rsidR="00FF5E9B" w:rsidRPr="003A0C5C" w:rsidRDefault="00FF5E9B" w:rsidP="00A52381">
            <w:pPr>
              <w:pStyle w:val="TableNotes"/>
              <w:spacing w:before="60" w:after="60"/>
            </w:pPr>
            <w:r w:rsidRPr="003A0C5C">
              <w:t>gal = gallons; MWh = megawatt-hours</w:t>
            </w:r>
          </w:p>
          <w:p w14:paraId="30280930" w14:textId="4D81AABA" w:rsidR="00FF5E9B" w:rsidRPr="003A0C5C" w:rsidRDefault="00FF5E9B" w:rsidP="00A52381">
            <w:pPr>
              <w:pStyle w:val="TableSource"/>
              <w:spacing w:after="120"/>
            </w:pPr>
            <w:r w:rsidRPr="003A0C5C">
              <w:t>SOURCE:</w:t>
            </w:r>
            <w:r w:rsidRPr="003A0C5C">
              <w:tab/>
              <w:t xml:space="preserve">ESA </w:t>
            </w:r>
            <w:r w:rsidR="00E653B4" w:rsidRPr="003A0C5C">
              <w:t>2022</w:t>
            </w:r>
          </w:p>
        </w:tc>
      </w:tr>
    </w:tbl>
    <w:p w14:paraId="7E8BB72E" w14:textId="77777777" w:rsidR="00FF5E9B" w:rsidRPr="003A0C5C" w:rsidRDefault="00FF5E9B" w:rsidP="00FF5E9B">
      <w:pPr>
        <w:pStyle w:val="12spaceindentcontinue"/>
        <w:rPr>
          <w:highlight w:val="yellow"/>
        </w:rPr>
      </w:pPr>
    </w:p>
    <w:p w14:paraId="50FF5499" w14:textId="1551E090" w:rsidR="00FF5E9B" w:rsidRPr="003A0C5C" w:rsidRDefault="00FF5E9B" w:rsidP="0020432B">
      <w:pPr>
        <w:pStyle w:val="12spaceindentcontinue"/>
      </w:pPr>
      <w:r w:rsidRPr="003A0C5C">
        <w:t xml:space="preserve">As shown in </w:t>
      </w:r>
      <w:r w:rsidRPr="003A0C5C">
        <w:rPr>
          <w:rStyle w:val="Bold"/>
          <w:b w:val="0"/>
          <w:bCs/>
        </w:rPr>
        <w:t>Table </w:t>
      </w:r>
      <w:r w:rsidR="004D1D08" w:rsidRPr="003A0C5C">
        <w:rPr>
          <w:rStyle w:val="Bold"/>
          <w:b w:val="0"/>
          <w:bCs/>
        </w:rPr>
        <w:t>6</w:t>
      </w:r>
      <w:r w:rsidRPr="003A0C5C">
        <w:rPr>
          <w:b/>
          <w:bCs/>
        </w:rPr>
        <w:t>,</w:t>
      </w:r>
      <w:r w:rsidRPr="003A0C5C">
        <w:t xml:space="preserve"> annual average construction electricity usage would be approximately 3</w:t>
      </w:r>
      <w:r w:rsidR="00476B3D" w:rsidRPr="003A0C5C">
        <w:t>.5</w:t>
      </w:r>
      <w:r w:rsidRPr="003A0C5C">
        <w:t xml:space="preserve"> megawatt-hours (MWh)</w:t>
      </w:r>
      <w:r w:rsidR="001157A5" w:rsidRPr="003A0C5C">
        <w:t>.</w:t>
      </w:r>
      <w:r w:rsidRPr="003A0C5C">
        <w:t xml:space="preserve"> </w:t>
      </w:r>
      <w:r w:rsidR="001157A5" w:rsidRPr="003A0C5C">
        <w:t>This amount is</w:t>
      </w:r>
      <w:r w:rsidRPr="003A0C5C">
        <w:t xml:space="preserve"> within the supply and infrastructure capabilities of </w:t>
      </w:r>
      <w:r w:rsidR="007E62A2" w:rsidRPr="003A0C5C">
        <w:t>Southern California Edison (</w:t>
      </w:r>
      <w:r w:rsidRPr="003A0C5C">
        <w:t>SCE</w:t>
      </w:r>
      <w:r w:rsidR="007E62A2" w:rsidRPr="003A0C5C">
        <w:t>)</w:t>
      </w:r>
      <w:r w:rsidRPr="003A0C5C">
        <w:t xml:space="preserve">, the electricity provider for the project site, which had a net energy load of </w:t>
      </w:r>
      <w:r w:rsidRPr="003A0C5C">
        <w:rPr>
          <w:szCs w:val="22"/>
        </w:rPr>
        <w:t>8</w:t>
      </w:r>
      <w:r w:rsidR="00FD20C8" w:rsidRPr="003A0C5C">
        <w:rPr>
          <w:szCs w:val="22"/>
        </w:rPr>
        <w:t>7,143</w:t>
      </w:r>
      <w:r w:rsidRPr="003A0C5C">
        <w:rPr>
          <w:szCs w:val="22"/>
        </w:rPr>
        <w:t xml:space="preserve"> gigawatt-hours (GWh) in 20</w:t>
      </w:r>
      <w:r w:rsidR="00FD20C8" w:rsidRPr="003A0C5C">
        <w:rPr>
          <w:szCs w:val="22"/>
        </w:rPr>
        <w:t>20</w:t>
      </w:r>
      <w:r w:rsidRPr="003A0C5C">
        <w:rPr>
          <w:szCs w:val="22"/>
        </w:rPr>
        <w:t xml:space="preserve"> </w:t>
      </w:r>
      <w:r w:rsidRPr="003A0C5C">
        <w:t>(SCE 2019).</w:t>
      </w:r>
      <w:r w:rsidRPr="003A0C5C">
        <w:rPr>
          <w:rStyle w:val="FootnoteReference"/>
        </w:rPr>
        <w:footnoteReference w:id="5"/>
      </w:r>
      <w:r w:rsidRPr="003A0C5C">
        <w:t xml:space="preserve"> </w:t>
      </w:r>
      <w:r w:rsidRPr="003A0C5C">
        <w:rPr>
          <w:szCs w:val="22"/>
        </w:rPr>
        <w:t xml:space="preserve">The electricity demand at any given time would vary throughout the construction period based on the construction activities being performed, and would cease upon completion of construction. </w:t>
      </w:r>
      <w:r w:rsidRPr="003A0C5C">
        <w:t xml:space="preserve">Electricity use from construction would be short-term, limited to working hours, used for necessary construction-related activities, and represent a small fraction of the </w:t>
      </w:r>
      <w:r w:rsidR="00B646B9" w:rsidRPr="003A0C5C">
        <w:t xml:space="preserve">proposed project’s </w:t>
      </w:r>
      <w:r w:rsidRPr="003A0C5C">
        <w:t>annual operational electricity</w:t>
      </w:r>
      <w:r w:rsidR="00FC2570" w:rsidRPr="003A0C5C">
        <w:t>.</w:t>
      </w:r>
      <w:r w:rsidRPr="003A0C5C">
        <w:t xml:space="preserve"> </w:t>
      </w:r>
      <w:r w:rsidR="00FC2570" w:rsidRPr="003A0C5C">
        <w:t>C</w:t>
      </w:r>
      <w:r w:rsidR="00991FBC" w:rsidRPr="003A0C5C">
        <w:t>onstruction</w:t>
      </w:r>
      <w:r w:rsidR="00313B2A" w:rsidRPr="003A0C5C">
        <w:t xml:space="preserve"> </w:t>
      </w:r>
      <w:r w:rsidR="00FC2570" w:rsidRPr="003A0C5C">
        <w:t>electricity</w:t>
      </w:r>
      <w:r w:rsidR="00313B2A" w:rsidRPr="003A0C5C">
        <w:t xml:space="preserve"> usage</w:t>
      </w:r>
      <w:r w:rsidR="00991FBC" w:rsidRPr="003A0C5C">
        <w:t xml:space="preserve"> of </w:t>
      </w:r>
      <w:r w:rsidRPr="003A0C5C">
        <w:t xml:space="preserve">the </w:t>
      </w:r>
      <w:r w:rsidR="00B646B9" w:rsidRPr="003A0C5C">
        <w:t>proposed project</w:t>
      </w:r>
      <w:r w:rsidR="004B2C3E" w:rsidRPr="003A0C5C">
        <w:t xml:space="preserve"> would consume approximately 0.004 percent of SCE’s total load</w:t>
      </w:r>
      <w:r w:rsidR="00FC2570" w:rsidRPr="003A0C5C">
        <w:t xml:space="preserve"> and would not cause additional strain on SCE’s electricity load</w:t>
      </w:r>
      <w:r w:rsidR="004B2C3E" w:rsidRPr="003A0C5C">
        <w:t xml:space="preserve">. </w:t>
      </w:r>
      <w:r w:rsidRPr="003A0C5C">
        <w:t>When not in use, electric equipment would be powered off so as to avoid unnecessary energy consumption. Furthermore, the electricity used for off-road light construction equipment would have the co-benefit of reducing construction-related air pollutant and GHG emissions from more traditional construction-related energy in the form of diesel fuel. Therefore, impacts from construction electrical demand would be less than significant and would not result in the wasteful, inefficient, and unnecessary consumption of energy.</w:t>
      </w:r>
    </w:p>
    <w:p w14:paraId="6E5D5935" w14:textId="1693FCDF" w:rsidR="00FF5E9B" w:rsidRPr="003A0C5C" w:rsidRDefault="00FF5E9B" w:rsidP="0020432B">
      <w:pPr>
        <w:pStyle w:val="12spaceindentcontinue"/>
        <w:rPr>
          <w:spacing w:val="-2"/>
          <w:highlight w:val="yellow"/>
        </w:rPr>
      </w:pPr>
      <w:r w:rsidRPr="003A0C5C">
        <w:rPr>
          <w:spacing w:val="-2"/>
        </w:rPr>
        <w:lastRenderedPageBreak/>
        <w:t xml:space="preserve">The energy use summary provided above in </w:t>
      </w:r>
      <w:r w:rsidRPr="003A0C5C">
        <w:rPr>
          <w:rStyle w:val="Bold"/>
          <w:b w:val="0"/>
          <w:bCs/>
          <w:spacing w:val="-2"/>
        </w:rPr>
        <w:t>Table </w:t>
      </w:r>
      <w:r w:rsidR="004D1D08" w:rsidRPr="003A0C5C">
        <w:rPr>
          <w:rStyle w:val="Bold"/>
          <w:b w:val="0"/>
          <w:bCs/>
          <w:spacing w:val="-2"/>
        </w:rPr>
        <w:t>6</w:t>
      </w:r>
      <w:r w:rsidRPr="003A0C5C">
        <w:rPr>
          <w:spacing w:val="-2"/>
        </w:rPr>
        <w:t xml:space="preserve"> represents the amount of energy that could potentially be consumed during project construction based on a conservative set of assumptions, provided in </w:t>
      </w:r>
      <w:r w:rsidRPr="003A0C5C">
        <w:rPr>
          <w:b/>
          <w:bCs/>
          <w:spacing w:val="-2"/>
        </w:rPr>
        <w:t>Appendix </w:t>
      </w:r>
      <w:r w:rsidR="00ED3686" w:rsidRPr="003A0C5C">
        <w:rPr>
          <w:b/>
          <w:bCs/>
          <w:spacing w:val="-2"/>
        </w:rPr>
        <w:t>D</w:t>
      </w:r>
      <w:r w:rsidR="00DE6129" w:rsidRPr="003A0C5C">
        <w:rPr>
          <w:b/>
          <w:bCs/>
          <w:spacing w:val="-2"/>
        </w:rPr>
        <w:t xml:space="preserve"> </w:t>
      </w:r>
      <w:r w:rsidR="00DE6129" w:rsidRPr="003A0C5C">
        <w:rPr>
          <w:spacing w:val="-2"/>
        </w:rPr>
        <w:t>of this IS/MND</w:t>
      </w:r>
      <w:r w:rsidRPr="003A0C5C">
        <w:rPr>
          <w:spacing w:val="-2"/>
        </w:rPr>
        <w:t xml:space="preserve">. As shown, on- and off-road vehicles would consume an estimated annual average of 17,459 gallons of gasoline and approximately </w:t>
      </w:r>
      <w:r w:rsidR="00476B3D" w:rsidRPr="003A0C5C">
        <w:rPr>
          <w:spacing w:val="-2"/>
        </w:rPr>
        <w:t>81,010</w:t>
      </w:r>
      <w:r w:rsidRPr="003A0C5C">
        <w:rPr>
          <w:rFonts w:cs="Arial"/>
          <w:spacing w:val="-2"/>
          <w:szCs w:val="18"/>
        </w:rPr>
        <w:t xml:space="preserve"> </w:t>
      </w:r>
      <w:r w:rsidRPr="003A0C5C">
        <w:rPr>
          <w:spacing w:val="-2"/>
        </w:rPr>
        <w:t xml:space="preserve">gallons of diesel fuel throughout the </w:t>
      </w:r>
      <w:r w:rsidR="00476B3D" w:rsidRPr="003A0C5C">
        <w:rPr>
          <w:spacing w:val="-2"/>
        </w:rPr>
        <w:t xml:space="preserve">proposed </w:t>
      </w:r>
      <w:r w:rsidRPr="003A0C5C">
        <w:rPr>
          <w:spacing w:val="-2"/>
        </w:rPr>
        <w:t>project’s construction. For comparison purposes, the fuel usage during project construction would represent approximately 0.000</w:t>
      </w:r>
      <w:r w:rsidR="00B06291" w:rsidRPr="003A0C5C">
        <w:rPr>
          <w:spacing w:val="-2"/>
        </w:rPr>
        <w:t>15</w:t>
      </w:r>
      <w:r w:rsidRPr="003A0C5C">
        <w:rPr>
          <w:spacing w:val="-2"/>
        </w:rPr>
        <w:t> percent of the 20</w:t>
      </w:r>
      <w:r w:rsidR="00FD20C8" w:rsidRPr="003A0C5C">
        <w:rPr>
          <w:spacing w:val="-2"/>
        </w:rPr>
        <w:t>20</w:t>
      </w:r>
      <w:r w:rsidRPr="003A0C5C">
        <w:rPr>
          <w:spacing w:val="-2"/>
        </w:rPr>
        <w:t xml:space="preserve"> annual on-road gasoline-related energy consumption and 0.0</w:t>
      </w:r>
      <w:r w:rsidR="00B06291" w:rsidRPr="003A0C5C">
        <w:rPr>
          <w:spacing w:val="-2"/>
        </w:rPr>
        <w:t>0</w:t>
      </w:r>
      <w:r w:rsidRPr="003A0C5C">
        <w:rPr>
          <w:spacing w:val="-2"/>
        </w:rPr>
        <w:t xml:space="preserve">5 percent of the 2019 annual diesel fuel-related energy consumption in </w:t>
      </w:r>
      <w:r w:rsidR="00B06291" w:rsidRPr="003A0C5C">
        <w:rPr>
          <w:spacing w:val="-2"/>
        </w:rPr>
        <w:t>California</w:t>
      </w:r>
      <w:r w:rsidRPr="003A0C5C">
        <w:rPr>
          <w:spacing w:val="-2"/>
        </w:rPr>
        <w:t xml:space="preserve">. </w:t>
      </w:r>
    </w:p>
    <w:p w14:paraId="0E34281D" w14:textId="77777777" w:rsidR="00FF5E9B" w:rsidRPr="003A0C5C" w:rsidRDefault="00FF5E9B" w:rsidP="00FF5E9B">
      <w:pPr>
        <w:pStyle w:val="Heading6"/>
        <w:ind w:left="720"/>
        <w:rPr>
          <w:bCs/>
        </w:rPr>
      </w:pPr>
      <w:r w:rsidRPr="003A0C5C">
        <w:rPr>
          <w:bCs/>
        </w:rPr>
        <w:t>Operations</w:t>
      </w:r>
    </w:p>
    <w:p w14:paraId="01F39CB5" w14:textId="5818448F" w:rsidR="00FF5E9B" w:rsidRPr="003A0C5C" w:rsidRDefault="00FF5E9B" w:rsidP="0020432B">
      <w:pPr>
        <w:pStyle w:val="12spaceindentcontinue"/>
      </w:pPr>
      <w:r w:rsidRPr="003A0C5C">
        <w:t xml:space="preserve">During operation of the proposed project, energy would be consumed for multiple purposes, including, but not limited to HVAC equipment, lighting, and the use of electronics. Energy would also be consumed during project operations related to water usage, solid waste disposal, and vehicle trips. </w:t>
      </w:r>
      <w:r w:rsidRPr="003A0C5C">
        <w:rPr>
          <w:rStyle w:val="Bold"/>
        </w:rPr>
        <w:t>Table </w:t>
      </w:r>
      <w:r w:rsidR="004D1D08" w:rsidRPr="003A0C5C">
        <w:rPr>
          <w:rStyle w:val="Bold"/>
        </w:rPr>
        <w:t>7</w:t>
      </w:r>
      <w:r w:rsidRPr="003A0C5C">
        <w:t xml:space="preserve">, </w:t>
      </w:r>
      <w:r w:rsidRPr="003A0C5C">
        <w:rPr>
          <w:rStyle w:val="Italic"/>
        </w:rPr>
        <w:t>Project Operational Energy Usage</w:t>
      </w:r>
      <w:r w:rsidRPr="003A0C5C">
        <w:t>, summarizes the proposed project’s operational energy consumption.</w:t>
      </w:r>
    </w:p>
    <w:tbl>
      <w:tblPr>
        <w:tblW w:w="0" w:type="auto"/>
        <w:tblInd w:w="720" w:type="dxa"/>
        <w:tblCellMar>
          <w:left w:w="86" w:type="dxa"/>
          <w:right w:w="86" w:type="dxa"/>
        </w:tblCellMar>
        <w:tblLook w:val="0000" w:firstRow="0" w:lastRow="0" w:firstColumn="0" w:lastColumn="0" w:noHBand="0" w:noVBand="0"/>
      </w:tblPr>
      <w:tblGrid>
        <w:gridCol w:w="5174"/>
        <w:gridCol w:w="2746"/>
      </w:tblGrid>
      <w:tr w:rsidR="003A0C5C" w:rsidRPr="003A0C5C" w14:paraId="765F7D5C" w14:textId="77777777" w:rsidTr="003C2FE6">
        <w:trPr>
          <w:cantSplit/>
          <w:tblHeader/>
        </w:trPr>
        <w:tc>
          <w:tcPr>
            <w:tcW w:w="0" w:type="auto"/>
            <w:gridSpan w:val="2"/>
            <w:tcBorders>
              <w:bottom w:val="single" w:sz="4" w:space="0" w:color="auto"/>
            </w:tcBorders>
            <w:tcMar>
              <w:top w:w="0" w:type="dxa"/>
            </w:tcMar>
            <w:vAlign w:val="bottom"/>
          </w:tcPr>
          <w:p w14:paraId="06F16940" w14:textId="40289C2B" w:rsidR="00FF5E9B" w:rsidRPr="003A0C5C" w:rsidRDefault="00FF5E9B" w:rsidP="004D1D08">
            <w:pPr>
              <w:pStyle w:val="TableNoTitle"/>
            </w:pPr>
            <w:bookmarkStart w:id="65" w:name="_Toc101792199"/>
            <w:r w:rsidRPr="003A0C5C">
              <w:t>Table </w:t>
            </w:r>
            <w:r w:rsidR="004D1D08" w:rsidRPr="003A0C5C">
              <w:t>7</w:t>
            </w:r>
            <w:r w:rsidRPr="003A0C5C">
              <w:br/>
            </w:r>
            <w:r w:rsidRPr="003A0C5C">
              <w:tab/>
              <w:t>Project Operational Energy Usage</w:t>
            </w:r>
            <w:bookmarkEnd w:id="65"/>
          </w:p>
        </w:tc>
      </w:tr>
      <w:tr w:rsidR="003A0C5C" w:rsidRPr="003A0C5C" w14:paraId="5BE2BF23" w14:textId="77777777" w:rsidTr="003C2FE6">
        <w:trPr>
          <w:cantSplit/>
          <w:tblHeader/>
        </w:trPr>
        <w:tc>
          <w:tcPr>
            <w:tcW w:w="0" w:type="auto"/>
            <w:tcBorders>
              <w:top w:val="single" w:sz="4" w:space="0" w:color="auto"/>
              <w:bottom w:val="single" w:sz="12" w:space="0" w:color="auto"/>
            </w:tcBorders>
            <w:tcMar>
              <w:top w:w="0" w:type="dxa"/>
            </w:tcMar>
            <w:vAlign w:val="bottom"/>
          </w:tcPr>
          <w:p w14:paraId="48592CB4" w14:textId="77777777" w:rsidR="00FF5E9B" w:rsidRPr="003A0C5C" w:rsidRDefault="00FF5E9B" w:rsidP="003C2FE6">
            <w:pPr>
              <w:pStyle w:val="Tablecolumnheading"/>
            </w:pPr>
            <w:r w:rsidRPr="003A0C5C">
              <w:t>Energy Type</w:t>
            </w:r>
            <w:r w:rsidRPr="003A0C5C">
              <w:rPr>
                <w:rStyle w:val="Tablefootnote"/>
              </w:rPr>
              <w:t>a</w:t>
            </w:r>
          </w:p>
        </w:tc>
        <w:tc>
          <w:tcPr>
            <w:tcW w:w="0" w:type="auto"/>
            <w:tcBorders>
              <w:top w:val="single" w:sz="4" w:space="0" w:color="auto"/>
              <w:bottom w:val="single" w:sz="12" w:space="0" w:color="auto"/>
            </w:tcBorders>
            <w:tcMar>
              <w:top w:w="0" w:type="dxa"/>
            </w:tcMar>
            <w:vAlign w:val="bottom"/>
          </w:tcPr>
          <w:p w14:paraId="2014E004" w14:textId="77777777" w:rsidR="00FF5E9B" w:rsidRPr="003A0C5C" w:rsidRDefault="00FF5E9B" w:rsidP="003C2FE6">
            <w:pPr>
              <w:pStyle w:val="Tablecolumnheading"/>
              <w:jc w:val="center"/>
            </w:pPr>
            <w:r w:rsidRPr="003A0C5C">
              <w:t>Annual Quantity</w:t>
            </w:r>
            <w:r w:rsidRPr="003A0C5C">
              <w:rPr>
                <w:rStyle w:val="Tablefootnote"/>
              </w:rPr>
              <w:t>b</w:t>
            </w:r>
          </w:p>
        </w:tc>
      </w:tr>
      <w:tr w:rsidR="003A0C5C" w:rsidRPr="003A0C5C" w14:paraId="2CE28D2C" w14:textId="77777777" w:rsidTr="003C2FE6">
        <w:trPr>
          <w:cantSplit/>
        </w:trPr>
        <w:tc>
          <w:tcPr>
            <w:tcW w:w="0" w:type="auto"/>
            <w:gridSpan w:val="2"/>
            <w:shd w:val="clear" w:color="auto" w:fill="D9D9D9" w:themeFill="background1" w:themeFillShade="D9"/>
            <w:tcMar>
              <w:top w:w="0" w:type="dxa"/>
            </w:tcMar>
          </w:tcPr>
          <w:p w14:paraId="24CB78B5" w14:textId="77777777" w:rsidR="00FF5E9B" w:rsidRPr="003A0C5C" w:rsidRDefault="00FF5E9B" w:rsidP="003C2FE6">
            <w:pPr>
              <w:pStyle w:val="Tablerowheading"/>
            </w:pPr>
            <w:r w:rsidRPr="003A0C5C">
              <w:t>Electricity</w:t>
            </w:r>
          </w:p>
        </w:tc>
      </w:tr>
      <w:tr w:rsidR="003A0C5C" w:rsidRPr="003A0C5C" w14:paraId="160A579C" w14:textId="77777777" w:rsidTr="003C2FE6">
        <w:trPr>
          <w:cantSplit/>
        </w:trPr>
        <w:tc>
          <w:tcPr>
            <w:tcW w:w="0" w:type="auto"/>
            <w:tcMar>
              <w:top w:w="0" w:type="dxa"/>
            </w:tcMar>
          </w:tcPr>
          <w:p w14:paraId="0A4EAD86" w14:textId="77777777" w:rsidR="00FF5E9B" w:rsidRPr="003A0C5C" w:rsidRDefault="00FF5E9B" w:rsidP="003C2FE6">
            <w:pPr>
              <w:pStyle w:val="Tabletext"/>
              <w:keepNext/>
            </w:pPr>
            <w:r w:rsidRPr="003A0C5C">
              <w:t>Proposed Project:</w:t>
            </w:r>
          </w:p>
        </w:tc>
        <w:tc>
          <w:tcPr>
            <w:tcW w:w="0" w:type="auto"/>
            <w:tcMar>
              <w:top w:w="0" w:type="dxa"/>
            </w:tcMar>
          </w:tcPr>
          <w:p w14:paraId="0763ADAC" w14:textId="77777777" w:rsidR="00FF5E9B" w:rsidRPr="003A0C5C" w:rsidRDefault="00FF5E9B" w:rsidP="003C2FE6">
            <w:pPr>
              <w:pStyle w:val="Tabletext"/>
              <w:jc w:val="center"/>
            </w:pPr>
          </w:p>
        </w:tc>
      </w:tr>
      <w:tr w:rsidR="003A0C5C" w:rsidRPr="003A0C5C" w14:paraId="0A6E76FB" w14:textId="77777777" w:rsidTr="003C2FE6">
        <w:trPr>
          <w:cantSplit/>
        </w:trPr>
        <w:tc>
          <w:tcPr>
            <w:tcW w:w="0" w:type="auto"/>
            <w:tcMar>
              <w:top w:w="0" w:type="dxa"/>
            </w:tcMar>
          </w:tcPr>
          <w:p w14:paraId="25CFB106" w14:textId="77777777" w:rsidR="00FF5E9B" w:rsidRPr="003A0C5C" w:rsidRDefault="00FF5E9B" w:rsidP="003C2FE6">
            <w:pPr>
              <w:pStyle w:val="Tabletextnumber"/>
              <w:keepNext/>
            </w:pPr>
            <w:r w:rsidRPr="003A0C5C">
              <w:tab/>
              <w:t>Building Energy</w:t>
            </w:r>
          </w:p>
        </w:tc>
        <w:tc>
          <w:tcPr>
            <w:tcW w:w="0" w:type="auto"/>
            <w:tcMar>
              <w:top w:w="0" w:type="dxa"/>
            </w:tcMar>
          </w:tcPr>
          <w:p w14:paraId="2BC6F33F" w14:textId="77777777" w:rsidR="00FF5E9B" w:rsidRPr="003A0C5C" w:rsidRDefault="00FF5E9B" w:rsidP="003C2FE6">
            <w:pPr>
              <w:pStyle w:val="Tabletext"/>
              <w:jc w:val="center"/>
            </w:pPr>
            <w:r w:rsidRPr="003A0C5C">
              <w:t>530 MWh</w:t>
            </w:r>
          </w:p>
        </w:tc>
      </w:tr>
      <w:tr w:rsidR="003A0C5C" w:rsidRPr="003A0C5C" w14:paraId="27118BD9" w14:textId="77777777" w:rsidTr="003C2FE6">
        <w:trPr>
          <w:cantSplit/>
        </w:trPr>
        <w:tc>
          <w:tcPr>
            <w:tcW w:w="0" w:type="auto"/>
            <w:tcMar>
              <w:top w:w="0" w:type="dxa"/>
            </w:tcMar>
          </w:tcPr>
          <w:p w14:paraId="4AD72C69" w14:textId="77777777" w:rsidR="00FF5E9B" w:rsidRPr="003A0C5C" w:rsidRDefault="00FF5E9B" w:rsidP="003C2FE6">
            <w:pPr>
              <w:pStyle w:val="Tabletextnumber"/>
              <w:keepNext/>
            </w:pPr>
            <w:r w:rsidRPr="003A0C5C">
              <w:tab/>
              <w:t>Water Conveyance</w:t>
            </w:r>
          </w:p>
        </w:tc>
        <w:tc>
          <w:tcPr>
            <w:tcW w:w="0" w:type="auto"/>
            <w:tcMar>
              <w:top w:w="0" w:type="dxa"/>
            </w:tcMar>
          </w:tcPr>
          <w:p w14:paraId="3BCF9EF2" w14:textId="77777777" w:rsidR="00FF5E9B" w:rsidRPr="003A0C5C" w:rsidRDefault="00FF5E9B" w:rsidP="003C2FE6">
            <w:pPr>
              <w:pStyle w:val="Tabletext"/>
              <w:jc w:val="center"/>
            </w:pPr>
            <w:r w:rsidRPr="003A0C5C">
              <w:t>353 MWh</w:t>
            </w:r>
          </w:p>
        </w:tc>
      </w:tr>
      <w:tr w:rsidR="003A0C5C" w:rsidRPr="003A0C5C" w14:paraId="50B86C45" w14:textId="77777777" w:rsidTr="003C2FE6">
        <w:trPr>
          <w:cantSplit/>
        </w:trPr>
        <w:tc>
          <w:tcPr>
            <w:tcW w:w="0" w:type="auto"/>
            <w:tcMar>
              <w:top w:w="0" w:type="dxa"/>
            </w:tcMar>
          </w:tcPr>
          <w:p w14:paraId="672EC6D1" w14:textId="77777777" w:rsidR="00FF5E9B" w:rsidRPr="003A0C5C" w:rsidRDefault="00FF5E9B" w:rsidP="003C2FE6">
            <w:pPr>
              <w:pStyle w:val="Tabletext"/>
              <w:keepNext/>
              <w:jc w:val="right"/>
              <w:rPr>
                <w:rStyle w:val="BoldItalic"/>
              </w:rPr>
            </w:pPr>
            <w:r w:rsidRPr="003A0C5C">
              <w:rPr>
                <w:rStyle w:val="BoldItalic"/>
              </w:rPr>
              <w:t>Total Electricity</w:t>
            </w:r>
          </w:p>
        </w:tc>
        <w:tc>
          <w:tcPr>
            <w:tcW w:w="0" w:type="auto"/>
            <w:tcMar>
              <w:top w:w="0" w:type="dxa"/>
            </w:tcMar>
          </w:tcPr>
          <w:p w14:paraId="088E289B" w14:textId="77777777" w:rsidR="00FF5E9B" w:rsidRPr="003A0C5C" w:rsidRDefault="00FF5E9B" w:rsidP="003C2FE6">
            <w:pPr>
              <w:pStyle w:val="TableTotal"/>
              <w:rPr>
                <w:rStyle w:val="BoldItalic"/>
              </w:rPr>
            </w:pPr>
            <w:r w:rsidRPr="003A0C5C">
              <w:rPr>
                <w:rStyle w:val="BoldItalic"/>
              </w:rPr>
              <w:t>883 MWh</w:t>
            </w:r>
          </w:p>
        </w:tc>
      </w:tr>
      <w:tr w:rsidR="003A0C5C" w:rsidRPr="003A0C5C" w14:paraId="7EA6E493" w14:textId="77777777" w:rsidTr="003C2FE6">
        <w:trPr>
          <w:cantSplit/>
        </w:trPr>
        <w:tc>
          <w:tcPr>
            <w:tcW w:w="0" w:type="auto"/>
            <w:gridSpan w:val="2"/>
            <w:tcBorders>
              <w:top w:val="single" w:sz="4" w:space="0" w:color="auto"/>
            </w:tcBorders>
            <w:shd w:val="clear" w:color="auto" w:fill="D9D9D9" w:themeFill="background1" w:themeFillShade="D9"/>
            <w:tcMar>
              <w:top w:w="0" w:type="dxa"/>
            </w:tcMar>
          </w:tcPr>
          <w:p w14:paraId="4E1E621D" w14:textId="77777777" w:rsidR="00FF5E9B" w:rsidRPr="003A0C5C" w:rsidRDefault="00FF5E9B" w:rsidP="003C2FE6">
            <w:pPr>
              <w:pStyle w:val="Tablerowheading"/>
            </w:pPr>
            <w:r w:rsidRPr="003A0C5C">
              <w:t>Natural Gas</w:t>
            </w:r>
          </w:p>
        </w:tc>
      </w:tr>
      <w:tr w:rsidR="003A0C5C" w:rsidRPr="003A0C5C" w14:paraId="3B864AD7" w14:textId="77777777" w:rsidTr="003C2FE6">
        <w:trPr>
          <w:cantSplit/>
        </w:trPr>
        <w:tc>
          <w:tcPr>
            <w:tcW w:w="0" w:type="auto"/>
            <w:tcMar>
              <w:top w:w="0" w:type="dxa"/>
            </w:tcMar>
          </w:tcPr>
          <w:p w14:paraId="639BC6C6" w14:textId="77777777" w:rsidR="00FF5E9B" w:rsidRPr="003A0C5C" w:rsidRDefault="00FF5E9B" w:rsidP="003C2FE6">
            <w:pPr>
              <w:pStyle w:val="Tabletext"/>
              <w:keepNext/>
            </w:pPr>
            <w:r w:rsidRPr="003A0C5C">
              <w:t>Proposed Project:</w:t>
            </w:r>
          </w:p>
        </w:tc>
        <w:tc>
          <w:tcPr>
            <w:tcW w:w="0" w:type="auto"/>
            <w:tcMar>
              <w:top w:w="0" w:type="dxa"/>
            </w:tcMar>
          </w:tcPr>
          <w:p w14:paraId="6A257F01" w14:textId="77777777" w:rsidR="00FF5E9B" w:rsidRPr="003A0C5C" w:rsidRDefault="00FF5E9B" w:rsidP="003C2FE6">
            <w:pPr>
              <w:pStyle w:val="Tabletext"/>
              <w:jc w:val="center"/>
            </w:pPr>
          </w:p>
        </w:tc>
      </w:tr>
      <w:tr w:rsidR="003A0C5C" w:rsidRPr="003A0C5C" w14:paraId="0FDA46E2" w14:textId="77777777" w:rsidTr="003C2FE6">
        <w:trPr>
          <w:cantSplit/>
        </w:trPr>
        <w:tc>
          <w:tcPr>
            <w:tcW w:w="0" w:type="auto"/>
            <w:tcMar>
              <w:top w:w="0" w:type="dxa"/>
            </w:tcMar>
          </w:tcPr>
          <w:p w14:paraId="29F1EF27" w14:textId="77777777" w:rsidR="00FF5E9B" w:rsidRPr="003A0C5C" w:rsidRDefault="00FF5E9B" w:rsidP="003C2FE6">
            <w:pPr>
              <w:pStyle w:val="Tabletextnumber"/>
              <w:keepNext/>
            </w:pPr>
            <w:r w:rsidRPr="003A0C5C">
              <w:tab/>
              <w:t>Building Energy</w:t>
            </w:r>
          </w:p>
        </w:tc>
        <w:tc>
          <w:tcPr>
            <w:tcW w:w="0" w:type="auto"/>
            <w:tcMar>
              <w:top w:w="0" w:type="dxa"/>
            </w:tcMar>
          </w:tcPr>
          <w:p w14:paraId="417064DD" w14:textId="77777777" w:rsidR="00FF5E9B" w:rsidRPr="003A0C5C" w:rsidRDefault="00FF5E9B" w:rsidP="003C2FE6">
            <w:pPr>
              <w:pStyle w:val="Tabletext"/>
              <w:jc w:val="center"/>
            </w:pPr>
            <w:r w:rsidRPr="003A0C5C">
              <w:t xml:space="preserve">0.46 million </w:t>
            </w:r>
            <w:proofErr w:type="spellStart"/>
            <w:r w:rsidRPr="003A0C5C">
              <w:t>cf</w:t>
            </w:r>
            <w:proofErr w:type="spellEnd"/>
          </w:p>
        </w:tc>
      </w:tr>
      <w:tr w:rsidR="003A0C5C" w:rsidRPr="003A0C5C" w14:paraId="086BCA09" w14:textId="77777777" w:rsidTr="003C2FE6">
        <w:trPr>
          <w:cantSplit/>
        </w:trPr>
        <w:tc>
          <w:tcPr>
            <w:tcW w:w="0" w:type="auto"/>
            <w:tcBorders>
              <w:bottom w:val="single" w:sz="4" w:space="0" w:color="auto"/>
            </w:tcBorders>
            <w:tcMar>
              <w:top w:w="0" w:type="dxa"/>
            </w:tcMar>
          </w:tcPr>
          <w:p w14:paraId="43DE025A" w14:textId="77777777" w:rsidR="00FF5E9B" w:rsidRPr="003A0C5C" w:rsidRDefault="00FF5E9B" w:rsidP="003C2FE6">
            <w:pPr>
              <w:pStyle w:val="Tabletext"/>
              <w:keepNext/>
              <w:jc w:val="right"/>
              <w:rPr>
                <w:rStyle w:val="BoldItalic"/>
              </w:rPr>
            </w:pPr>
            <w:r w:rsidRPr="003A0C5C">
              <w:rPr>
                <w:rStyle w:val="BoldItalic"/>
              </w:rPr>
              <w:t>Total Natural Gas</w:t>
            </w:r>
          </w:p>
        </w:tc>
        <w:tc>
          <w:tcPr>
            <w:tcW w:w="0" w:type="auto"/>
            <w:tcBorders>
              <w:bottom w:val="single" w:sz="4" w:space="0" w:color="auto"/>
            </w:tcBorders>
            <w:tcMar>
              <w:top w:w="0" w:type="dxa"/>
            </w:tcMar>
          </w:tcPr>
          <w:p w14:paraId="370CFDA7" w14:textId="77777777" w:rsidR="00FF5E9B" w:rsidRPr="003A0C5C" w:rsidRDefault="00FF5E9B" w:rsidP="003C2FE6">
            <w:pPr>
              <w:pStyle w:val="TableTotal"/>
              <w:rPr>
                <w:rStyle w:val="BoldItalic"/>
              </w:rPr>
            </w:pPr>
            <w:r w:rsidRPr="003A0C5C">
              <w:rPr>
                <w:rStyle w:val="BoldItalic"/>
              </w:rPr>
              <w:t xml:space="preserve">0.46 million </w:t>
            </w:r>
            <w:proofErr w:type="spellStart"/>
            <w:r w:rsidRPr="003A0C5C">
              <w:rPr>
                <w:rStyle w:val="BoldItalic"/>
              </w:rPr>
              <w:t>cf</w:t>
            </w:r>
            <w:proofErr w:type="spellEnd"/>
          </w:p>
        </w:tc>
      </w:tr>
      <w:tr w:rsidR="003A0C5C" w:rsidRPr="003A0C5C" w14:paraId="6C25A32D" w14:textId="77777777" w:rsidTr="003C2FE6">
        <w:trPr>
          <w:cantSplit/>
        </w:trPr>
        <w:tc>
          <w:tcPr>
            <w:tcW w:w="0" w:type="auto"/>
            <w:gridSpan w:val="2"/>
            <w:tcBorders>
              <w:top w:val="single" w:sz="4" w:space="0" w:color="auto"/>
            </w:tcBorders>
            <w:shd w:val="clear" w:color="auto" w:fill="D9D9D9" w:themeFill="background1" w:themeFillShade="D9"/>
            <w:tcMar>
              <w:top w:w="0" w:type="dxa"/>
            </w:tcMar>
          </w:tcPr>
          <w:p w14:paraId="2A3270FF" w14:textId="77777777" w:rsidR="00FF5E9B" w:rsidRPr="003A0C5C" w:rsidRDefault="00FF5E9B" w:rsidP="003C2FE6">
            <w:pPr>
              <w:pStyle w:val="Tablerowheading"/>
            </w:pPr>
            <w:r w:rsidRPr="003A0C5C">
              <w:t>Transportation</w:t>
            </w:r>
          </w:p>
        </w:tc>
      </w:tr>
      <w:tr w:rsidR="003A0C5C" w:rsidRPr="003A0C5C" w14:paraId="444BAEA6" w14:textId="77777777" w:rsidTr="003C2FE6">
        <w:trPr>
          <w:cantSplit/>
        </w:trPr>
        <w:tc>
          <w:tcPr>
            <w:tcW w:w="0" w:type="auto"/>
            <w:tcMar>
              <w:top w:w="0" w:type="dxa"/>
            </w:tcMar>
          </w:tcPr>
          <w:p w14:paraId="7AF1EC8E" w14:textId="77777777" w:rsidR="00FF5E9B" w:rsidRPr="003A0C5C" w:rsidRDefault="00FF5E9B" w:rsidP="003C2FE6">
            <w:pPr>
              <w:pStyle w:val="Tabletext"/>
              <w:keepNext/>
            </w:pPr>
            <w:r w:rsidRPr="003A0C5C">
              <w:t>Proposed Project:</w:t>
            </w:r>
          </w:p>
        </w:tc>
        <w:tc>
          <w:tcPr>
            <w:tcW w:w="0" w:type="auto"/>
            <w:tcMar>
              <w:top w:w="0" w:type="dxa"/>
            </w:tcMar>
          </w:tcPr>
          <w:p w14:paraId="2E0D037D" w14:textId="77777777" w:rsidR="00FF5E9B" w:rsidRPr="003A0C5C" w:rsidRDefault="00FF5E9B" w:rsidP="003C2FE6">
            <w:pPr>
              <w:pStyle w:val="Tabletext"/>
              <w:jc w:val="center"/>
            </w:pPr>
          </w:p>
        </w:tc>
      </w:tr>
      <w:tr w:rsidR="003A0C5C" w:rsidRPr="003A0C5C" w14:paraId="2C839F57" w14:textId="77777777" w:rsidTr="003C2FE6">
        <w:trPr>
          <w:cantSplit/>
        </w:trPr>
        <w:tc>
          <w:tcPr>
            <w:tcW w:w="0" w:type="auto"/>
            <w:tcMar>
              <w:top w:w="0" w:type="dxa"/>
            </w:tcMar>
          </w:tcPr>
          <w:p w14:paraId="2677E0C9" w14:textId="77777777" w:rsidR="00FF5E9B" w:rsidRPr="003A0C5C" w:rsidRDefault="00FF5E9B" w:rsidP="003C2FE6">
            <w:pPr>
              <w:pStyle w:val="Tabletextnumber"/>
              <w:keepNext/>
            </w:pPr>
            <w:r w:rsidRPr="003A0C5C">
              <w:tab/>
              <w:t>Gasoline</w:t>
            </w:r>
          </w:p>
        </w:tc>
        <w:tc>
          <w:tcPr>
            <w:tcW w:w="0" w:type="auto"/>
            <w:tcMar>
              <w:top w:w="0" w:type="dxa"/>
            </w:tcMar>
          </w:tcPr>
          <w:p w14:paraId="5FF747A0" w14:textId="77777777" w:rsidR="00FF5E9B" w:rsidRPr="003A0C5C" w:rsidRDefault="00FF5E9B" w:rsidP="003C2FE6">
            <w:pPr>
              <w:pStyle w:val="Tabletext"/>
              <w:jc w:val="center"/>
            </w:pPr>
            <w:r w:rsidRPr="003A0C5C">
              <w:t>44,972 gallons</w:t>
            </w:r>
          </w:p>
        </w:tc>
      </w:tr>
      <w:tr w:rsidR="003A0C5C" w:rsidRPr="003A0C5C" w14:paraId="3302DF70" w14:textId="77777777" w:rsidTr="003C2FE6">
        <w:trPr>
          <w:cantSplit/>
        </w:trPr>
        <w:tc>
          <w:tcPr>
            <w:tcW w:w="0" w:type="auto"/>
            <w:tcMar>
              <w:top w:w="0" w:type="dxa"/>
            </w:tcMar>
          </w:tcPr>
          <w:p w14:paraId="50849AC1" w14:textId="77777777" w:rsidR="00FF5E9B" w:rsidRPr="003A0C5C" w:rsidRDefault="00FF5E9B" w:rsidP="003C2FE6">
            <w:pPr>
              <w:pStyle w:val="Tabletextnumber"/>
              <w:keepNext/>
            </w:pPr>
            <w:r w:rsidRPr="003A0C5C">
              <w:tab/>
              <w:t>Diesel</w:t>
            </w:r>
          </w:p>
        </w:tc>
        <w:tc>
          <w:tcPr>
            <w:tcW w:w="0" w:type="auto"/>
            <w:tcMar>
              <w:top w:w="0" w:type="dxa"/>
            </w:tcMar>
          </w:tcPr>
          <w:p w14:paraId="0A31C944" w14:textId="77777777" w:rsidR="00FF5E9B" w:rsidRPr="003A0C5C" w:rsidRDefault="00FF5E9B" w:rsidP="003C2FE6">
            <w:pPr>
              <w:pStyle w:val="Tabletext"/>
              <w:jc w:val="center"/>
            </w:pPr>
            <w:r w:rsidRPr="003A0C5C">
              <w:t>4,509 gallons</w:t>
            </w:r>
          </w:p>
        </w:tc>
      </w:tr>
      <w:tr w:rsidR="003A0C5C" w:rsidRPr="003A0C5C" w14:paraId="4790FF24" w14:textId="77777777" w:rsidTr="003C2FE6">
        <w:trPr>
          <w:cantSplit/>
        </w:trPr>
        <w:tc>
          <w:tcPr>
            <w:tcW w:w="0" w:type="auto"/>
            <w:tcMar>
              <w:top w:w="0" w:type="dxa"/>
            </w:tcMar>
          </w:tcPr>
          <w:p w14:paraId="1042AC33" w14:textId="77777777" w:rsidR="00FF5E9B" w:rsidRPr="003A0C5C" w:rsidRDefault="00FF5E9B" w:rsidP="003C2FE6">
            <w:pPr>
              <w:pStyle w:val="Tabletextnumber"/>
              <w:keepNext/>
            </w:pPr>
            <w:r w:rsidRPr="003A0C5C">
              <w:tab/>
              <w:t>Natural Gas</w:t>
            </w:r>
          </w:p>
        </w:tc>
        <w:tc>
          <w:tcPr>
            <w:tcW w:w="0" w:type="auto"/>
            <w:tcMar>
              <w:top w:w="0" w:type="dxa"/>
            </w:tcMar>
          </w:tcPr>
          <w:p w14:paraId="68D4D234" w14:textId="77777777" w:rsidR="00FF5E9B" w:rsidRPr="003A0C5C" w:rsidRDefault="00FF5E9B" w:rsidP="003C2FE6">
            <w:pPr>
              <w:pStyle w:val="Tabletext"/>
              <w:jc w:val="center"/>
            </w:pPr>
            <w:r w:rsidRPr="003A0C5C">
              <w:t>71 gallons</w:t>
            </w:r>
          </w:p>
        </w:tc>
      </w:tr>
      <w:tr w:rsidR="003A0C5C" w:rsidRPr="003A0C5C" w14:paraId="50ED99A8" w14:textId="77777777" w:rsidTr="003C2FE6">
        <w:trPr>
          <w:cantSplit/>
        </w:trPr>
        <w:tc>
          <w:tcPr>
            <w:tcW w:w="0" w:type="auto"/>
            <w:tcMar>
              <w:top w:w="0" w:type="dxa"/>
            </w:tcMar>
          </w:tcPr>
          <w:p w14:paraId="2098D149" w14:textId="77777777" w:rsidR="00FF5E9B" w:rsidRPr="003A0C5C" w:rsidRDefault="00FF5E9B" w:rsidP="003C2FE6">
            <w:pPr>
              <w:pStyle w:val="Tabletext"/>
              <w:keepNext/>
              <w:jc w:val="right"/>
              <w:rPr>
                <w:rStyle w:val="BoldItalic"/>
              </w:rPr>
            </w:pPr>
            <w:r w:rsidRPr="003A0C5C">
              <w:rPr>
                <w:rStyle w:val="BoldItalic"/>
              </w:rPr>
              <w:t>Total Transportation – Gasoline</w:t>
            </w:r>
          </w:p>
        </w:tc>
        <w:tc>
          <w:tcPr>
            <w:tcW w:w="0" w:type="auto"/>
            <w:tcMar>
              <w:top w:w="0" w:type="dxa"/>
            </w:tcMar>
          </w:tcPr>
          <w:p w14:paraId="21A1A2C1" w14:textId="77777777" w:rsidR="00FF5E9B" w:rsidRPr="003A0C5C" w:rsidRDefault="00FF5E9B" w:rsidP="003C2FE6">
            <w:pPr>
              <w:pStyle w:val="TableTotal"/>
              <w:rPr>
                <w:rStyle w:val="BoldItalic"/>
              </w:rPr>
            </w:pPr>
            <w:r w:rsidRPr="003A0C5C">
              <w:rPr>
                <w:rStyle w:val="BoldItalic"/>
              </w:rPr>
              <w:t>44,972 gallons</w:t>
            </w:r>
          </w:p>
        </w:tc>
      </w:tr>
      <w:tr w:rsidR="003A0C5C" w:rsidRPr="003A0C5C" w14:paraId="40D9AA55" w14:textId="77777777" w:rsidTr="003C2FE6">
        <w:trPr>
          <w:cantSplit/>
        </w:trPr>
        <w:tc>
          <w:tcPr>
            <w:tcW w:w="0" w:type="auto"/>
            <w:tcMar>
              <w:top w:w="0" w:type="dxa"/>
            </w:tcMar>
          </w:tcPr>
          <w:p w14:paraId="462CB02D" w14:textId="77777777" w:rsidR="00FF5E9B" w:rsidRPr="003A0C5C" w:rsidRDefault="00FF5E9B" w:rsidP="003C2FE6">
            <w:pPr>
              <w:pStyle w:val="Tabletext"/>
              <w:keepNext/>
              <w:jc w:val="right"/>
              <w:rPr>
                <w:rStyle w:val="BoldItalic"/>
              </w:rPr>
            </w:pPr>
            <w:r w:rsidRPr="003A0C5C">
              <w:rPr>
                <w:rStyle w:val="BoldItalic"/>
              </w:rPr>
              <w:t>Total Transportation – Diesel</w:t>
            </w:r>
          </w:p>
        </w:tc>
        <w:tc>
          <w:tcPr>
            <w:tcW w:w="0" w:type="auto"/>
            <w:tcMar>
              <w:top w:w="0" w:type="dxa"/>
            </w:tcMar>
          </w:tcPr>
          <w:p w14:paraId="3B6F88A3" w14:textId="77777777" w:rsidR="00FF5E9B" w:rsidRPr="003A0C5C" w:rsidRDefault="00FF5E9B" w:rsidP="003C2FE6">
            <w:pPr>
              <w:pStyle w:val="Tabletext"/>
              <w:jc w:val="center"/>
              <w:rPr>
                <w:rStyle w:val="BoldItalic"/>
              </w:rPr>
            </w:pPr>
            <w:r w:rsidRPr="003A0C5C">
              <w:rPr>
                <w:rStyle w:val="BoldItalic"/>
              </w:rPr>
              <w:t>4,509 gallons</w:t>
            </w:r>
          </w:p>
        </w:tc>
      </w:tr>
      <w:tr w:rsidR="003A0C5C" w:rsidRPr="003A0C5C" w14:paraId="4BF2DA40" w14:textId="77777777" w:rsidTr="003C2FE6">
        <w:trPr>
          <w:cantSplit/>
        </w:trPr>
        <w:tc>
          <w:tcPr>
            <w:tcW w:w="0" w:type="auto"/>
            <w:tcBorders>
              <w:bottom w:val="single" w:sz="4" w:space="0" w:color="auto"/>
            </w:tcBorders>
            <w:tcMar>
              <w:top w:w="0" w:type="dxa"/>
            </w:tcMar>
          </w:tcPr>
          <w:p w14:paraId="796865E7" w14:textId="77777777" w:rsidR="00FF5E9B" w:rsidRPr="003A0C5C" w:rsidRDefault="00FF5E9B" w:rsidP="003C2FE6">
            <w:pPr>
              <w:pStyle w:val="Tabletext"/>
              <w:keepNext/>
              <w:jc w:val="right"/>
              <w:rPr>
                <w:rStyle w:val="BoldItalic"/>
              </w:rPr>
            </w:pPr>
            <w:r w:rsidRPr="003A0C5C">
              <w:rPr>
                <w:rStyle w:val="BoldItalic"/>
              </w:rPr>
              <w:t>Total Transportation – Natural Gas</w:t>
            </w:r>
          </w:p>
        </w:tc>
        <w:tc>
          <w:tcPr>
            <w:tcW w:w="0" w:type="auto"/>
            <w:tcBorders>
              <w:bottom w:val="single" w:sz="4" w:space="0" w:color="auto"/>
            </w:tcBorders>
            <w:tcMar>
              <w:top w:w="0" w:type="dxa"/>
            </w:tcMar>
          </w:tcPr>
          <w:p w14:paraId="351A45C1" w14:textId="77777777" w:rsidR="00FF5E9B" w:rsidRPr="003A0C5C" w:rsidRDefault="00FF5E9B" w:rsidP="003C2FE6">
            <w:pPr>
              <w:pStyle w:val="Tabletext"/>
              <w:jc w:val="center"/>
              <w:rPr>
                <w:rStyle w:val="BoldItalic"/>
              </w:rPr>
            </w:pPr>
            <w:r w:rsidRPr="003A0C5C">
              <w:rPr>
                <w:rStyle w:val="BoldItalic"/>
              </w:rPr>
              <w:t>71 gallons</w:t>
            </w:r>
          </w:p>
        </w:tc>
      </w:tr>
      <w:tr w:rsidR="00FF5E9B" w:rsidRPr="003A0C5C" w14:paraId="79E2D40A" w14:textId="77777777" w:rsidTr="003C2FE6">
        <w:trPr>
          <w:cantSplit/>
        </w:trPr>
        <w:tc>
          <w:tcPr>
            <w:tcW w:w="0" w:type="auto"/>
            <w:gridSpan w:val="2"/>
            <w:tcBorders>
              <w:top w:val="single" w:sz="4" w:space="0" w:color="auto"/>
              <w:bottom w:val="single" w:sz="4" w:space="0" w:color="auto"/>
            </w:tcBorders>
            <w:tcMar>
              <w:top w:w="0" w:type="dxa"/>
            </w:tcMar>
          </w:tcPr>
          <w:p w14:paraId="3EAB9A9F" w14:textId="77777777" w:rsidR="00FF5E9B" w:rsidRPr="003A0C5C" w:rsidRDefault="00FF5E9B" w:rsidP="00A52381">
            <w:pPr>
              <w:pStyle w:val="TableNotes"/>
              <w:spacing w:before="120" w:after="60"/>
            </w:pPr>
            <w:r w:rsidRPr="003A0C5C">
              <w:t>NOTES:</w:t>
            </w:r>
          </w:p>
          <w:p w14:paraId="5857A9A4" w14:textId="77777777" w:rsidR="00FF5E9B" w:rsidRPr="003A0C5C" w:rsidRDefault="00FF5E9B" w:rsidP="00A52381">
            <w:pPr>
              <w:pStyle w:val="TableNotes"/>
              <w:spacing w:after="20"/>
            </w:pPr>
            <w:r w:rsidRPr="003A0C5C">
              <w:t xml:space="preserve">MWh = megawatt-hours; million </w:t>
            </w:r>
            <w:proofErr w:type="spellStart"/>
            <w:r w:rsidRPr="003A0C5C">
              <w:t>cf</w:t>
            </w:r>
            <w:proofErr w:type="spellEnd"/>
            <w:r w:rsidRPr="003A0C5C">
              <w:t xml:space="preserve"> = million cubic feet</w:t>
            </w:r>
          </w:p>
          <w:p w14:paraId="3613D74A" w14:textId="5FCD27F0" w:rsidR="00FF5E9B" w:rsidRPr="003A0C5C" w:rsidRDefault="00FF5E9B" w:rsidP="00A52381">
            <w:pPr>
              <w:pStyle w:val="TableNotes"/>
              <w:spacing w:after="20"/>
            </w:pPr>
            <w:r w:rsidRPr="003A0C5C">
              <w:t xml:space="preserve">Detailed calculations are provided in </w:t>
            </w:r>
            <w:r w:rsidRPr="003A0C5C">
              <w:rPr>
                <w:b/>
                <w:bCs/>
              </w:rPr>
              <w:t>Appendix </w:t>
            </w:r>
            <w:r w:rsidR="00ED3686" w:rsidRPr="003A0C5C">
              <w:rPr>
                <w:b/>
                <w:bCs/>
              </w:rPr>
              <w:t>D</w:t>
            </w:r>
            <w:r w:rsidRPr="003A0C5C">
              <w:t xml:space="preserve"> of this IS</w:t>
            </w:r>
            <w:r w:rsidR="007654F1" w:rsidRPr="003A0C5C">
              <w:t>/</w:t>
            </w:r>
            <w:r w:rsidRPr="003A0C5C">
              <w:t>MND</w:t>
            </w:r>
            <w:r w:rsidR="00DE6129" w:rsidRPr="003A0C5C">
              <w:t>.</w:t>
            </w:r>
          </w:p>
          <w:p w14:paraId="3236FC23" w14:textId="55B1B091" w:rsidR="00FF5E9B" w:rsidRPr="003A0C5C" w:rsidRDefault="00FF5E9B" w:rsidP="003C2FE6">
            <w:pPr>
              <w:pStyle w:val="Tablefootnotetext"/>
            </w:pPr>
            <w:r w:rsidRPr="003A0C5C">
              <w:rPr>
                <w:rStyle w:val="Tablefootnote"/>
              </w:rPr>
              <w:t>a</w:t>
            </w:r>
            <w:r w:rsidRPr="003A0C5C">
              <w:tab/>
              <w:t xml:space="preserve">Project electricity and natural gas estimates assume compliance with applicable 2019 Title 24 and </w:t>
            </w:r>
            <w:proofErr w:type="spellStart"/>
            <w:r w:rsidRPr="003A0C5C">
              <w:t>CALGreen</w:t>
            </w:r>
            <w:proofErr w:type="spellEnd"/>
            <w:r w:rsidRPr="003A0C5C">
              <w:t xml:space="preserve"> requirements</w:t>
            </w:r>
            <w:r w:rsidR="00DE6129" w:rsidRPr="003A0C5C">
              <w:t>.</w:t>
            </w:r>
          </w:p>
          <w:p w14:paraId="0273A4C8" w14:textId="77777777" w:rsidR="00FF5E9B" w:rsidRPr="003A0C5C" w:rsidRDefault="00FF5E9B" w:rsidP="003C2FE6">
            <w:pPr>
              <w:pStyle w:val="Tablefootnotetext"/>
            </w:pPr>
            <w:r w:rsidRPr="003A0C5C">
              <w:rPr>
                <w:rStyle w:val="Tablefootnote"/>
              </w:rPr>
              <w:t>b</w:t>
            </w:r>
            <w:r w:rsidRPr="003A0C5C">
              <w:tab/>
              <w:t>Totals may not add up due to rounding of decimals.</w:t>
            </w:r>
          </w:p>
          <w:p w14:paraId="29854CDF" w14:textId="027F7E1C" w:rsidR="00FF5E9B" w:rsidRPr="003A0C5C" w:rsidRDefault="00FF5E9B" w:rsidP="00A52381">
            <w:pPr>
              <w:pStyle w:val="TableSource"/>
              <w:keepNext/>
              <w:spacing w:before="80" w:after="120"/>
              <w:rPr>
                <w:highlight w:val="yellow"/>
              </w:rPr>
            </w:pPr>
            <w:r w:rsidRPr="003A0C5C">
              <w:t>SOURCE:</w:t>
            </w:r>
            <w:r w:rsidRPr="003A0C5C">
              <w:tab/>
              <w:t xml:space="preserve">ESA </w:t>
            </w:r>
            <w:r w:rsidR="00E653B4" w:rsidRPr="003A0C5C">
              <w:t>2022</w:t>
            </w:r>
          </w:p>
        </w:tc>
      </w:tr>
    </w:tbl>
    <w:p w14:paraId="535DBF39" w14:textId="77777777" w:rsidR="00FF13A8" w:rsidRPr="003A0C5C" w:rsidRDefault="00FF13A8" w:rsidP="00FF13A8">
      <w:pPr>
        <w:pStyle w:val="12space"/>
      </w:pPr>
    </w:p>
    <w:p w14:paraId="521B3FBC" w14:textId="0C46DB63" w:rsidR="00367869" w:rsidRPr="003A0C5C" w:rsidRDefault="00367869" w:rsidP="00367869">
      <w:pPr>
        <w:pStyle w:val="12spaceindentcontinue"/>
        <w:rPr>
          <w:highlight w:val="yellow"/>
        </w:rPr>
      </w:pPr>
      <w:r w:rsidRPr="003A0C5C">
        <w:lastRenderedPageBreak/>
        <w:t xml:space="preserve">The proposed project would increase demand for electricity including what is needed to support building operations. As shown in </w:t>
      </w:r>
      <w:r w:rsidRPr="003A0C5C">
        <w:rPr>
          <w:rStyle w:val="Bold"/>
          <w:b w:val="0"/>
          <w:bCs/>
        </w:rPr>
        <w:t>Table 7</w:t>
      </w:r>
      <w:r w:rsidRPr="003A0C5C">
        <w:t xml:space="preserve">, the proposed project would result in an annual consumption of electricity of approximately 883 MWh per year, which would represent approximately 0.001 percent of SCE’s total sales of </w:t>
      </w:r>
      <w:r w:rsidRPr="003A0C5C">
        <w:rPr>
          <w:szCs w:val="22"/>
        </w:rPr>
        <w:t>87,143 GWh</w:t>
      </w:r>
      <w:r w:rsidRPr="003A0C5C">
        <w:t xml:space="preserve"> in 2020 (SCE </w:t>
      </w:r>
      <w:r w:rsidR="00F871DA" w:rsidRPr="003A0C5C">
        <w:t>2019</w:t>
      </w:r>
      <w:r w:rsidRPr="003A0C5C">
        <w:t>).</w:t>
      </w:r>
    </w:p>
    <w:p w14:paraId="7A68F199" w14:textId="1E052AE0" w:rsidR="00367869" w:rsidRPr="003A0C5C" w:rsidRDefault="00367869" w:rsidP="00367869">
      <w:pPr>
        <w:pStyle w:val="12spaceindentcontinue"/>
      </w:pPr>
      <w:r w:rsidRPr="003A0C5C">
        <w:t>The proposed project has been evaluated for consistency with the Energy Efficiency Climate Action Plan (EECAP). According to the EECAP, the City is in the process of implementing strategies to reduce energy consumption across sections, which includes promoting commercial energy retrofits, increasing energy efficiency through water efficiency, and decreasing energy demand through reducing the urban heat island effect (</w:t>
      </w:r>
      <w:r w:rsidR="00F871DA" w:rsidRPr="003A0C5C">
        <w:t xml:space="preserve">City of </w:t>
      </w:r>
      <w:r w:rsidRPr="003A0C5C">
        <w:t xml:space="preserve">Carson 2015). Consistent with this strategy, the proposed project would install lighting and a ventilation system that conforms to the </w:t>
      </w:r>
      <w:proofErr w:type="spellStart"/>
      <w:r w:rsidRPr="003A0C5C">
        <w:t>CALGreen</w:t>
      </w:r>
      <w:proofErr w:type="spellEnd"/>
      <w:r w:rsidRPr="003A0C5C">
        <w:t xml:space="preserve"> Code and 2019 Title 24 Standards. In addition, the proposed project would include approximately 12,134 square feet of landscaping around the perimeter of the project site. These features would be consistent with energy reduction strategies in the City’s EECAP. Therefore, with the incorporation of these features, operation of the proposed project would not result in the wasteful, inefficient, and unnecessary consumption of electricity, and impacts would be less than significant.</w:t>
      </w:r>
    </w:p>
    <w:p w14:paraId="0DED69FD" w14:textId="270986C6" w:rsidR="00FF5E9B" w:rsidRPr="003A0C5C" w:rsidRDefault="00367869" w:rsidP="00AE1FA5">
      <w:pPr>
        <w:pStyle w:val="12spaceindentcontinue"/>
        <w:rPr>
          <w:highlight w:val="yellow"/>
        </w:rPr>
      </w:pPr>
      <w:r w:rsidRPr="003A0C5C">
        <w:t xml:space="preserve">The proposed project would increase the demand for natural gas resources. As shown in </w:t>
      </w:r>
      <w:r w:rsidRPr="003A0C5C">
        <w:rPr>
          <w:rStyle w:val="Bold"/>
          <w:b w:val="0"/>
          <w:bCs/>
        </w:rPr>
        <w:t>Table 7</w:t>
      </w:r>
      <w:r w:rsidRPr="003A0C5C">
        <w:t xml:space="preserve">, the proposed project’s estimated operational natural gas demand is 0.46 million cubic feet, which represents 0.019 percent of </w:t>
      </w:r>
      <w:bookmarkStart w:id="66" w:name="_Hlk98155837"/>
      <w:r w:rsidRPr="003A0C5C">
        <w:t>Southern California Gas Company</w:t>
      </w:r>
      <w:bookmarkEnd w:id="66"/>
      <w:r w:rsidRPr="003A0C5C">
        <w:t xml:space="preserve">’s (SoCalGas’s) projected supply of 2,462 million cubic feet in 2024 (California Gas and Electric Utilities 2020). As would be the case with electricity, the proposed project would comply with the applicable provisions of Title 24, City of Carson’s EECAP, and the </w:t>
      </w:r>
      <w:proofErr w:type="spellStart"/>
      <w:r w:rsidRPr="003A0C5C">
        <w:t>CALGreen</w:t>
      </w:r>
      <w:proofErr w:type="spellEnd"/>
      <w:r w:rsidRPr="003A0C5C">
        <w:t xml:space="preserve"> Code in effect at the time of building occupancy to minimize natural gas demand. As such, the proposed project would minimize energy demand. Therefore, with the incorporation of these features, operation of the proposed project would not result in the wasteful, inefficient, and unnecessary consumption of natural gas, and impacts would be less than significant.</w:t>
      </w:r>
    </w:p>
    <w:p w14:paraId="6807C72E" w14:textId="394C0050" w:rsidR="00FF5E9B" w:rsidRPr="003A0C5C" w:rsidRDefault="00FF5E9B" w:rsidP="0020432B">
      <w:pPr>
        <w:pStyle w:val="12spaceindentcontinue"/>
        <w:rPr>
          <w:lang w:eastAsia="ko-KR"/>
        </w:rPr>
      </w:pPr>
      <w:r w:rsidRPr="003A0C5C">
        <w:t xml:space="preserve">The proposed project would increase demand for transportation fuels relative to existing site conditions for gasoline and diesel. </w:t>
      </w:r>
      <w:r w:rsidRPr="003A0C5C">
        <w:rPr>
          <w:lang w:eastAsia="ko-KR"/>
        </w:rPr>
        <w:t>During daily operations, the proposed project would have a maximum of 580 vehicle trips. The proposed project’s annual gasoline consumption would be approximately 44,972 gallons</w:t>
      </w:r>
      <w:r w:rsidR="00C532E4" w:rsidRPr="003A0C5C">
        <w:rPr>
          <w:lang w:eastAsia="ko-KR"/>
        </w:rPr>
        <w:t>,</w:t>
      </w:r>
      <w:r w:rsidRPr="003A0C5C">
        <w:rPr>
          <w:lang w:eastAsia="ko-KR"/>
        </w:rPr>
        <w:t xml:space="preserve"> which represents 0.001 percent of Los Angeles County’s 2019 consumption of 3.6 billion gallons (CEC 2019). The proposed project’s annual diesel consumption would be approximately 4,509 gallons</w:t>
      </w:r>
      <w:r w:rsidR="00EA09DA" w:rsidRPr="003A0C5C">
        <w:rPr>
          <w:lang w:eastAsia="ko-KR"/>
        </w:rPr>
        <w:t>,</w:t>
      </w:r>
      <w:r w:rsidRPr="003A0C5C">
        <w:rPr>
          <w:lang w:eastAsia="ko-KR"/>
        </w:rPr>
        <w:t xml:space="preserve"> which represents 0.001 percent of Los Angeles County’s 2019 consumption of 584.7 million gallons (CEC 2019).</w:t>
      </w:r>
    </w:p>
    <w:p w14:paraId="037D2D06" w14:textId="735795DE" w:rsidR="00AF3CA1" w:rsidRPr="003A0C5C" w:rsidRDefault="00AF3CA1" w:rsidP="002456A6">
      <w:pPr>
        <w:pStyle w:val="12spaceindentcontinue"/>
        <w:rPr>
          <w:lang w:eastAsia="ko-KR"/>
        </w:rPr>
      </w:pPr>
      <w:r w:rsidRPr="003A0C5C">
        <w:rPr>
          <w:lang w:eastAsia="ko-KR"/>
        </w:rPr>
        <w:t xml:space="preserve">The project site is </w:t>
      </w:r>
      <w:r w:rsidR="00B750D2" w:rsidRPr="003A0C5C">
        <w:rPr>
          <w:lang w:eastAsia="ko-KR"/>
        </w:rPr>
        <w:t xml:space="preserve">two </w:t>
      </w:r>
      <w:r w:rsidRPr="003A0C5C">
        <w:rPr>
          <w:lang w:eastAsia="ko-KR"/>
        </w:rPr>
        <w:t xml:space="preserve">vacant </w:t>
      </w:r>
      <w:r w:rsidR="00994ACD" w:rsidRPr="003A0C5C">
        <w:rPr>
          <w:lang w:eastAsia="ko-KR"/>
        </w:rPr>
        <w:t>parcel</w:t>
      </w:r>
      <w:r w:rsidR="00B750D2" w:rsidRPr="003A0C5C">
        <w:rPr>
          <w:lang w:eastAsia="ko-KR"/>
        </w:rPr>
        <w:t>s</w:t>
      </w:r>
      <w:r w:rsidR="00994ACD" w:rsidRPr="003A0C5C">
        <w:rPr>
          <w:lang w:eastAsia="ko-KR"/>
        </w:rPr>
        <w:t xml:space="preserve"> </w:t>
      </w:r>
      <w:r w:rsidRPr="003A0C5C">
        <w:rPr>
          <w:lang w:eastAsia="ko-KR"/>
        </w:rPr>
        <w:t>that</w:t>
      </w:r>
      <w:r w:rsidR="00141B0D" w:rsidRPr="003A0C5C">
        <w:rPr>
          <w:lang w:eastAsia="ko-KR"/>
        </w:rPr>
        <w:t xml:space="preserve"> consist</w:t>
      </w:r>
      <w:r w:rsidRPr="003A0C5C">
        <w:rPr>
          <w:lang w:eastAsia="ko-KR"/>
        </w:rPr>
        <w:t xml:space="preserve"> of approximately 2.8 acres located to the east </w:t>
      </w:r>
      <w:proofErr w:type="gramStart"/>
      <w:r w:rsidRPr="003A0C5C">
        <w:rPr>
          <w:lang w:eastAsia="ko-KR"/>
        </w:rPr>
        <w:t xml:space="preserve">of  </w:t>
      </w:r>
      <w:r w:rsidR="00BB0AC0" w:rsidRPr="003A0C5C">
        <w:rPr>
          <w:lang w:eastAsia="ko-KR"/>
        </w:rPr>
        <w:t>Interstate</w:t>
      </w:r>
      <w:proofErr w:type="gramEnd"/>
      <w:r w:rsidR="00BB0AC0" w:rsidRPr="003A0C5C">
        <w:rPr>
          <w:lang w:eastAsia="ko-KR"/>
        </w:rPr>
        <w:t xml:space="preserve"> (</w:t>
      </w:r>
      <w:r w:rsidRPr="003A0C5C">
        <w:rPr>
          <w:lang w:eastAsia="ko-KR"/>
        </w:rPr>
        <w:t>I</w:t>
      </w:r>
      <w:r w:rsidR="00BB0AC0" w:rsidRPr="003A0C5C">
        <w:rPr>
          <w:lang w:eastAsia="ko-KR"/>
        </w:rPr>
        <w:t>)</w:t>
      </w:r>
      <w:r w:rsidRPr="003A0C5C">
        <w:rPr>
          <w:lang w:eastAsia="ko-KR"/>
        </w:rPr>
        <w:t xml:space="preserve">-405 interchange with East Carson Street. The project site is located adjacent to a variety of existing transportation facilities. The proposed project does not propose to change any roadway classifications or established truck routes. The project site </w:t>
      </w:r>
      <w:r w:rsidRPr="003A0C5C">
        <w:rPr>
          <w:lang w:eastAsia="ko-KR"/>
        </w:rPr>
        <w:lastRenderedPageBreak/>
        <w:t xml:space="preserve">is served by one public transit route, Long Beach Transit Route 4, which provides connections to the Los Angeles Metropolitan Transportation Authority (Metro) J Line bus rapid transit at Carson Station and the Metro A Line light rail at Del Amo Station. Implementation of the proposed project would not remove or impede access to existing bicycle facilities, sidewalks, or transit services adjacent to the project site, nor would it affect future planned bicycle facility improvements along other nearby roadways or the Dominguez Channel. </w:t>
      </w:r>
    </w:p>
    <w:p w14:paraId="4441CE57" w14:textId="6C114B88" w:rsidR="00AF3CA1" w:rsidRPr="003A0C5C" w:rsidRDefault="002456A6" w:rsidP="00AF3CA1">
      <w:pPr>
        <w:pStyle w:val="12spaceindentcontinue"/>
        <w:rPr>
          <w:lang w:eastAsia="ko-KR"/>
        </w:rPr>
      </w:pPr>
      <w:r w:rsidRPr="003A0C5C">
        <w:rPr>
          <w:lang w:eastAsia="ko-KR"/>
        </w:rPr>
        <w:t xml:space="preserve">Based on the proposed project characteristics, it is classified as local-serving retail pursuant to the Technical Advisory on Evaluating Transportation Impacts in CEQA (Office of Planning and Research 2018). As described in the Technical Advisory, “By adding retail opportunities into the urban fabric and thereby improving retail destination proximity, local-serving retail development tends to shorten trips and reduce VMT.” </w:t>
      </w:r>
      <w:r w:rsidR="00AF3CA1" w:rsidRPr="003A0C5C">
        <w:rPr>
          <w:lang w:eastAsia="ko-KR"/>
        </w:rPr>
        <w:t xml:space="preserve">Based on the above, </w:t>
      </w:r>
      <w:r w:rsidR="00A97799" w:rsidRPr="003A0C5C">
        <w:t xml:space="preserve">operation of the proposed project would not result in the wasteful, inefficient, and unnecessary consumption of </w:t>
      </w:r>
      <w:r w:rsidR="00377284" w:rsidRPr="003A0C5C">
        <w:t>transportation fuel</w:t>
      </w:r>
      <w:r w:rsidR="00A97799" w:rsidRPr="003A0C5C">
        <w:t>, and impacts would be less than significant</w:t>
      </w:r>
      <w:r w:rsidR="00AF3CA1" w:rsidRPr="003A0C5C">
        <w:rPr>
          <w:lang w:eastAsia="ko-KR"/>
        </w:rPr>
        <w:t>.</w:t>
      </w:r>
    </w:p>
    <w:p w14:paraId="0D71195D" w14:textId="227B9B9C" w:rsidR="00FF5E9B" w:rsidRPr="003A0C5C" w:rsidRDefault="00FF5E9B" w:rsidP="00737FA5">
      <w:pPr>
        <w:pStyle w:val="12spaceindent"/>
      </w:pPr>
      <w:r w:rsidRPr="003A0C5C">
        <w:t>b)</w:t>
      </w:r>
      <w:r w:rsidRPr="003A0C5C">
        <w:tab/>
        <w:t xml:space="preserve">The </w:t>
      </w:r>
      <w:r w:rsidR="00057C25" w:rsidRPr="003A0C5C">
        <w:t xml:space="preserve">proposed project </w:t>
      </w:r>
      <w:r w:rsidRPr="003A0C5C">
        <w:t xml:space="preserve">would </w:t>
      </w:r>
      <w:r w:rsidR="001B5633" w:rsidRPr="003A0C5C">
        <w:t xml:space="preserve">use </w:t>
      </w:r>
      <w:r w:rsidRPr="003A0C5C">
        <w:t>construction contractors who demonstrate compliance with applicable regulations. Construction equipment would comply with federal, State, and regional requirements where applicable. With respect to truck fleet operators, the USEPA and NHSTA have adopted fuel efficiency standards for medium- and heavy-duty trucks. The Phase 1 heavy-duty truck standards apply to combination tractors, heavy-duty pickup trucks and vans, and vocational vehicles for model years 2014 through 2018 and result in a reduction in fuel consumption from 6 to 23 percent over the 2010 baseline, depending on the vehicle type</w:t>
      </w:r>
      <w:r w:rsidR="00D414A5" w:rsidRPr="003A0C5C">
        <w:t xml:space="preserve"> (USEPA 2011)</w:t>
      </w:r>
      <w:r w:rsidRPr="003A0C5C">
        <w:t>. USEPA and NHTSA also adopted the Phase 2 heavy-duty truck standards, which cover model years 2021 through 2027 and require the phase-in of a 5 to 25 percent reduction in fuel consumption over the 2017 baseline depending on the compliance year and vehicle type</w:t>
      </w:r>
      <w:r w:rsidR="00D414A5" w:rsidRPr="003A0C5C">
        <w:t xml:space="preserve"> (USEPA 2016)</w:t>
      </w:r>
      <w:r w:rsidRPr="003A0C5C">
        <w:t>. The energy modeling for trucks does not take into account specific fuel reductions from these regulations, since they would apply to fleets as they incorporate newer trucks meeting the regulatory standards; however, these regulations would have an overall beneficial effect on reducing fuel consumption from trucks over time as older trucks are replaced with newer models that meet the standards.</w:t>
      </w:r>
    </w:p>
    <w:p w14:paraId="46E6BC9B" w14:textId="7B0D8071" w:rsidR="00FF5E9B" w:rsidRPr="003A0C5C" w:rsidRDefault="00FF5E9B" w:rsidP="0020432B">
      <w:pPr>
        <w:pStyle w:val="12spaceindentcontinue"/>
      </w:pPr>
      <w:r w:rsidRPr="003A0C5C">
        <w:t xml:space="preserve">In addition, construction equipment and trucks are required to comply with CARB regulations regarding heavy-duty truck idling limits of </w:t>
      </w:r>
      <w:r w:rsidR="00136024" w:rsidRPr="003A0C5C">
        <w:t xml:space="preserve">5 </w:t>
      </w:r>
      <w:r w:rsidRPr="003A0C5C">
        <w:t>minutes at a location and the phase-in of off-road emission standards that result in an increase in energy savings in the form of reduced fuel consumption from more fuel-efficient engines. Although these regulations are intended to reduce criteria pollutant emissions, compliance with the anti-idling and emissions regulations would also result in the efficient use of construction-related energy.</w:t>
      </w:r>
    </w:p>
    <w:p w14:paraId="1CDE6C83" w14:textId="3CC93A7F" w:rsidR="00FF5E9B" w:rsidRPr="003A0C5C" w:rsidRDefault="00FF5E9B" w:rsidP="0020432B">
      <w:pPr>
        <w:pStyle w:val="12spaceindentcontinue"/>
        <w:rPr>
          <w:rFonts w:cs="Times New Roman"/>
          <w:szCs w:val="22"/>
          <w:highlight w:val="yellow"/>
        </w:rPr>
      </w:pPr>
      <w:r w:rsidRPr="003A0C5C">
        <w:t>The State and the City have implemented energy policies relevant to the proposed project. The California Renewables Portfolio Standard (RPS) was established in 2002 and required retail sellers of electricity, including investor-owned utilities and community choice aggregators, to provide at least 20 percent of their supply from renewable sources by 2013. Senate Bill (SB) 350 (</w:t>
      </w:r>
      <w:r w:rsidR="00CB3883" w:rsidRPr="003A0C5C">
        <w:t>C</w:t>
      </w:r>
      <w:r w:rsidRPr="003A0C5C">
        <w:t xml:space="preserve">hapter 547, Statues of 2015) is the most recent update to the </w:t>
      </w:r>
      <w:r w:rsidR="001C20F9" w:rsidRPr="003A0C5C">
        <w:t>State</w:t>
      </w:r>
      <w:r w:rsidRPr="003A0C5C">
        <w:t xml:space="preserve">’s </w:t>
      </w:r>
      <w:r w:rsidRPr="003A0C5C">
        <w:lastRenderedPageBreak/>
        <w:t xml:space="preserve">RPS requirements. </w:t>
      </w:r>
      <w:r w:rsidRPr="003A0C5C">
        <w:rPr>
          <w:rFonts w:cs="Times New Roman"/>
          <w:szCs w:val="22"/>
        </w:rPr>
        <w:t xml:space="preserve">The RPS requires publicly owned utilities and retail sellers of electricity in California to procure 33 percent of their electricity sales from eligible renewable sources by 2020 and 50 percent by the end of 2030. The </w:t>
      </w:r>
      <w:r w:rsidR="00057C25" w:rsidRPr="003A0C5C">
        <w:rPr>
          <w:rFonts w:cs="Times New Roman"/>
          <w:szCs w:val="22"/>
        </w:rPr>
        <w:t xml:space="preserve">proposed </w:t>
      </w:r>
      <w:r w:rsidRPr="003A0C5C">
        <w:rPr>
          <w:rFonts w:cs="Times New Roman"/>
          <w:szCs w:val="22"/>
        </w:rPr>
        <w:t xml:space="preserve">project would comply with the applicable provisions of the 2019 Title 24 standards and the </w:t>
      </w:r>
      <w:proofErr w:type="spellStart"/>
      <w:r w:rsidRPr="003A0C5C">
        <w:rPr>
          <w:rFonts w:cs="Times New Roman"/>
          <w:szCs w:val="22"/>
        </w:rPr>
        <w:t>CALGreen</w:t>
      </w:r>
      <w:proofErr w:type="spellEnd"/>
      <w:r w:rsidRPr="003A0C5C">
        <w:rPr>
          <w:rFonts w:cs="Times New Roman"/>
          <w:szCs w:val="22"/>
        </w:rPr>
        <w:t xml:space="preserve"> Code in effect at the time of building permit issuance. As of February 2019, the City receives electricity from Clean Power Alliance (CPA) and is enrolled in their 50 percent renewable electricity option. Customers have the choice to opt for a lower renewable energy mix (36 percent), opt for a higher renewable energy mix (100 percent), or opt out and recei</w:t>
      </w:r>
      <w:r w:rsidR="00FC320E" w:rsidRPr="003A0C5C">
        <w:rPr>
          <w:rFonts w:cs="Times New Roman"/>
          <w:szCs w:val="22"/>
        </w:rPr>
        <w:t>ve electricity from SCE (CPA 20</w:t>
      </w:r>
      <w:r w:rsidRPr="003A0C5C">
        <w:rPr>
          <w:rFonts w:cs="Times New Roman"/>
          <w:szCs w:val="22"/>
        </w:rPr>
        <w:t>1</w:t>
      </w:r>
      <w:r w:rsidR="00FC320E" w:rsidRPr="003A0C5C">
        <w:rPr>
          <w:rFonts w:cs="Times New Roman"/>
          <w:szCs w:val="22"/>
        </w:rPr>
        <w:t>8</w:t>
      </w:r>
      <w:r w:rsidRPr="003A0C5C">
        <w:rPr>
          <w:rFonts w:cs="Times New Roman"/>
          <w:szCs w:val="22"/>
        </w:rPr>
        <w:t xml:space="preserve">). </w:t>
      </w:r>
      <w:r w:rsidR="00AC11A9" w:rsidRPr="003A0C5C">
        <w:rPr>
          <w:rFonts w:eastAsia="Calibri" w:cs="Times New Roman"/>
        </w:rPr>
        <w:t>The energy analys</w:t>
      </w:r>
      <w:r w:rsidR="005F352E" w:rsidRPr="003A0C5C">
        <w:rPr>
          <w:rFonts w:eastAsia="Calibri" w:cs="Times New Roman"/>
        </w:rPr>
        <w:t>i</w:t>
      </w:r>
      <w:r w:rsidR="00AC11A9" w:rsidRPr="003A0C5C">
        <w:rPr>
          <w:rFonts w:eastAsia="Calibri" w:cs="Times New Roman"/>
        </w:rPr>
        <w:t>s conservatively assume</w:t>
      </w:r>
      <w:r w:rsidR="008052E9" w:rsidRPr="003A0C5C">
        <w:rPr>
          <w:rFonts w:eastAsia="Calibri" w:cs="Times New Roman"/>
        </w:rPr>
        <w:t>s</w:t>
      </w:r>
      <w:r w:rsidR="00AC11A9" w:rsidRPr="003A0C5C">
        <w:rPr>
          <w:rFonts w:eastAsia="Calibri" w:cs="Times New Roman"/>
        </w:rPr>
        <w:t xml:space="preserve"> the </w:t>
      </w:r>
      <w:r w:rsidR="008052E9" w:rsidRPr="003A0C5C">
        <w:rPr>
          <w:rFonts w:eastAsia="Calibri" w:cs="Times New Roman"/>
        </w:rPr>
        <w:t xml:space="preserve">proposed </w:t>
      </w:r>
      <w:r w:rsidR="0054774E" w:rsidRPr="003A0C5C">
        <w:rPr>
          <w:rFonts w:eastAsia="Calibri" w:cs="Times New Roman"/>
        </w:rPr>
        <w:t>project</w:t>
      </w:r>
      <w:r w:rsidR="00AC11A9" w:rsidRPr="003A0C5C">
        <w:rPr>
          <w:rFonts w:eastAsia="Calibri" w:cs="Times New Roman"/>
        </w:rPr>
        <w:t xml:space="preserve"> </w:t>
      </w:r>
      <w:r w:rsidR="00D67C7E" w:rsidRPr="003A0C5C">
        <w:rPr>
          <w:rFonts w:eastAsia="Calibri" w:cs="Times New Roman"/>
        </w:rPr>
        <w:t xml:space="preserve">would </w:t>
      </w:r>
      <w:r w:rsidR="00AC11A9" w:rsidRPr="003A0C5C">
        <w:rPr>
          <w:rFonts w:eastAsia="Calibri" w:cs="Times New Roman"/>
        </w:rPr>
        <w:t xml:space="preserve">remain with SCE as their electricity provider and does not take additional credit for renewable energy beyond the expected SCE </w:t>
      </w:r>
      <w:r w:rsidR="00AC11A9" w:rsidRPr="003A0C5C">
        <w:t>renewable energy percentage for year 202</w:t>
      </w:r>
      <w:r w:rsidR="006E11E4" w:rsidRPr="003A0C5C">
        <w:t>4</w:t>
      </w:r>
      <w:r w:rsidR="00AC11A9" w:rsidRPr="003A0C5C">
        <w:t xml:space="preserve"> based on the required renewables by year 2024 under SB 100.</w:t>
      </w:r>
      <w:r w:rsidR="00AC11A9" w:rsidRPr="003A0C5C">
        <w:rPr>
          <w:rStyle w:val="FootnoteReference"/>
        </w:rPr>
        <w:footnoteReference w:id="6"/>
      </w:r>
      <w:r w:rsidR="00AC11A9" w:rsidRPr="003A0C5C">
        <w:t xml:space="preserve"> </w:t>
      </w:r>
      <w:r w:rsidRPr="003A0C5C">
        <w:rPr>
          <w:rFonts w:cs="Times New Roman"/>
          <w:szCs w:val="22"/>
        </w:rPr>
        <w:t>Therefore, the electricity provided to the City meets or exceeds RPS requirements depending on what rate option is chosen by individual customers.</w:t>
      </w:r>
    </w:p>
    <w:p w14:paraId="7D32634A" w14:textId="3EE127CE" w:rsidR="00EA3EDB" w:rsidRPr="003A0C5C" w:rsidRDefault="00FF5E9B" w:rsidP="00EA3EDB">
      <w:pPr>
        <w:pStyle w:val="12spaceindentcontinue"/>
      </w:pPr>
      <w:r w:rsidRPr="003A0C5C">
        <w:t xml:space="preserve">As discussed above, the proposed project would comply with the applicable provisions of 2019 Title 24 Standards, City of Carson’s EECAP, and the </w:t>
      </w:r>
      <w:proofErr w:type="spellStart"/>
      <w:r w:rsidRPr="003A0C5C">
        <w:t>CALGreen</w:t>
      </w:r>
      <w:proofErr w:type="spellEnd"/>
      <w:r w:rsidRPr="003A0C5C">
        <w:t xml:space="preserve"> Code in effect at the time of building occupancy. As such, the proposed project would minimize energy demand. Further, as discussed in Section III, </w:t>
      </w:r>
      <w:r w:rsidRPr="003A0C5C">
        <w:rPr>
          <w:rStyle w:val="Italic"/>
        </w:rPr>
        <w:t>Air Quality</w:t>
      </w:r>
      <w:r w:rsidRPr="003A0C5C">
        <w:t xml:space="preserve">, of this IS/MND, </w:t>
      </w:r>
      <w:r w:rsidRPr="003A0C5C">
        <w:rPr>
          <w:lang w:eastAsia="ko-KR"/>
        </w:rPr>
        <w:t xml:space="preserve">SCAG predicted Carson’s employment growth between 2012 and 2040 to be approximately 11,200 new jobs (SCAG 2020). The estimated </w:t>
      </w:r>
      <w:r w:rsidR="00CE1D1C" w:rsidRPr="003A0C5C">
        <w:rPr>
          <w:lang w:eastAsia="ko-KR"/>
        </w:rPr>
        <w:t xml:space="preserve">five </w:t>
      </w:r>
      <w:r w:rsidR="00136024" w:rsidRPr="003A0C5C">
        <w:rPr>
          <w:lang w:eastAsia="ko-KR"/>
        </w:rPr>
        <w:t xml:space="preserve">or </w:t>
      </w:r>
      <w:r w:rsidR="00CE1D1C" w:rsidRPr="003A0C5C">
        <w:rPr>
          <w:lang w:eastAsia="ko-KR"/>
        </w:rPr>
        <w:t xml:space="preserve">six </w:t>
      </w:r>
      <w:r w:rsidRPr="003A0C5C">
        <w:rPr>
          <w:lang w:eastAsia="ko-KR"/>
        </w:rPr>
        <w:t xml:space="preserve">new employees generated by the proposed project </w:t>
      </w:r>
      <w:r w:rsidRPr="003A0C5C">
        <w:t xml:space="preserve">would be well within SCAG’s employment growth assumptions for Carson. As discussed in Section XVII, </w:t>
      </w:r>
      <w:r w:rsidRPr="003A0C5C">
        <w:rPr>
          <w:rStyle w:val="Italic"/>
        </w:rPr>
        <w:t>Transportation</w:t>
      </w:r>
      <w:r w:rsidRPr="003A0C5C">
        <w:t xml:space="preserve">, of this IS/MND, the </w:t>
      </w:r>
      <w:r w:rsidR="008052E9" w:rsidRPr="003A0C5C">
        <w:t xml:space="preserve">proposed </w:t>
      </w:r>
      <w:r w:rsidRPr="003A0C5C">
        <w:t>project would not have a significant impact on transportation in the project vicinity. Additionally, the project site is located in a neighborhood characterized by a mix of residential and commercial uses. The proposed project is consistent with SCAG growth projections and would comply with State and local regulations to reduce energy consumption, the</w:t>
      </w:r>
      <w:r w:rsidR="008052E9" w:rsidRPr="003A0C5C">
        <w:t xml:space="preserve"> proposed</w:t>
      </w:r>
      <w:r w:rsidRPr="003A0C5C">
        <w:t xml:space="preserve"> project would not conflict with or obstruct a </w:t>
      </w:r>
      <w:r w:rsidR="001C20F9" w:rsidRPr="003A0C5C">
        <w:t>State</w:t>
      </w:r>
      <w:r w:rsidRPr="003A0C5C">
        <w:t xml:space="preserve"> or local plan for renewable energy or energy efficiency and impacts would be less than significant.</w:t>
      </w:r>
    </w:p>
    <w:p w14:paraId="11180253" w14:textId="77777777" w:rsidR="00EA3EDB" w:rsidRPr="003A0C5C" w:rsidRDefault="00EA3EDB" w:rsidP="00EA3EDB">
      <w:pPr>
        <w:pStyle w:val="12spaceindent"/>
        <w:keepNext/>
        <w:spacing w:after="120"/>
        <w:ind w:left="0" w:firstLine="0"/>
        <w:rPr>
          <w:highlight w:val="yellow"/>
        </w:rPr>
      </w:pPr>
    </w:p>
    <w:p w14:paraId="40CEC3B1" w14:textId="77777777" w:rsidR="002B6967" w:rsidRPr="003A0C5C" w:rsidRDefault="002B6967" w:rsidP="002B6967">
      <w:pPr>
        <w:pStyle w:val="ImpactSectionEnd"/>
        <w:rPr>
          <w:highlight w:val="yellow"/>
        </w:rPr>
      </w:pPr>
    </w:p>
    <w:p w14:paraId="57362528" w14:textId="77777777" w:rsidR="002B6967" w:rsidRPr="003A0C5C" w:rsidRDefault="002B6967" w:rsidP="002B6967">
      <w:pPr>
        <w:rPr>
          <w:highlight w:val="yellow"/>
        </w:rPr>
      </w:pPr>
      <w:r w:rsidRPr="003A0C5C">
        <w:rPr>
          <w:highlight w:val="yellow"/>
        </w:rPr>
        <w:br w:type="page"/>
      </w:r>
    </w:p>
    <w:p w14:paraId="5294C481" w14:textId="4F931243" w:rsidR="004F426E" w:rsidRPr="003A0C5C" w:rsidRDefault="008B0DDC" w:rsidP="008B0DDC">
      <w:pPr>
        <w:pStyle w:val="Heading4"/>
      </w:pPr>
      <w:bookmarkStart w:id="67" w:name="_Toc101791986"/>
      <w:r w:rsidRPr="003A0C5C">
        <w:lastRenderedPageBreak/>
        <w:t>VII.</w:t>
      </w:r>
      <w:r w:rsidRPr="003A0C5C">
        <w:tab/>
      </w:r>
      <w:r w:rsidR="004F426E" w:rsidRPr="003A0C5C">
        <w:t>Geology and Soils</w:t>
      </w:r>
      <w:bookmarkEnd w:id="67"/>
    </w:p>
    <w:tbl>
      <w:tblPr>
        <w:tblW w:w="0" w:type="auto"/>
        <w:tblCellMar>
          <w:left w:w="86" w:type="dxa"/>
          <w:right w:w="86" w:type="dxa"/>
        </w:tblCellMar>
        <w:tblLook w:val="0000" w:firstRow="0" w:lastRow="0" w:firstColumn="0" w:lastColumn="0" w:noHBand="0" w:noVBand="0"/>
      </w:tblPr>
      <w:tblGrid>
        <w:gridCol w:w="5088"/>
        <w:gridCol w:w="888"/>
        <w:gridCol w:w="1152"/>
        <w:gridCol w:w="888"/>
        <w:gridCol w:w="624"/>
      </w:tblGrid>
      <w:tr w:rsidR="003A0C5C" w:rsidRPr="003A0C5C" w14:paraId="5C14A85F" w14:textId="77777777" w:rsidTr="005C0B7A">
        <w:trPr>
          <w:cantSplit/>
          <w:tblHeader/>
        </w:trPr>
        <w:tc>
          <w:tcPr>
            <w:tcW w:w="0" w:type="auto"/>
            <w:vAlign w:val="bottom"/>
          </w:tcPr>
          <w:p w14:paraId="70FDEA23" w14:textId="77777777" w:rsidR="005C0B7A" w:rsidRPr="003A0C5C" w:rsidRDefault="005C0B7A" w:rsidP="005C0B7A">
            <w:pPr>
              <w:keepNext/>
              <w:pBdr>
                <w:bottom w:val="single" w:sz="4" w:space="1" w:color="auto"/>
              </w:pBdr>
              <w:spacing w:before="60" w:after="60"/>
              <w:ind w:left="540" w:hanging="540"/>
              <w:rPr>
                <w:rFonts w:ascii="Arial" w:hAnsi="Arial" w:cs="Arial"/>
                <w:b/>
                <w:i/>
                <w:sz w:val="14"/>
                <w:szCs w:val="16"/>
              </w:rPr>
            </w:pPr>
            <w:r w:rsidRPr="003A0C5C">
              <w:rPr>
                <w:rFonts w:ascii="Arial" w:hAnsi="Arial" w:cs="Arial"/>
                <w:b/>
                <w:i/>
                <w:sz w:val="14"/>
                <w:szCs w:val="16"/>
              </w:rPr>
              <w:t>Issues (and Supporting Information Sources)</w:t>
            </w:r>
          </w:p>
        </w:tc>
        <w:tc>
          <w:tcPr>
            <w:tcW w:w="0" w:type="auto"/>
            <w:vAlign w:val="bottom"/>
          </w:tcPr>
          <w:p w14:paraId="580C34DB" w14:textId="77777777" w:rsidR="005C0B7A" w:rsidRPr="003A0C5C" w:rsidRDefault="005C0B7A" w:rsidP="005C0B7A">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Potentially</w:t>
            </w:r>
            <w:r w:rsidRPr="003A0C5C">
              <w:rPr>
                <w:rFonts w:ascii="Arial" w:hAnsi="Arial" w:cs="Arial"/>
                <w:b/>
                <w:i/>
                <w:sz w:val="14"/>
                <w:szCs w:val="16"/>
              </w:rPr>
              <w:br/>
              <w:t>Significant</w:t>
            </w:r>
            <w:r w:rsidRPr="003A0C5C">
              <w:rPr>
                <w:rFonts w:ascii="Arial" w:hAnsi="Arial" w:cs="Arial"/>
                <w:b/>
                <w:i/>
                <w:sz w:val="14"/>
                <w:szCs w:val="16"/>
              </w:rPr>
              <w:br/>
              <w:t>Impact</w:t>
            </w:r>
          </w:p>
        </w:tc>
        <w:tc>
          <w:tcPr>
            <w:tcW w:w="0" w:type="auto"/>
            <w:vAlign w:val="bottom"/>
          </w:tcPr>
          <w:p w14:paraId="67548967" w14:textId="77777777" w:rsidR="005C0B7A" w:rsidRPr="003A0C5C" w:rsidRDefault="005C0B7A" w:rsidP="005C0B7A">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Less than</w:t>
            </w:r>
            <w:r w:rsidRPr="003A0C5C">
              <w:rPr>
                <w:rFonts w:ascii="Arial" w:hAnsi="Arial" w:cs="Arial"/>
                <w:b/>
                <w:i/>
                <w:sz w:val="14"/>
                <w:szCs w:val="16"/>
              </w:rPr>
              <w:br/>
              <w:t>Significant</w:t>
            </w:r>
            <w:r w:rsidRPr="003A0C5C">
              <w:rPr>
                <w:rFonts w:ascii="Arial" w:hAnsi="Arial" w:cs="Arial"/>
                <w:b/>
                <w:i/>
                <w:sz w:val="14"/>
                <w:szCs w:val="16"/>
              </w:rPr>
              <w:br/>
              <w:t>with Mitigation</w:t>
            </w:r>
            <w:r w:rsidRPr="003A0C5C">
              <w:rPr>
                <w:rFonts w:ascii="Arial" w:hAnsi="Arial" w:cs="Arial"/>
                <w:b/>
                <w:i/>
                <w:sz w:val="14"/>
                <w:szCs w:val="16"/>
              </w:rPr>
              <w:br/>
              <w:t>Incorporated</w:t>
            </w:r>
          </w:p>
        </w:tc>
        <w:tc>
          <w:tcPr>
            <w:tcW w:w="0" w:type="auto"/>
            <w:vAlign w:val="bottom"/>
          </w:tcPr>
          <w:p w14:paraId="31281813" w14:textId="77777777" w:rsidR="005C0B7A" w:rsidRPr="003A0C5C" w:rsidRDefault="005C0B7A" w:rsidP="005C0B7A">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Less-than-</w:t>
            </w:r>
            <w:r w:rsidRPr="003A0C5C">
              <w:rPr>
                <w:rFonts w:ascii="Arial" w:hAnsi="Arial" w:cs="Arial"/>
                <w:b/>
                <w:i/>
                <w:sz w:val="14"/>
                <w:szCs w:val="16"/>
              </w:rPr>
              <w:br/>
              <w:t>Significant</w:t>
            </w:r>
            <w:r w:rsidRPr="003A0C5C">
              <w:rPr>
                <w:rFonts w:ascii="Arial" w:hAnsi="Arial" w:cs="Arial"/>
                <w:b/>
                <w:i/>
                <w:sz w:val="14"/>
                <w:szCs w:val="16"/>
              </w:rPr>
              <w:br/>
              <w:t>Impact</w:t>
            </w:r>
          </w:p>
        </w:tc>
        <w:tc>
          <w:tcPr>
            <w:tcW w:w="0" w:type="auto"/>
            <w:vAlign w:val="bottom"/>
          </w:tcPr>
          <w:p w14:paraId="6A305AB4" w14:textId="77777777" w:rsidR="005C0B7A" w:rsidRPr="003A0C5C" w:rsidRDefault="005C0B7A" w:rsidP="005C0B7A">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No</w:t>
            </w:r>
            <w:r w:rsidRPr="003A0C5C">
              <w:rPr>
                <w:rFonts w:ascii="Arial" w:hAnsi="Arial" w:cs="Arial"/>
                <w:b/>
                <w:i/>
                <w:sz w:val="14"/>
                <w:szCs w:val="16"/>
              </w:rPr>
              <w:br/>
              <w:t>Impact</w:t>
            </w:r>
          </w:p>
        </w:tc>
      </w:tr>
      <w:tr w:rsidR="003A0C5C" w:rsidRPr="003A0C5C" w14:paraId="0EBF0374" w14:textId="77777777" w:rsidTr="005C0B7A">
        <w:trPr>
          <w:cantSplit/>
        </w:trPr>
        <w:tc>
          <w:tcPr>
            <w:tcW w:w="0" w:type="auto"/>
          </w:tcPr>
          <w:p w14:paraId="1F8C1D74" w14:textId="5775602D" w:rsidR="005C0B7A" w:rsidRPr="003A0C5C" w:rsidRDefault="005C0B7A" w:rsidP="005C0B7A">
            <w:pPr>
              <w:pStyle w:val="Tabletextnumber"/>
              <w:keepNext/>
              <w:ind w:left="504" w:hanging="504"/>
              <w:rPr>
                <w:rStyle w:val="Bold"/>
              </w:rPr>
            </w:pPr>
            <w:r w:rsidRPr="003A0C5C">
              <w:rPr>
                <w:rStyle w:val="Bold"/>
              </w:rPr>
              <w:t>VII.</w:t>
            </w:r>
            <w:r w:rsidRPr="003A0C5C">
              <w:rPr>
                <w:rStyle w:val="Bold"/>
              </w:rPr>
              <w:tab/>
              <w:t>GEOLOGY AND SOILS</w:t>
            </w:r>
            <w:r w:rsidRPr="003A0C5C">
              <w:t>—Would the project:</w:t>
            </w:r>
          </w:p>
        </w:tc>
        <w:tc>
          <w:tcPr>
            <w:tcW w:w="0" w:type="auto"/>
          </w:tcPr>
          <w:p w14:paraId="5D52B5EB" w14:textId="77777777" w:rsidR="005C0B7A" w:rsidRPr="003A0C5C" w:rsidRDefault="005C0B7A" w:rsidP="005C0B7A">
            <w:pPr>
              <w:pStyle w:val="Checklist"/>
              <w:rPr>
                <w:highlight w:val="yellow"/>
              </w:rPr>
            </w:pPr>
          </w:p>
        </w:tc>
        <w:tc>
          <w:tcPr>
            <w:tcW w:w="0" w:type="auto"/>
          </w:tcPr>
          <w:p w14:paraId="4919DCDA" w14:textId="77777777" w:rsidR="005C0B7A" w:rsidRPr="003A0C5C" w:rsidRDefault="005C0B7A" w:rsidP="005C0B7A">
            <w:pPr>
              <w:pStyle w:val="Checklist"/>
              <w:rPr>
                <w:highlight w:val="yellow"/>
              </w:rPr>
            </w:pPr>
          </w:p>
        </w:tc>
        <w:tc>
          <w:tcPr>
            <w:tcW w:w="0" w:type="auto"/>
          </w:tcPr>
          <w:p w14:paraId="003A60EE" w14:textId="77777777" w:rsidR="005C0B7A" w:rsidRPr="003A0C5C" w:rsidRDefault="005C0B7A" w:rsidP="005C0B7A">
            <w:pPr>
              <w:pStyle w:val="Checklist"/>
              <w:rPr>
                <w:highlight w:val="yellow"/>
              </w:rPr>
            </w:pPr>
          </w:p>
        </w:tc>
        <w:tc>
          <w:tcPr>
            <w:tcW w:w="0" w:type="auto"/>
          </w:tcPr>
          <w:p w14:paraId="5AA533BF" w14:textId="77777777" w:rsidR="005C0B7A" w:rsidRPr="003A0C5C" w:rsidRDefault="005C0B7A" w:rsidP="005C0B7A">
            <w:pPr>
              <w:pStyle w:val="Checklist"/>
              <w:rPr>
                <w:highlight w:val="yellow"/>
              </w:rPr>
            </w:pPr>
          </w:p>
        </w:tc>
      </w:tr>
      <w:tr w:rsidR="003A0C5C" w:rsidRPr="003A0C5C" w14:paraId="63308433" w14:textId="77777777" w:rsidTr="005C0B7A">
        <w:trPr>
          <w:cantSplit/>
        </w:trPr>
        <w:tc>
          <w:tcPr>
            <w:tcW w:w="0" w:type="auto"/>
          </w:tcPr>
          <w:p w14:paraId="71505178" w14:textId="5305D1BE" w:rsidR="00B8605C" w:rsidRPr="003A0C5C" w:rsidRDefault="00B8605C" w:rsidP="00B8605C">
            <w:pPr>
              <w:pStyle w:val="Tabletextnumber"/>
              <w:keepNext/>
            </w:pPr>
            <w:r w:rsidRPr="003A0C5C">
              <w:rPr>
                <w:rFonts w:cs="Arial"/>
                <w:szCs w:val="16"/>
              </w:rPr>
              <w:t>a)</w:t>
            </w:r>
            <w:r w:rsidRPr="003A0C5C">
              <w:rPr>
                <w:rFonts w:cs="Arial"/>
                <w:szCs w:val="16"/>
              </w:rPr>
              <w:tab/>
              <w:t>Directly or indirectly cause potential substantial adverse effects, including the risk of loss, injury, or death involving:</w:t>
            </w:r>
          </w:p>
        </w:tc>
        <w:tc>
          <w:tcPr>
            <w:tcW w:w="0" w:type="auto"/>
          </w:tcPr>
          <w:p w14:paraId="315250BF" w14:textId="0F8FDF7A" w:rsidR="00B8605C" w:rsidRPr="003A0C5C" w:rsidRDefault="00B8605C" w:rsidP="00B8605C">
            <w:pPr>
              <w:pStyle w:val="Checklist"/>
              <w:rPr>
                <w:highlight w:val="yellow"/>
              </w:rPr>
            </w:pPr>
          </w:p>
        </w:tc>
        <w:tc>
          <w:tcPr>
            <w:tcW w:w="0" w:type="auto"/>
          </w:tcPr>
          <w:p w14:paraId="3DF07572" w14:textId="4D55DCFA" w:rsidR="00B8605C" w:rsidRPr="003A0C5C" w:rsidRDefault="00B8605C" w:rsidP="00B8605C">
            <w:pPr>
              <w:pStyle w:val="Checklist"/>
              <w:rPr>
                <w:sz w:val="20"/>
                <w:highlight w:val="yellow"/>
              </w:rPr>
            </w:pPr>
          </w:p>
        </w:tc>
        <w:tc>
          <w:tcPr>
            <w:tcW w:w="0" w:type="auto"/>
          </w:tcPr>
          <w:p w14:paraId="4CD669E2" w14:textId="3D22CC42" w:rsidR="00B8605C" w:rsidRPr="003A0C5C" w:rsidRDefault="00B8605C" w:rsidP="00B8605C">
            <w:pPr>
              <w:pStyle w:val="Checklist"/>
              <w:rPr>
                <w:sz w:val="20"/>
                <w:highlight w:val="yellow"/>
              </w:rPr>
            </w:pPr>
          </w:p>
        </w:tc>
        <w:tc>
          <w:tcPr>
            <w:tcW w:w="0" w:type="auto"/>
          </w:tcPr>
          <w:p w14:paraId="58A8EA47" w14:textId="2EB7BB2F" w:rsidR="00B8605C" w:rsidRPr="003A0C5C" w:rsidRDefault="00B8605C" w:rsidP="00B8605C">
            <w:pPr>
              <w:pStyle w:val="Checklist"/>
              <w:rPr>
                <w:sz w:val="20"/>
                <w:highlight w:val="yellow"/>
              </w:rPr>
            </w:pPr>
          </w:p>
        </w:tc>
      </w:tr>
      <w:tr w:rsidR="003A0C5C" w:rsidRPr="003A0C5C" w14:paraId="656E194D" w14:textId="77777777" w:rsidTr="005C0B7A">
        <w:trPr>
          <w:cantSplit/>
        </w:trPr>
        <w:tc>
          <w:tcPr>
            <w:tcW w:w="0" w:type="auto"/>
          </w:tcPr>
          <w:p w14:paraId="05BF82D7" w14:textId="064906CE" w:rsidR="00B8605C" w:rsidRPr="003A0C5C" w:rsidRDefault="00B8605C" w:rsidP="00B8605C">
            <w:pPr>
              <w:pStyle w:val="Tabletextnumber2"/>
            </w:pPr>
            <w:proofErr w:type="spellStart"/>
            <w:r w:rsidRPr="003A0C5C">
              <w:t>i</w:t>
            </w:r>
            <w:proofErr w:type="spellEnd"/>
            <w:r w:rsidRPr="003A0C5C">
              <w:t>)</w:t>
            </w:r>
            <w:r w:rsidRPr="003A0C5C">
              <w:tab/>
              <w:t>Rupture of a known earthquake fault, as delineated on the most recent Alquist-Priolo Earthquake Fault Zoning Map issued by the State Geologist for the area or based on other substantial evidence of a known fault? (Refer to Division of Mines and Geology Special Publication 42.)</w:t>
            </w:r>
          </w:p>
        </w:tc>
        <w:tc>
          <w:tcPr>
            <w:tcW w:w="0" w:type="auto"/>
          </w:tcPr>
          <w:p w14:paraId="1F0B34EF" w14:textId="77777777" w:rsidR="00B8605C" w:rsidRPr="003A0C5C" w:rsidRDefault="002348BC" w:rsidP="00B8605C">
            <w:pPr>
              <w:pStyle w:val="Checklist"/>
            </w:pPr>
            <w:sdt>
              <w:sdtPr>
                <w:id w:val="884147961"/>
                <w14:checkbox>
                  <w14:checked w14:val="0"/>
                  <w14:checkedState w14:val="2612" w14:font="MS Gothic"/>
                  <w14:uncheckedState w14:val="2610" w14:font="MS Gothic"/>
                </w14:checkbox>
              </w:sdtPr>
              <w:sdtEndPr/>
              <w:sdtContent>
                <w:r w:rsidR="00B8605C" w:rsidRPr="003A0C5C">
                  <w:t>☐</w:t>
                </w:r>
              </w:sdtContent>
            </w:sdt>
          </w:p>
        </w:tc>
        <w:tc>
          <w:tcPr>
            <w:tcW w:w="0" w:type="auto"/>
          </w:tcPr>
          <w:p w14:paraId="0BFA804F" w14:textId="77777777" w:rsidR="00B8605C" w:rsidRPr="003A0C5C" w:rsidRDefault="002348BC" w:rsidP="00B8605C">
            <w:pPr>
              <w:pStyle w:val="Checklist"/>
              <w:rPr>
                <w:sz w:val="20"/>
              </w:rPr>
            </w:pPr>
            <w:sdt>
              <w:sdtPr>
                <w:id w:val="-1023942745"/>
                <w14:checkbox>
                  <w14:checked w14:val="0"/>
                  <w14:checkedState w14:val="2612" w14:font="MS Gothic"/>
                  <w14:uncheckedState w14:val="2610" w14:font="MS Gothic"/>
                </w14:checkbox>
              </w:sdtPr>
              <w:sdtEndPr/>
              <w:sdtContent>
                <w:r w:rsidR="00B8605C" w:rsidRPr="003A0C5C">
                  <w:t>☐</w:t>
                </w:r>
              </w:sdtContent>
            </w:sdt>
          </w:p>
        </w:tc>
        <w:tc>
          <w:tcPr>
            <w:tcW w:w="0" w:type="auto"/>
          </w:tcPr>
          <w:p w14:paraId="24190E39" w14:textId="22512A7E" w:rsidR="00B8605C" w:rsidRPr="003A0C5C" w:rsidRDefault="002348BC" w:rsidP="00B8605C">
            <w:pPr>
              <w:pStyle w:val="Checklist"/>
              <w:rPr>
                <w:sz w:val="20"/>
              </w:rPr>
            </w:pPr>
            <w:sdt>
              <w:sdtPr>
                <w:id w:val="-2077420081"/>
                <w14:checkbox>
                  <w14:checked w14:val="1"/>
                  <w14:checkedState w14:val="2612" w14:font="MS Gothic"/>
                  <w14:uncheckedState w14:val="2610" w14:font="MS Gothic"/>
                </w14:checkbox>
              </w:sdtPr>
              <w:sdtEndPr/>
              <w:sdtContent>
                <w:r w:rsidR="00B8605C" w:rsidRPr="003A0C5C">
                  <w:rPr>
                    <w:rFonts w:hint="eastAsia"/>
                  </w:rPr>
                  <w:t>☒</w:t>
                </w:r>
              </w:sdtContent>
            </w:sdt>
          </w:p>
        </w:tc>
        <w:tc>
          <w:tcPr>
            <w:tcW w:w="0" w:type="auto"/>
          </w:tcPr>
          <w:p w14:paraId="70436B09" w14:textId="7123EECB" w:rsidR="00B8605C" w:rsidRPr="003A0C5C" w:rsidRDefault="002348BC" w:rsidP="00B8605C">
            <w:pPr>
              <w:pStyle w:val="Checklist"/>
              <w:rPr>
                <w:sz w:val="20"/>
              </w:rPr>
            </w:pPr>
            <w:sdt>
              <w:sdtPr>
                <w:id w:val="80349256"/>
                <w14:checkbox>
                  <w14:checked w14:val="0"/>
                  <w14:checkedState w14:val="2612" w14:font="MS Gothic"/>
                  <w14:uncheckedState w14:val="2610" w14:font="MS Gothic"/>
                </w14:checkbox>
              </w:sdtPr>
              <w:sdtEndPr/>
              <w:sdtContent>
                <w:r w:rsidR="0002030B" w:rsidRPr="003A0C5C">
                  <w:rPr>
                    <w:rFonts w:hint="eastAsia"/>
                  </w:rPr>
                  <w:t>☐</w:t>
                </w:r>
              </w:sdtContent>
            </w:sdt>
          </w:p>
        </w:tc>
      </w:tr>
      <w:tr w:rsidR="003A0C5C" w:rsidRPr="003A0C5C" w14:paraId="6C45461B" w14:textId="77777777" w:rsidTr="005C0B7A">
        <w:trPr>
          <w:cantSplit/>
        </w:trPr>
        <w:tc>
          <w:tcPr>
            <w:tcW w:w="0" w:type="auto"/>
          </w:tcPr>
          <w:p w14:paraId="5B3556D2" w14:textId="43BB95FA" w:rsidR="00B8605C" w:rsidRPr="003A0C5C" w:rsidRDefault="00B8605C" w:rsidP="00B8605C">
            <w:pPr>
              <w:pStyle w:val="Tabletextnumber2"/>
            </w:pPr>
            <w:r w:rsidRPr="003A0C5C">
              <w:t>ii)</w:t>
            </w:r>
            <w:r w:rsidRPr="003A0C5C">
              <w:tab/>
              <w:t>Strong seismic ground shaking?</w:t>
            </w:r>
          </w:p>
        </w:tc>
        <w:tc>
          <w:tcPr>
            <w:tcW w:w="0" w:type="auto"/>
          </w:tcPr>
          <w:p w14:paraId="2850AB07" w14:textId="77777777" w:rsidR="00B8605C" w:rsidRPr="003A0C5C" w:rsidRDefault="002348BC" w:rsidP="00B8605C">
            <w:pPr>
              <w:pStyle w:val="Checklist"/>
            </w:pPr>
            <w:sdt>
              <w:sdtPr>
                <w:id w:val="1782144116"/>
                <w14:checkbox>
                  <w14:checked w14:val="0"/>
                  <w14:checkedState w14:val="2612" w14:font="MS Gothic"/>
                  <w14:uncheckedState w14:val="2610" w14:font="MS Gothic"/>
                </w14:checkbox>
              </w:sdtPr>
              <w:sdtEndPr/>
              <w:sdtContent>
                <w:r w:rsidR="00B8605C" w:rsidRPr="003A0C5C">
                  <w:t>☐</w:t>
                </w:r>
              </w:sdtContent>
            </w:sdt>
          </w:p>
        </w:tc>
        <w:tc>
          <w:tcPr>
            <w:tcW w:w="0" w:type="auto"/>
          </w:tcPr>
          <w:p w14:paraId="39BE053C" w14:textId="77777777" w:rsidR="00B8605C" w:rsidRPr="003A0C5C" w:rsidRDefault="002348BC" w:rsidP="00B8605C">
            <w:pPr>
              <w:pStyle w:val="Checklist"/>
              <w:rPr>
                <w:sz w:val="20"/>
              </w:rPr>
            </w:pPr>
            <w:sdt>
              <w:sdtPr>
                <w:id w:val="894011547"/>
                <w14:checkbox>
                  <w14:checked w14:val="0"/>
                  <w14:checkedState w14:val="2612" w14:font="MS Gothic"/>
                  <w14:uncheckedState w14:val="2610" w14:font="MS Gothic"/>
                </w14:checkbox>
              </w:sdtPr>
              <w:sdtEndPr/>
              <w:sdtContent>
                <w:r w:rsidR="00B8605C" w:rsidRPr="003A0C5C">
                  <w:t>☐</w:t>
                </w:r>
              </w:sdtContent>
            </w:sdt>
          </w:p>
        </w:tc>
        <w:tc>
          <w:tcPr>
            <w:tcW w:w="0" w:type="auto"/>
          </w:tcPr>
          <w:p w14:paraId="49DB9288" w14:textId="4BBC3F28" w:rsidR="00B8605C" w:rsidRPr="003A0C5C" w:rsidRDefault="002348BC" w:rsidP="00B8605C">
            <w:pPr>
              <w:pStyle w:val="Checklist"/>
              <w:rPr>
                <w:sz w:val="20"/>
              </w:rPr>
            </w:pPr>
            <w:sdt>
              <w:sdtPr>
                <w:id w:val="56908833"/>
                <w14:checkbox>
                  <w14:checked w14:val="1"/>
                  <w14:checkedState w14:val="2612" w14:font="MS Gothic"/>
                  <w14:uncheckedState w14:val="2610" w14:font="MS Gothic"/>
                </w14:checkbox>
              </w:sdtPr>
              <w:sdtEndPr/>
              <w:sdtContent>
                <w:r w:rsidR="00B8605C" w:rsidRPr="003A0C5C">
                  <w:rPr>
                    <w:rFonts w:hint="eastAsia"/>
                  </w:rPr>
                  <w:t>☒</w:t>
                </w:r>
              </w:sdtContent>
            </w:sdt>
          </w:p>
        </w:tc>
        <w:tc>
          <w:tcPr>
            <w:tcW w:w="0" w:type="auto"/>
          </w:tcPr>
          <w:p w14:paraId="07914D0B" w14:textId="1E4E1B57" w:rsidR="00B8605C" w:rsidRPr="003A0C5C" w:rsidRDefault="002348BC" w:rsidP="00B8605C">
            <w:pPr>
              <w:pStyle w:val="Checklist"/>
              <w:rPr>
                <w:sz w:val="20"/>
              </w:rPr>
            </w:pPr>
            <w:sdt>
              <w:sdtPr>
                <w:id w:val="-1161774634"/>
                <w14:checkbox>
                  <w14:checked w14:val="0"/>
                  <w14:checkedState w14:val="2612" w14:font="MS Gothic"/>
                  <w14:uncheckedState w14:val="2610" w14:font="MS Gothic"/>
                </w14:checkbox>
              </w:sdtPr>
              <w:sdtEndPr/>
              <w:sdtContent>
                <w:r w:rsidR="0002030B" w:rsidRPr="003A0C5C">
                  <w:rPr>
                    <w:rFonts w:hint="eastAsia"/>
                  </w:rPr>
                  <w:t>☐</w:t>
                </w:r>
              </w:sdtContent>
            </w:sdt>
          </w:p>
        </w:tc>
      </w:tr>
      <w:tr w:rsidR="003A0C5C" w:rsidRPr="003A0C5C" w14:paraId="5534853F" w14:textId="77777777" w:rsidTr="005C0B7A">
        <w:trPr>
          <w:cantSplit/>
        </w:trPr>
        <w:tc>
          <w:tcPr>
            <w:tcW w:w="0" w:type="auto"/>
          </w:tcPr>
          <w:p w14:paraId="4136F609" w14:textId="4A9BF1CF" w:rsidR="00B8605C" w:rsidRPr="003A0C5C" w:rsidRDefault="00B8605C" w:rsidP="00B8605C">
            <w:pPr>
              <w:pStyle w:val="Tabletextnumber2"/>
            </w:pPr>
            <w:r w:rsidRPr="003A0C5C">
              <w:t>iii)</w:t>
            </w:r>
            <w:r w:rsidRPr="003A0C5C">
              <w:tab/>
              <w:t>Seismic-related ground failure, including liquefaction?</w:t>
            </w:r>
          </w:p>
        </w:tc>
        <w:tc>
          <w:tcPr>
            <w:tcW w:w="0" w:type="auto"/>
          </w:tcPr>
          <w:p w14:paraId="7489941A" w14:textId="77777777" w:rsidR="00B8605C" w:rsidRPr="003A0C5C" w:rsidRDefault="002348BC" w:rsidP="00B8605C">
            <w:pPr>
              <w:pStyle w:val="Checklist"/>
            </w:pPr>
            <w:sdt>
              <w:sdtPr>
                <w:id w:val="-1044283265"/>
                <w14:checkbox>
                  <w14:checked w14:val="0"/>
                  <w14:checkedState w14:val="2612" w14:font="MS Gothic"/>
                  <w14:uncheckedState w14:val="2610" w14:font="MS Gothic"/>
                </w14:checkbox>
              </w:sdtPr>
              <w:sdtEndPr/>
              <w:sdtContent>
                <w:r w:rsidR="00B8605C" w:rsidRPr="003A0C5C">
                  <w:t>☐</w:t>
                </w:r>
              </w:sdtContent>
            </w:sdt>
          </w:p>
        </w:tc>
        <w:tc>
          <w:tcPr>
            <w:tcW w:w="0" w:type="auto"/>
          </w:tcPr>
          <w:p w14:paraId="5D03ABAB" w14:textId="77777777" w:rsidR="00B8605C" w:rsidRPr="003A0C5C" w:rsidRDefault="002348BC" w:rsidP="00B8605C">
            <w:pPr>
              <w:pStyle w:val="Checklist"/>
              <w:rPr>
                <w:sz w:val="20"/>
              </w:rPr>
            </w:pPr>
            <w:sdt>
              <w:sdtPr>
                <w:id w:val="-290982783"/>
                <w14:checkbox>
                  <w14:checked w14:val="0"/>
                  <w14:checkedState w14:val="2612" w14:font="MS Gothic"/>
                  <w14:uncheckedState w14:val="2610" w14:font="MS Gothic"/>
                </w14:checkbox>
              </w:sdtPr>
              <w:sdtEndPr/>
              <w:sdtContent>
                <w:r w:rsidR="00B8605C" w:rsidRPr="003A0C5C">
                  <w:t>☐</w:t>
                </w:r>
              </w:sdtContent>
            </w:sdt>
          </w:p>
        </w:tc>
        <w:tc>
          <w:tcPr>
            <w:tcW w:w="0" w:type="auto"/>
          </w:tcPr>
          <w:p w14:paraId="70DDB3A2" w14:textId="34F99873" w:rsidR="00B8605C" w:rsidRPr="003A0C5C" w:rsidRDefault="002348BC" w:rsidP="00B8605C">
            <w:pPr>
              <w:pStyle w:val="Checklist"/>
              <w:rPr>
                <w:sz w:val="20"/>
              </w:rPr>
            </w:pPr>
            <w:sdt>
              <w:sdtPr>
                <w:id w:val="1452283799"/>
                <w14:checkbox>
                  <w14:checked w14:val="1"/>
                  <w14:checkedState w14:val="2612" w14:font="MS Gothic"/>
                  <w14:uncheckedState w14:val="2610" w14:font="MS Gothic"/>
                </w14:checkbox>
              </w:sdtPr>
              <w:sdtEndPr/>
              <w:sdtContent>
                <w:r w:rsidR="00B8605C" w:rsidRPr="003A0C5C">
                  <w:rPr>
                    <w:rFonts w:hint="eastAsia"/>
                  </w:rPr>
                  <w:t>☒</w:t>
                </w:r>
              </w:sdtContent>
            </w:sdt>
          </w:p>
        </w:tc>
        <w:tc>
          <w:tcPr>
            <w:tcW w:w="0" w:type="auto"/>
          </w:tcPr>
          <w:p w14:paraId="04413901" w14:textId="384F3679" w:rsidR="00B8605C" w:rsidRPr="003A0C5C" w:rsidRDefault="002348BC" w:rsidP="00B8605C">
            <w:pPr>
              <w:pStyle w:val="Checklist"/>
              <w:rPr>
                <w:sz w:val="20"/>
              </w:rPr>
            </w:pPr>
            <w:sdt>
              <w:sdtPr>
                <w:id w:val="921218046"/>
                <w14:checkbox>
                  <w14:checked w14:val="0"/>
                  <w14:checkedState w14:val="2612" w14:font="MS Gothic"/>
                  <w14:uncheckedState w14:val="2610" w14:font="MS Gothic"/>
                </w14:checkbox>
              </w:sdtPr>
              <w:sdtEndPr/>
              <w:sdtContent>
                <w:r w:rsidR="00B8605C" w:rsidRPr="003A0C5C">
                  <w:rPr>
                    <w:rFonts w:hint="eastAsia"/>
                  </w:rPr>
                  <w:t>☐</w:t>
                </w:r>
              </w:sdtContent>
            </w:sdt>
          </w:p>
        </w:tc>
      </w:tr>
      <w:tr w:rsidR="003A0C5C" w:rsidRPr="003A0C5C" w14:paraId="1BF9B998" w14:textId="77777777" w:rsidTr="005C0B7A">
        <w:trPr>
          <w:cantSplit/>
        </w:trPr>
        <w:tc>
          <w:tcPr>
            <w:tcW w:w="0" w:type="auto"/>
          </w:tcPr>
          <w:p w14:paraId="50F42B91" w14:textId="00281C50" w:rsidR="00B8605C" w:rsidRPr="003A0C5C" w:rsidRDefault="00B8605C" w:rsidP="00B8605C">
            <w:pPr>
              <w:pStyle w:val="Tabletextnumber2"/>
            </w:pPr>
            <w:r w:rsidRPr="003A0C5C">
              <w:t>iv)</w:t>
            </w:r>
            <w:r w:rsidRPr="003A0C5C">
              <w:tab/>
              <w:t>Landslides?</w:t>
            </w:r>
          </w:p>
        </w:tc>
        <w:tc>
          <w:tcPr>
            <w:tcW w:w="0" w:type="auto"/>
          </w:tcPr>
          <w:p w14:paraId="42383CE2" w14:textId="77777777" w:rsidR="00B8605C" w:rsidRPr="003A0C5C" w:rsidRDefault="002348BC" w:rsidP="00B8605C">
            <w:pPr>
              <w:pStyle w:val="Checklist"/>
            </w:pPr>
            <w:sdt>
              <w:sdtPr>
                <w:id w:val="1427778097"/>
                <w14:checkbox>
                  <w14:checked w14:val="0"/>
                  <w14:checkedState w14:val="2612" w14:font="MS Gothic"/>
                  <w14:uncheckedState w14:val="2610" w14:font="MS Gothic"/>
                </w14:checkbox>
              </w:sdtPr>
              <w:sdtEndPr/>
              <w:sdtContent>
                <w:r w:rsidR="00B8605C" w:rsidRPr="003A0C5C">
                  <w:t>☐</w:t>
                </w:r>
              </w:sdtContent>
            </w:sdt>
          </w:p>
        </w:tc>
        <w:tc>
          <w:tcPr>
            <w:tcW w:w="0" w:type="auto"/>
          </w:tcPr>
          <w:p w14:paraId="02847077" w14:textId="77777777" w:rsidR="00B8605C" w:rsidRPr="003A0C5C" w:rsidRDefault="002348BC" w:rsidP="00B8605C">
            <w:pPr>
              <w:pStyle w:val="Checklist"/>
              <w:rPr>
                <w:sz w:val="20"/>
              </w:rPr>
            </w:pPr>
            <w:sdt>
              <w:sdtPr>
                <w:id w:val="-358590136"/>
                <w14:checkbox>
                  <w14:checked w14:val="0"/>
                  <w14:checkedState w14:val="2612" w14:font="MS Gothic"/>
                  <w14:uncheckedState w14:val="2610" w14:font="MS Gothic"/>
                </w14:checkbox>
              </w:sdtPr>
              <w:sdtEndPr/>
              <w:sdtContent>
                <w:r w:rsidR="00B8605C" w:rsidRPr="003A0C5C">
                  <w:t>☐</w:t>
                </w:r>
              </w:sdtContent>
            </w:sdt>
          </w:p>
        </w:tc>
        <w:tc>
          <w:tcPr>
            <w:tcW w:w="0" w:type="auto"/>
          </w:tcPr>
          <w:p w14:paraId="2DDB27D9" w14:textId="6C000D21" w:rsidR="00B8605C" w:rsidRPr="003A0C5C" w:rsidRDefault="002348BC" w:rsidP="00B8605C">
            <w:pPr>
              <w:pStyle w:val="Checklist"/>
              <w:rPr>
                <w:sz w:val="20"/>
              </w:rPr>
            </w:pPr>
            <w:sdt>
              <w:sdtPr>
                <w:id w:val="1710140761"/>
                <w14:checkbox>
                  <w14:checked w14:val="0"/>
                  <w14:checkedState w14:val="2612" w14:font="MS Gothic"/>
                  <w14:uncheckedState w14:val="2610" w14:font="MS Gothic"/>
                </w14:checkbox>
              </w:sdtPr>
              <w:sdtEndPr/>
              <w:sdtContent>
                <w:r w:rsidR="0002030B" w:rsidRPr="003A0C5C">
                  <w:rPr>
                    <w:rFonts w:hint="eastAsia"/>
                  </w:rPr>
                  <w:t>☐</w:t>
                </w:r>
              </w:sdtContent>
            </w:sdt>
          </w:p>
        </w:tc>
        <w:tc>
          <w:tcPr>
            <w:tcW w:w="0" w:type="auto"/>
          </w:tcPr>
          <w:p w14:paraId="4B948687" w14:textId="1A2F2DCC" w:rsidR="00B8605C" w:rsidRPr="003A0C5C" w:rsidRDefault="002348BC" w:rsidP="00B8605C">
            <w:pPr>
              <w:pStyle w:val="Checklist"/>
              <w:rPr>
                <w:sz w:val="20"/>
              </w:rPr>
            </w:pPr>
            <w:sdt>
              <w:sdtPr>
                <w:id w:val="-1674485621"/>
                <w14:checkbox>
                  <w14:checked w14:val="1"/>
                  <w14:checkedState w14:val="2612" w14:font="MS Gothic"/>
                  <w14:uncheckedState w14:val="2610" w14:font="MS Gothic"/>
                </w14:checkbox>
              </w:sdtPr>
              <w:sdtEndPr/>
              <w:sdtContent>
                <w:r w:rsidR="003F7F96" w:rsidRPr="003A0C5C">
                  <w:rPr>
                    <w:rFonts w:hint="eastAsia"/>
                  </w:rPr>
                  <w:t>☒</w:t>
                </w:r>
              </w:sdtContent>
            </w:sdt>
          </w:p>
        </w:tc>
      </w:tr>
      <w:tr w:rsidR="003A0C5C" w:rsidRPr="003A0C5C" w14:paraId="0EEB9D2B" w14:textId="77777777" w:rsidTr="005C0B7A">
        <w:trPr>
          <w:cantSplit/>
        </w:trPr>
        <w:tc>
          <w:tcPr>
            <w:tcW w:w="0" w:type="auto"/>
          </w:tcPr>
          <w:p w14:paraId="5651B9CF" w14:textId="3A38D047" w:rsidR="00B8605C" w:rsidRPr="003A0C5C" w:rsidRDefault="00B8605C" w:rsidP="00B8605C">
            <w:pPr>
              <w:pStyle w:val="Tabletextnumber"/>
            </w:pPr>
            <w:r w:rsidRPr="003A0C5C">
              <w:rPr>
                <w:rFonts w:cs="Arial"/>
                <w:szCs w:val="16"/>
              </w:rPr>
              <w:t>b)</w:t>
            </w:r>
            <w:r w:rsidRPr="003A0C5C">
              <w:rPr>
                <w:rFonts w:cs="Arial"/>
                <w:szCs w:val="16"/>
              </w:rPr>
              <w:tab/>
              <w:t>Result in substantial soil erosion or the loss of topsoil?</w:t>
            </w:r>
          </w:p>
        </w:tc>
        <w:tc>
          <w:tcPr>
            <w:tcW w:w="0" w:type="auto"/>
          </w:tcPr>
          <w:p w14:paraId="18521FE1" w14:textId="77777777" w:rsidR="00B8605C" w:rsidRPr="003A0C5C" w:rsidRDefault="002348BC" w:rsidP="00B8605C">
            <w:pPr>
              <w:pStyle w:val="Checklist"/>
              <w:rPr>
                <w:sz w:val="20"/>
              </w:rPr>
            </w:pPr>
            <w:sdt>
              <w:sdtPr>
                <w:id w:val="274760958"/>
                <w14:checkbox>
                  <w14:checked w14:val="0"/>
                  <w14:checkedState w14:val="2612" w14:font="MS Gothic"/>
                  <w14:uncheckedState w14:val="2610" w14:font="MS Gothic"/>
                </w14:checkbox>
              </w:sdtPr>
              <w:sdtEndPr/>
              <w:sdtContent>
                <w:r w:rsidR="00B8605C" w:rsidRPr="003A0C5C">
                  <w:t>☐</w:t>
                </w:r>
              </w:sdtContent>
            </w:sdt>
          </w:p>
        </w:tc>
        <w:tc>
          <w:tcPr>
            <w:tcW w:w="0" w:type="auto"/>
          </w:tcPr>
          <w:p w14:paraId="219DC0E0" w14:textId="77777777" w:rsidR="00B8605C" w:rsidRPr="003A0C5C" w:rsidRDefault="002348BC" w:rsidP="00B8605C">
            <w:pPr>
              <w:pStyle w:val="Checklist"/>
              <w:rPr>
                <w:sz w:val="20"/>
              </w:rPr>
            </w:pPr>
            <w:sdt>
              <w:sdtPr>
                <w:id w:val="1535768781"/>
                <w14:checkbox>
                  <w14:checked w14:val="0"/>
                  <w14:checkedState w14:val="2612" w14:font="MS Gothic"/>
                  <w14:uncheckedState w14:val="2610" w14:font="MS Gothic"/>
                </w14:checkbox>
              </w:sdtPr>
              <w:sdtEndPr/>
              <w:sdtContent>
                <w:r w:rsidR="00B8605C" w:rsidRPr="003A0C5C">
                  <w:t>☐</w:t>
                </w:r>
              </w:sdtContent>
            </w:sdt>
          </w:p>
        </w:tc>
        <w:tc>
          <w:tcPr>
            <w:tcW w:w="0" w:type="auto"/>
          </w:tcPr>
          <w:p w14:paraId="3BFD0573" w14:textId="149F4933" w:rsidR="00B8605C" w:rsidRPr="003A0C5C" w:rsidRDefault="002348BC" w:rsidP="00B8605C">
            <w:pPr>
              <w:pStyle w:val="Checklist"/>
              <w:rPr>
                <w:sz w:val="20"/>
              </w:rPr>
            </w:pPr>
            <w:sdt>
              <w:sdtPr>
                <w:id w:val="1252620712"/>
                <w14:checkbox>
                  <w14:checked w14:val="1"/>
                  <w14:checkedState w14:val="2612" w14:font="MS Gothic"/>
                  <w14:uncheckedState w14:val="2610" w14:font="MS Gothic"/>
                </w14:checkbox>
              </w:sdtPr>
              <w:sdtEndPr/>
              <w:sdtContent>
                <w:r w:rsidR="00B8605C" w:rsidRPr="003A0C5C">
                  <w:rPr>
                    <w:rFonts w:hint="eastAsia"/>
                  </w:rPr>
                  <w:t>☒</w:t>
                </w:r>
              </w:sdtContent>
            </w:sdt>
          </w:p>
        </w:tc>
        <w:tc>
          <w:tcPr>
            <w:tcW w:w="0" w:type="auto"/>
          </w:tcPr>
          <w:p w14:paraId="74C6EFD4" w14:textId="5DBDCFAE" w:rsidR="00B8605C" w:rsidRPr="003A0C5C" w:rsidRDefault="002348BC" w:rsidP="00B8605C">
            <w:pPr>
              <w:pStyle w:val="Checklist"/>
              <w:rPr>
                <w:sz w:val="20"/>
              </w:rPr>
            </w:pPr>
            <w:sdt>
              <w:sdtPr>
                <w:id w:val="1794551355"/>
                <w14:checkbox>
                  <w14:checked w14:val="0"/>
                  <w14:checkedState w14:val="2612" w14:font="MS Gothic"/>
                  <w14:uncheckedState w14:val="2610" w14:font="MS Gothic"/>
                </w14:checkbox>
              </w:sdtPr>
              <w:sdtEndPr/>
              <w:sdtContent>
                <w:r w:rsidR="00B8605C" w:rsidRPr="003A0C5C">
                  <w:rPr>
                    <w:rFonts w:hint="eastAsia"/>
                  </w:rPr>
                  <w:t>☐</w:t>
                </w:r>
              </w:sdtContent>
            </w:sdt>
          </w:p>
        </w:tc>
      </w:tr>
      <w:tr w:rsidR="003A0C5C" w:rsidRPr="003A0C5C" w14:paraId="455A32D1" w14:textId="77777777" w:rsidTr="005C0B7A">
        <w:trPr>
          <w:cantSplit/>
        </w:trPr>
        <w:tc>
          <w:tcPr>
            <w:tcW w:w="0" w:type="auto"/>
          </w:tcPr>
          <w:p w14:paraId="7FF9258D" w14:textId="456CE849" w:rsidR="00B8605C" w:rsidRPr="003A0C5C" w:rsidRDefault="00B8605C" w:rsidP="00B8605C">
            <w:pPr>
              <w:pStyle w:val="Tabletextnumber"/>
            </w:pPr>
            <w:r w:rsidRPr="003A0C5C">
              <w:rPr>
                <w:rFonts w:cs="Arial"/>
                <w:szCs w:val="16"/>
              </w:rPr>
              <w:t>c)</w:t>
            </w:r>
            <w:r w:rsidRPr="003A0C5C">
              <w:rPr>
                <w:rFonts w:cs="Arial"/>
                <w:szCs w:val="16"/>
              </w:rPr>
              <w:tab/>
              <w:t>Be located on a geologic unit or soil that is unstable, or that would become unstable as a result of the project, and potentially result in on- or off-site landslide, lateral spreading, subsidence, liquefaction, or collapse?</w:t>
            </w:r>
          </w:p>
        </w:tc>
        <w:tc>
          <w:tcPr>
            <w:tcW w:w="0" w:type="auto"/>
          </w:tcPr>
          <w:p w14:paraId="14229580" w14:textId="77777777" w:rsidR="00B8605C" w:rsidRPr="003A0C5C" w:rsidRDefault="002348BC" w:rsidP="00B8605C">
            <w:pPr>
              <w:pStyle w:val="Checklist"/>
              <w:rPr>
                <w:sz w:val="20"/>
              </w:rPr>
            </w:pPr>
            <w:sdt>
              <w:sdtPr>
                <w:id w:val="1817916424"/>
                <w14:checkbox>
                  <w14:checked w14:val="0"/>
                  <w14:checkedState w14:val="2612" w14:font="MS Gothic"/>
                  <w14:uncheckedState w14:val="2610" w14:font="MS Gothic"/>
                </w14:checkbox>
              </w:sdtPr>
              <w:sdtEndPr/>
              <w:sdtContent>
                <w:r w:rsidR="00B8605C" w:rsidRPr="003A0C5C">
                  <w:t>☐</w:t>
                </w:r>
              </w:sdtContent>
            </w:sdt>
          </w:p>
        </w:tc>
        <w:tc>
          <w:tcPr>
            <w:tcW w:w="0" w:type="auto"/>
          </w:tcPr>
          <w:p w14:paraId="0DCE0BF8" w14:textId="77777777" w:rsidR="00B8605C" w:rsidRPr="003A0C5C" w:rsidRDefault="002348BC" w:rsidP="00B8605C">
            <w:pPr>
              <w:pStyle w:val="Checklist"/>
              <w:rPr>
                <w:sz w:val="20"/>
              </w:rPr>
            </w:pPr>
            <w:sdt>
              <w:sdtPr>
                <w:id w:val="1894155954"/>
                <w14:checkbox>
                  <w14:checked w14:val="0"/>
                  <w14:checkedState w14:val="2612" w14:font="MS Gothic"/>
                  <w14:uncheckedState w14:val="2610" w14:font="MS Gothic"/>
                </w14:checkbox>
              </w:sdtPr>
              <w:sdtEndPr/>
              <w:sdtContent>
                <w:r w:rsidR="00B8605C" w:rsidRPr="003A0C5C">
                  <w:t>☐</w:t>
                </w:r>
              </w:sdtContent>
            </w:sdt>
          </w:p>
        </w:tc>
        <w:tc>
          <w:tcPr>
            <w:tcW w:w="0" w:type="auto"/>
          </w:tcPr>
          <w:p w14:paraId="34ADF2F9" w14:textId="53753A6D" w:rsidR="00B8605C" w:rsidRPr="003A0C5C" w:rsidRDefault="002348BC" w:rsidP="00B8605C">
            <w:pPr>
              <w:pStyle w:val="Checklist"/>
              <w:rPr>
                <w:sz w:val="20"/>
              </w:rPr>
            </w:pPr>
            <w:sdt>
              <w:sdtPr>
                <w:id w:val="-1104033626"/>
                <w14:checkbox>
                  <w14:checked w14:val="1"/>
                  <w14:checkedState w14:val="2612" w14:font="MS Gothic"/>
                  <w14:uncheckedState w14:val="2610" w14:font="MS Gothic"/>
                </w14:checkbox>
              </w:sdtPr>
              <w:sdtEndPr/>
              <w:sdtContent>
                <w:r w:rsidR="00B8605C" w:rsidRPr="003A0C5C">
                  <w:rPr>
                    <w:rFonts w:hint="eastAsia"/>
                  </w:rPr>
                  <w:t>☒</w:t>
                </w:r>
              </w:sdtContent>
            </w:sdt>
          </w:p>
        </w:tc>
        <w:tc>
          <w:tcPr>
            <w:tcW w:w="0" w:type="auto"/>
          </w:tcPr>
          <w:p w14:paraId="104F180C" w14:textId="1F913476" w:rsidR="00B8605C" w:rsidRPr="003A0C5C" w:rsidRDefault="002348BC" w:rsidP="00B8605C">
            <w:pPr>
              <w:pStyle w:val="Checklist"/>
              <w:rPr>
                <w:sz w:val="20"/>
              </w:rPr>
            </w:pPr>
            <w:sdt>
              <w:sdtPr>
                <w:id w:val="-454953275"/>
                <w14:checkbox>
                  <w14:checked w14:val="0"/>
                  <w14:checkedState w14:val="2612" w14:font="MS Gothic"/>
                  <w14:uncheckedState w14:val="2610" w14:font="MS Gothic"/>
                </w14:checkbox>
              </w:sdtPr>
              <w:sdtEndPr/>
              <w:sdtContent>
                <w:r w:rsidR="00B8605C" w:rsidRPr="003A0C5C">
                  <w:rPr>
                    <w:rFonts w:hint="eastAsia"/>
                  </w:rPr>
                  <w:t>☐</w:t>
                </w:r>
              </w:sdtContent>
            </w:sdt>
          </w:p>
        </w:tc>
      </w:tr>
      <w:tr w:rsidR="003A0C5C" w:rsidRPr="003A0C5C" w14:paraId="12C011CC" w14:textId="77777777" w:rsidTr="005C0B7A">
        <w:trPr>
          <w:cantSplit/>
        </w:trPr>
        <w:tc>
          <w:tcPr>
            <w:tcW w:w="0" w:type="auto"/>
          </w:tcPr>
          <w:p w14:paraId="305C4715" w14:textId="7BE9EC13" w:rsidR="00B8605C" w:rsidRPr="003A0C5C" w:rsidRDefault="00B8605C" w:rsidP="00B8605C">
            <w:pPr>
              <w:pStyle w:val="Tabletextnumber"/>
            </w:pPr>
            <w:r w:rsidRPr="003A0C5C">
              <w:rPr>
                <w:rFonts w:cs="Arial"/>
                <w:szCs w:val="16"/>
              </w:rPr>
              <w:t>d)</w:t>
            </w:r>
            <w:r w:rsidRPr="003A0C5C">
              <w:rPr>
                <w:rFonts w:cs="Arial"/>
                <w:szCs w:val="16"/>
              </w:rPr>
              <w:tab/>
              <w:t>Be located on expansive soil, as defined in Table 18-1-B of the Uniform Building Code (1994), creating substantial direct or indirect risks to life or property?</w:t>
            </w:r>
          </w:p>
        </w:tc>
        <w:tc>
          <w:tcPr>
            <w:tcW w:w="0" w:type="auto"/>
          </w:tcPr>
          <w:p w14:paraId="5F1FAB39" w14:textId="77777777" w:rsidR="00B8605C" w:rsidRPr="003A0C5C" w:rsidRDefault="002348BC" w:rsidP="00B8605C">
            <w:pPr>
              <w:pStyle w:val="Checklist"/>
              <w:rPr>
                <w:sz w:val="20"/>
              </w:rPr>
            </w:pPr>
            <w:sdt>
              <w:sdtPr>
                <w:id w:val="1567450528"/>
                <w14:checkbox>
                  <w14:checked w14:val="0"/>
                  <w14:checkedState w14:val="2612" w14:font="MS Gothic"/>
                  <w14:uncheckedState w14:val="2610" w14:font="MS Gothic"/>
                </w14:checkbox>
              </w:sdtPr>
              <w:sdtEndPr/>
              <w:sdtContent>
                <w:r w:rsidR="00B8605C" w:rsidRPr="003A0C5C">
                  <w:t>☐</w:t>
                </w:r>
              </w:sdtContent>
            </w:sdt>
          </w:p>
        </w:tc>
        <w:tc>
          <w:tcPr>
            <w:tcW w:w="0" w:type="auto"/>
          </w:tcPr>
          <w:p w14:paraId="5CF88531" w14:textId="77777777" w:rsidR="00B8605C" w:rsidRPr="003A0C5C" w:rsidRDefault="002348BC" w:rsidP="00B8605C">
            <w:pPr>
              <w:pStyle w:val="Checklist"/>
              <w:rPr>
                <w:sz w:val="20"/>
              </w:rPr>
            </w:pPr>
            <w:sdt>
              <w:sdtPr>
                <w:id w:val="30773879"/>
                <w14:checkbox>
                  <w14:checked w14:val="0"/>
                  <w14:checkedState w14:val="2612" w14:font="MS Gothic"/>
                  <w14:uncheckedState w14:val="2610" w14:font="MS Gothic"/>
                </w14:checkbox>
              </w:sdtPr>
              <w:sdtEndPr/>
              <w:sdtContent>
                <w:r w:rsidR="00B8605C" w:rsidRPr="003A0C5C">
                  <w:t>☐</w:t>
                </w:r>
              </w:sdtContent>
            </w:sdt>
          </w:p>
        </w:tc>
        <w:tc>
          <w:tcPr>
            <w:tcW w:w="0" w:type="auto"/>
          </w:tcPr>
          <w:p w14:paraId="451AA0B0" w14:textId="1983AEC6" w:rsidR="00B8605C" w:rsidRPr="003A0C5C" w:rsidRDefault="002348BC" w:rsidP="00B8605C">
            <w:pPr>
              <w:pStyle w:val="Checklist"/>
              <w:rPr>
                <w:sz w:val="20"/>
              </w:rPr>
            </w:pPr>
            <w:sdt>
              <w:sdtPr>
                <w:id w:val="1126052186"/>
                <w14:checkbox>
                  <w14:checked w14:val="1"/>
                  <w14:checkedState w14:val="2612" w14:font="MS Gothic"/>
                  <w14:uncheckedState w14:val="2610" w14:font="MS Gothic"/>
                </w14:checkbox>
              </w:sdtPr>
              <w:sdtEndPr/>
              <w:sdtContent>
                <w:r w:rsidR="00B8605C" w:rsidRPr="003A0C5C">
                  <w:rPr>
                    <w:rFonts w:hint="eastAsia"/>
                  </w:rPr>
                  <w:t>☒</w:t>
                </w:r>
              </w:sdtContent>
            </w:sdt>
          </w:p>
        </w:tc>
        <w:tc>
          <w:tcPr>
            <w:tcW w:w="0" w:type="auto"/>
          </w:tcPr>
          <w:p w14:paraId="29934B64" w14:textId="41347500" w:rsidR="00B8605C" w:rsidRPr="003A0C5C" w:rsidRDefault="002348BC" w:rsidP="00B8605C">
            <w:pPr>
              <w:pStyle w:val="Checklist"/>
              <w:rPr>
                <w:sz w:val="20"/>
              </w:rPr>
            </w:pPr>
            <w:sdt>
              <w:sdtPr>
                <w:id w:val="-1833138796"/>
                <w14:checkbox>
                  <w14:checked w14:val="0"/>
                  <w14:checkedState w14:val="2612" w14:font="MS Gothic"/>
                  <w14:uncheckedState w14:val="2610" w14:font="MS Gothic"/>
                </w14:checkbox>
              </w:sdtPr>
              <w:sdtEndPr/>
              <w:sdtContent>
                <w:r w:rsidR="00B8605C" w:rsidRPr="003A0C5C">
                  <w:rPr>
                    <w:rFonts w:hint="eastAsia"/>
                  </w:rPr>
                  <w:t>☐</w:t>
                </w:r>
              </w:sdtContent>
            </w:sdt>
          </w:p>
        </w:tc>
      </w:tr>
      <w:tr w:rsidR="003A0C5C" w:rsidRPr="003A0C5C" w14:paraId="3279427F" w14:textId="77777777" w:rsidTr="005C0B7A">
        <w:trPr>
          <w:cantSplit/>
        </w:trPr>
        <w:tc>
          <w:tcPr>
            <w:tcW w:w="0" w:type="auto"/>
          </w:tcPr>
          <w:p w14:paraId="6D778A1C" w14:textId="5AB88C85" w:rsidR="00B8605C" w:rsidRPr="003A0C5C" w:rsidRDefault="00B8605C" w:rsidP="00B8605C">
            <w:pPr>
              <w:pStyle w:val="Tabletextnumber"/>
            </w:pPr>
            <w:r w:rsidRPr="003A0C5C">
              <w:rPr>
                <w:rFonts w:cs="Arial"/>
                <w:szCs w:val="16"/>
              </w:rPr>
              <w:t>e)</w:t>
            </w:r>
            <w:r w:rsidRPr="003A0C5C">
              <w:rPr>
                <w:rFonts w:cs="Arial"/>
                <w:szCs w:val="16"/>
              </w:rPr>
              <w:tab/>
              <w:t>Have soils incapable of adequately supporting the use of septic tanks or alternative waste water disposal systems where sewers are not available for the disposal of waste water?</w:t>
            </w:r>
          </w:p>
        </w:tc>
        <w:tc>
          <w:tcPr>
            <w:tcW w:w="0" w:type="auto"/>
          </w:tcPr>
          <w:p w14:paraId="1DFA4D8F" w14:textId="77777777" w:rsidR="00B8605C" w:rsidRPr="003A0C5C" w:rsidRDefault="002348BC" w:rsidP="00B8605C">
            <w:pPr>
              <w:pStyle w:val="Checklist"/>
              <w:rPr>
                <w:sz w:val="20"/>
              </w:rPr>
            </w:pPr>
            <w:sdt>
              <w:sdtPr>
                <w:id w:val="-637879040"/>
                <w14:checkbox>
                  <w14:checked w14:val="0"/>
                  <w14:checkedState w14:val="2612" w14:font="MS Gothic"/>
                  <w14:uncheckedState w14:val="2610" w14:font="MS Gothic"/>
                </w14:checkbox>
              </w:sdtPr>
              <w:sdtEndPr/>
              <w:sdtContent>
                <w:r w:rsidR="00B8605C" w:rsidRPr="003A0C5C">
                  <w:t>☐</w:t>
                </w:r>
              </w:sdtContent>
            </w:sdt>
          </w:p>
        </w:tc>
        <w:tc>
          <w:tcPr>
            <w:tcW w:w="0" w:type="auto"/>
          </w:tcPr>
          <w:p w14:paraId="267E2451" w14:textId="77777777" w:rsidR="00B8605C" w:rsidRPr="003A0C5C" w:rsidRDefault="002348BC" w:rsidP="00B8605C">
            <w:pPr>
              <w:pStyle w:val="Checklist"/>
              <w:rPr>
                <w:sz w:val="20"/>
              </w:rPr>
            </w:pPr>
            <w:sdt>
              <w:sdtPr>
                <w:id w:val="485596184"/>
                <w14:checkbox>
                  <w14:checked w14:val="0"/>
                  <w14:checkedState w14:val="2612" w14:font="MS Gothic"/>
                  <w14:uncheckedState w14:val="2610" w14:font="MS Gothic"/>
                </w14:checkbox>
              </w:sdtPr>
              <w:sdtEndPr/>
              <w:sdtContent>
                <w:r w:rsidR="00B8605C" w:rsidRPr="003A0C5C">
                  <w:t>☐</w:t>
                </w:r>
              </w:sdtContent>
            </w:sdt>
          </w:p>
        </w:tc>
        <w:tc>
          <w:tcPr>
            <w:tcW w:w="0" w:type="auto"/>
          </w:tcPr>
          <w:p w14:paraId="50440833" w14:textId="77777777" w:rsidR="00B8605C" w:rsidRPr="003A0C5C" w:rsidRDefault="002348BC" w:rsidP="00B8605C">
            <w:pPr>
              <w:pStyle w:val="Checklist"/>
              <w:rPr>
                <w:sz w:val="20"/>
              </w:rPr>
            </w:pPr>
            <w:sdt>
              <w:sdtPr>
                <w:id w:val="-1774771496"/>
                <w14:checkbox>
                  <w14:checked w14:val="0"/>
                  <w14:checkedState w14:val="2612" w14:font="MS Gothic"/>
                  <w14:uncheckedState w14:val="2610" w14:font="MS Gothic"/>
                </w14:checkbox>
              </w:sdtPr>
              <w:sdtEndPr/>
              <w:sdtContent>
                <w:r w:rsidR="00B8605C" w:rsidRPr="003A0C5C">
                  <w:rPr>
                    <w:rFonts w:hint="eastAsia"/>
                  </w:rPr>
                  <w:t>☐</w:t>
                </w:r>
              </w:sdtContent>
            </w:sdt>
          </w:p>
        </w:tc>
        <w:tc>
          <w:tcPr>
            <w:tcW w:w="0" w:type="auto"/>
          </w:tcPr>
          <w:p w14:paraId="5CFB5F06" w14:textId="77777777" w:rsidR="00B8605C" w:rsidRPr="003A0C5C" w:rsidRDefault="002348BC" w:rsidP="00B8605C">
            <w:pPr>
              <w:pStyle w:val="Checklist"/>
              <w:rPr>
                <w:sz w:val="20"/>
              </w:rPr>
            </w:pPr>
            <w:sdt>
              <w:sdtPr>
                <w:id w:val="432709899"/>
                <w14:checkbox>
                  <w14:checked w14:val="1"/>
                  <w14:checkedState w14:val="2612" w14:font="MS Gothic"/>
                  <w14:uncheckedState w14:val="2610" w14:font="MS Gothic"/>
                </w14:checkbox>
              </w:sdtPr>
              <w:sdtEndPr/>
              <w:sdtContent>
                <w:r w:rsidR="00B8605C" w:rsidRPr="003A0C5C">
                  <w:rPr>
                    <w:rFonts w:hint="eastAsia"/>
                  </w:rPr>
                  <w:t>☒</w:t>
                </w:r>
              </w:sdtContent>
            </w:sdt>
          </w:p>
        </w:tc>
      </w:tr>
      <w:tr w:rsidR="00B8605C" w:rsidRPr="003A0C5C" w14:paraId="16C4C2CD" w14:textId="77777777" w:rsidTr="005C0B7A">
        <w:trPr>
          <w:cantSplit/>
        </w:trPr>
        <w:tc>
          <w:tcPr>
            <w:tcW w:w="0" w:type="auto"/>
          </w:tcPr>
          <w:p w14:paraId="70F8C964" w14:textId="465CD11F" w:rsidR="00B8605C" w:rsidRPr="003A0C5C" w:rsidRDefault="00B8605C" w:rsidP="00B8605C">
            <w:pPr>
              <w:pStyle w:val="Tabletextnumber"/>
            </w:pPr>
            <w:r w:rsidRPr="003A0C5C">
              <w:rPr>
                <w:rFonts w:cs="Arial"/>
                <w:szCs w:val="16"/>
              </w:rPr>
              <w:t>f)</w:t>
            </w:r>
            <w:r w:rsidRPr="003A0C5C">
              <w:rPr>
                <w:rFonts w:cs="Arial"/>
                <w:szCs w:val="16"/>
              </w:rPr>
              <w:tab/>
              <w:t>Directly or indirectly destroy a unique paleontological resource or site or unique geologic feature?</w:t>
            </w:r>
          </w:p>
        </w:tc>
        <w:tc>
          <w:tcPr>
            <w:tcW w:w="0" w:type="auto"/>
          </w:tcPr>
          <w:p w14:paraId="1352F791" w14:textId="06509DDA" w:rsidR="00B8605C" w:rsidRPr="003A0C5C" w:rsidRDefault="002348BC" w:rsidP="00B8605C">
            <w:pPr>
              <w:pStyle w:val="Checklist"/>
              <w:rPr>
                <w:sz w:val="20"/>
              </w:rPr>
            </w:pPr>
            <w:sdt>
              <w:sdtPr>
                <w:id w:val="-2112503459"/>
                <w14:checkbox>
                  <w14:checked w14:val="0"/>
                  <w14:checkedState w14:val="2612" w14:font="MS Gothic"/>
                  <w14:uncheckedState w14:val="2610" w14:font="MS Gothic"/>
                </w14:checkbox>
              </w:sdtPr>
              <w:sdtEndPr/>
              <w:sdtContent>
                <w:r w:rsidR="00717D29" w:rsidRPr="003A0C5C">
                  <w:rPr>
                    <w:rFonts w:hint="eastAsia"/>
                  </w:rPr>
                  <w:t>☐</w:t>
                </w:r>
              </w:sdtContent>
            </w:sdt>
          </w:p>
        </w:tc>
        <w:tc>
          <w:tcPr>
            <w:tcW w:w="0" w:type="auto"/>
          </w:tcPr>
          <w:p w14:paraId="70F0416D" w14:textId="62F6EA7A" w:rsidR="00B8605C" w:rsidRPr="003A0C5C" w:rsidRDefault="002348BC" w:rsidP="00B8605C">
            <w:pPr>
              <w:pStyle w:val="Checklist"/>
              <w:rPr>
                <w:sz w:val="20"/>
              </w:rPr>
            </w:pPr>
            <w:sdt>
              <w:sdtPr>
                <w:id w:val="-2130392133"/>
                <w14:checkbox>
                  <w14:checked w14:val="0"/>
                  <w14:checkedState w14:val="2612" w14:font="MS Gothic"/>
                  <w14:uncheckedState w14:val="2610" w14:font="MS Gothic"/>
                </w14:checkbox>
              </w:sdtPr>
              <w:sdtEndPr/>
              <w:sdtContent>
                <w:r w:rsidR="0002030B" w:rsidRPr="003A0C5C">
                  <w:t>☐</w:t>
                </w:r>
              </w:sdtContent>
            </w:sdt>
          </w:p>
        </w:tc>
        <w:tc>
          <w:tcPr>
            <w:tcW w:w="0" w:type="auto"/>
          </w:tcPr>
          <w:p w14:paraId="4C0AE4F0" w14:textId="77777777" w:rsidR="00B8605C" w:rsidRPr="003A0C5C" w:rsidRDefault="002348BC" w:rsidP="00B8605C">
            <w:pPr>
              <w:pStyle w:val="Checklist"/>
              <w:rPr>
                <w:sz w:val="20"/>
              </w:rPr>
            </w:pPr>
            <w:sdt>
              <w:sdtPr>
                <w:id w:val="475037243"/>
                <w14:checkbox>
                  <w14:checked w14:val="0"/>
                  <w14:checkedState w14:val="2612" w14:font="MS Gothic"/>
                  <w14:uncheckedState w14:val="2610" w14:font="MS Gothic"/>
                </w14:checkbox>
              </w:sdtPr>
              <w:sdtEndPr/>
              <w:sdtContent>
                <w:r w:rsidR="00B8605C" w:rsidRPr="003A0C5C">
                  <w:t>☐</w:t>
                </w:r>
              </w:sdtContent>
            </w:sdt>
          </w:p>
        </w:tc>
        <w:tc>
          <w:tcPr>
            <w:tcW w:w="0" w:type="auto"/>
          </w:tcPr>
          <w:p w14:paraId="58FDAC38" w14:textId="43F416D6" w:rsidR="00B8605C" w:rsidRPr="003A0C5C" w:rsidRDefault="002348BC" w:rsidP="00B8605C">
            <w:pPr>
              <w:pStyle w:val="Checklist"/>
              <w:rPr>
                <w:sz w:val="20"/>
              </w:rPr>
            </w:pPr>
            <w:sdt>
              <w:sdtPr>
                <w:id w:val="-376700450"/>
                <w14:checkbox>
                  <w14:checked w14:val="1"/>
                  <w14:checkedState w14:val="2612" w14:font="MS Gothic"/>
                  <w14:uncheckedState w14:val="2610" w14:font="MS Gothic"/>
                </w14:checkbox>
              </w:sdtPr>
              <w:sdtEndPr/>
              <w:sdtContent>
                <w:r w:rsidR="0072184A" w:rsidRPr="003A0C5C">
                  <w:t>☒</w:t>
                </w:r>
              </w:sdtContent>
            </w:sdt>
          </w:p>
        </w:tc>
      </w:tr>
    </w:tbl>
    <w:p w14:paraId="509CF3D3" w14:textId="77777777" w:rsidR="00957C8B" w:rsidRPr="003A0C5C" w:rsidRDefault="00957C8B" w:rsidP="00957C8B">
      <w:pPr>
        <w:pStyle w:val="TableNotes"/>
      </w:pPr>
    </w:p>
    <w:p w14:paraId="0DBFAC1E" w14:textId="72E9531E" w:rsidR="00164FB0" w:rsidRPr="003A0C5C" w:rsidRDefault="00164FB0" w:rsidP="00164FB0">
      <w:pPr>
        <w:pStyle w:val="12space"/>
        <w:keepNext/>
        <w:spacing w:after="180"/>
      </w:pPr>
      <w:r w:rsidRPr="003A0C5C">
        <w:t xml:space="preserve">This section is based in part on the Geotechnical Investigation, Proposed Commercial Development 21611 South Perry Street, Carson, California, APN: 7327-010-014 (Geotechnical Investigation), prepared by </w:t>
      </w:r>
      <w:proofErr w:type="spellStart"/>
      <w:r w:rsidRPr="003A0C5C">
        <w:t>Geocon</w:t>
      </w:r>
      <w:proofErr w:type="spellEnd"/>
      <w:r w:rsidRPr="003A0C5C">
        <w:t xml:space="preserve"> West, Inc., dated April 23, 2021 (refer to </w:t>
      </w:r>
      <w:r w:rsidR="007654F1" w:rsidRPr="003A0C5C">
        <w:rPr>
          <w:b/>
          <w:bCs/>
        </w:rPr>
        <w:t>Appendix</w:t>
      </w:r>
      <w:r w:rsidRPr="003A0C5C">
        <w:rPr>
          <w:b/>
          <w:bCs/>
        </w:rPr>
        <w:t xml:space="preserve"> </w:t>
      </w:r>
      <w:r w:rsidR="00ED3686" w:rsidRPr="003A0C5C">
        <w:rPr>
          <w:b/>
          <w:bCs/>
        </w:rPr>
        <w:t>E</w:t>
      </w:r>
      <w:r w:rsidRPr="003A0C5C">
        <w:t xml:space="preserve"> of this IS/MND).</w:t>
      </w:r>
      <w:r w:rsidR="0045775C" w:rsidRPr="003A0C5C">
        <w:t xml:space="preserve"> Additionally, this section is based on the Paleontological Resources Assessment Report, prepared by ESA, dated January 2022 (refer to </w:t>
      </w:r>
      <w:r w:rsidR="0045775C" w:rsidRPr="003A0C5C">
        <w:rPr>
          <w:b/>
          <w:bCs/>
        </w:rPr>
        <w:t>Appendix F</w:t>
      </w:r>
      <w:r w:rsidR="0045775C" w:rsidRPr="003A0C5C">
        <w:t xml:space="preserve"> of this IS/MND). </w:t>
      </w:r>
      <w:r w:rsidR="00D33A9E" w:rsidRPr="003A0C5C">
        <w:t>Appendix F</w:t>
      </w:r>
      <w:r w:rsidR="00D33A9E" w:rsidRPr="003A0C5C" w:rsidDel="00D33A9E">
        <w:t xml:space="preserve"> </w:t>
      </w:r>
      <w:r w:rsidR="00D33A9E" w:rsidRPr="003A0C5C">
        <w:t>is confidential and not for public distribution.</w:t>
      </w:r>
    </w:p>
    <w:p w14:paraId="3042C603" w14:textId="77777777" w:rsidR="00957C8B" w:rsidRPr="003A0C5C" w:rsidRDefault="00957C8B" w:rsidP="00957C8B">
      <w:pPr>
        <w:pStyle w:val="Heading5"/>
      </w:pPr>
      <w:r w:rsidRPr="003A0C5C">
        <w:t>Discussion</w:t>
      </w:r>
    </w:p>
    <w:p w14:paraId="5BA0436D" w14:textId="74F57C53" w:rsidR="00F92AE1" w:rsidRPr="003A0C5C" w:rsidRDefault="004F426E" w:rsidP="00AC09DD">
      <w:pPr>
        <w:pStyle w:val="12spaceindent"/>
        <w:rPr>
          <w:highlight w:val="yellow"/>
        </w:rPr>
      </w:pPr>
      <w:proofErr w:type="spellStart"/>
      <w:r w:rsidRPr="003A0C5C">
        <w:t>a.i</w:t>
      </w:r>
      <w:proofErr w:type="spellEnd"/>
      <w:r w:rsidRPr="003A0C5C">
        <w:t>)</w:t>
      </w:r>
      <w:r w:rsidRPr="003A0C5C">
        <w:tab/>
        <w:t>The project site is located in the seismically active Southern California Region; however, it is not within an Alquist-Priolo Zone. The City</w:t>
      </w:r>
      <w:r w:rsidR="00D678AB" w:rsidRPr="003A0C5C">
        <w:t>’</w:t>
      </w:r>
      <w:r w:rsidRPr="003A0C5C">
        <w:t xml:space="preserve">s General Plan Regional Fault Map indicates that the project site is </w:t>
      </w:r>
      <w:r w:rsidR="0076674F" w:rsidRPr="003A0C5C">
        <w:t xml:space="preserve">within the Avalon-Compton fault zone, which is part of the larger Newport Inglewood fault </w:t>
      </w:r>
      <w:r w:rsidR="000A6B28" w:rsidRPr="003A0C5C">
        <w:t xml:space="preserve">zone </w:t>
      </w:r>
      <w:r w:rsidR="00852967" w:rsidRPr="003A0C5C">
        <w:t>(City of Carson</w:t>
      </w:r>
      <w:r w:rsidRPr="003A0C5C">
        <w:t xml:space="preserve"> 2004). </w:t>
      </w:r>
      <w:r w:rsidR="0076674F" w:rsidRPr="003A0C5C">
        <w:t xml:space="preserve">The Avalon-Compton fault zone is located approximately </w:t>
      </w:r>
      <w:r w:rsidR="00EF4AF5" w:rsidRPr="003A0C5C">
        <w:t>2.69 miles north</w:t>
      </w:r>
      <w:r w:rsidR="0076674F" w:rsidRPr="003A0C5C">
        <w:t xml:space="preserve"> of the project site; however, as stated in the City</w:t>
      </w:r>
      <w:r w:rsidR="00D678AB" w:rsidRPr="003A0C5C">
        <w:t>’</w:t>
      </w:r>
      <w:r w:rsidR="0076674F" w:rsidRPr="003A0C5C">
        <w:t>s General Plan</w:t>
      </w:r>
      <w:r w:rsidR="00940B5E" w:rsidRPr="003A0C5C">
        <w:t xml:space="preserve"> and the California </w:t>
      </w:r>
      <w:r w:rsidR="007874AF" w:rsidRPr="003A0C5C">
        <w:t>Geological Survey</w:t>
      </w:r>
      <w:r w:rsidR="00940B5E" w:rsidRPr="003A0C5C">
        <w:t xml:space="preserve"> (C</w:t>
      </w:r>
      <w:r w:rsidR="007874AF" w:rsidRPr="003A0C5C">
        <w:t>GS</w:t>
      </w:r>
      <w:r w:rsidR="00940B5E" w:rsidRPr="003A0C5C">
        <w:t xml:space="preserve"> 2021)</w:t>
      </w:r>
      <w:r w:rsidR="0076674F" w:rsidRPr="003A0C5C">
        <w:t>, surface faulting is not considered a significant potential hazard for properties located within the City.</w:t>
      </w:r>
    </w:p>
    <w:p w14:paraId="1154747C" w14:textId="07E96FAB" w:rsidR="00634B71" w:rsidRPr="003A0C5C" w:rsidRDefault="0076674F" w:rsidP="00261611">
      <w:pPr>
        <w:pStyle w:val="12spaceindentcontinue"/>
      </w:pPr>
      <w:r w:rsidRPr="003A0C5C">
        <w:t xml:space="preserve">Furthermore, </w:t>
      </w:r>
      <w:r w:rsidR="004F426E" w:rsidRPr="003A0C5C">
        <w:t>the</w:t>
      </w:r>
      <w:r w:rsidR="00D54079" w:rsidRPr="003A0C5C">
        <w:t xml:space="preserve"> </w:t>
      </w:r>
      <w:r w:rsidR="00C10216" w:rsidRPr="003A0C5C">
        <w:t xml:space="preserve">proposed </w:t>
      </w:r>
      <w:r w:rsidR="00D54079" w:rsidRPr="003A0C5C">
        <w:t>project</w:t>
      </w:r>
      <w:r w:rsidR="00D678AB" w:rsidRPr="003A0C5C">
        <w:t>’</w:t>
      </w:r>
      <w:r w:rsidR="00D54079" w:rsidRPr="003A0C5C">
        <w:t>s</w:t>
      </w:r>
      <w:r w:rsidR="004F426E" w:rsidRPr="003A0C5C">
        <w:t xml:space="preserve"> building design and construction would be required to conform to the current seismic design provisions of the City</w:t>
      </w:r>
      <w:r w:rsidR="00D678AB" w:rsidRPr="003A0C5C">
        <w:t>’</w:t>
      </w:r>
      <w:r w:rsidR="004F426E" w:rsidRPr="003A0C5C">
        <w:t xml:space="preserve">s Building Code, which incorporates relevant provisions of the </w:t>
      </w:r>
      <w:r w:rsidR="00DB7A0D" w:rsidRPr="003A0C5C">
        <w:t>2019</w:t>
      </w:r>
      <w:r w:rsidR="004F426E" w:rsidRPr="003A0C5C">
        <w:t xml:space="preserve"> Californ</w:t>
      </w:r>
      <w:r w:rsidR="00DB7A0D" w:rsidRPr="003A0C5C">
        <w:t>ia Building Code (CBC). The 2019</w:t>
      </w:r>
      <w:r w:rsidR="004F426E" w:rsidRPr="003A0C5C">
        <w:t xml:space="preserve"> </w:t>
      </w:r>
      <w:r w:rsidR="004F426E" w:rsidRPr="003A0C5C">
        <w:lastRenderedPageBreak/>
        <w:t>CBC, as amended by the City</w:t>
      </w:r>
      <w:r w:rsidR="00D678AB" w:rsidRPr="003A0C5C">
        <w:t>’</w:t>
      </w:r>
      <w:r w:rsidR="004F426E" w:rsidRPr="003A0C5C">
        <w:t xml:space="preserve">s Building Code, incorporates the latest seismic design standards for structural loads and materials to provide for the latest in earthquake safety. </w:t>
      </w:r>
      <w:r w:rsidR="00634B71" w:rsidRPr="003A0C5C">
        <w:t xml:space="preserve">With adherence to the latest CBC, the latest California seismic design requirements </w:t>
      </w:r>
      <w:r w:rsidR="00D54079" w:rsidRPr="003A0C5C">
        <w:t xml:space="preserve">would </w:t>
      </w:r>
      <w:r w:rsidR="00634B71" w:rsidRPr="003A0C5C">
        <w:t xml:space="preserve">be included in the </w:t>
      </w:r>
      <w:r w:rsidR="00C10216" w:rsidRPr="003A0C5C">
        <w:t xml:space="preserve">proposed </w:t>
      </w:r>
      <w:r w:rsidR="00D54079" w:rsidRPr="003A0C5C">
        <w:t>project</w:t>
      </w:r>
      <w:r w:rsidR="00D678AB" w:rsidRPr="003A0C5C">
        <w:t>’</w:t>
      </w:r>
      <w:r w:rsidR="00D54079" w:rsidRPr="003A0C5C">
        <w:t xml:space="preserve">s </w:t>
      </w:r>
      <w:r w:rsidR="00634B71" w:rsidRPr="003A0C5C">
        <w:t>building design and inspected by the City during construction</w:t>
      </w:r>
      <w:r w:rsidR="00126F76" w:rsidRPr="003A0C5C">
        <w:t>;</w:t>
      </w:r>
      <w:r w:rsidR="00634B71" w:rsidRPr="003A0C5C">
        <w:t xml:space="preserve"> therefore</w:t>
      </w:r>
      <w:r w:rsidR="00126F76" w:rsidRPr="003A0C5C">
        <w:t>,</w:t>
      </w:r>
      <w:r w:rsidR="00634B71" w:rsidRPr="003A0C5C">
        <w:t xml:space="preserve"> impacts would be less than significant.</w:t>
      </w:r>
    </w:p>
    <w:p w14:paraId="0BF9F16D" w14:textId="4F11A314" w:rsidR="00F92AE1" w:rsidRPr="003A0C5C" w:rsidRDefault="004F426E" w:rsidP="00403F6E">
      <w:pPr>
        <w:pStyle w:val="12spaceindent"/>
        <w:rPr>
          <w:rFonts w:cs="Times New Roman"/>
          <w:szCs w:val="22"/>
        </w:rPr>
      </w:pPr>
      <w:proofErr w:type="spellStart"/>
      <w:r w:rsidRPr="003A0C5C">
        <w:t>a.ii</w:t>
      </w:r>
      <w:proofErr w:type="spellEnd"/>
      <w:r w:rsidRPr="003A0C5C">
        <w:t>)</w:t>
      </w:r>
      <w:r w:rsidRPr="003A0C5C">
        <w:tab/>
        <w:t xml:space="preserve">The entire Southern California region including the project site, is susceptible to strong ground shaking from severe earthquakes. The level of ground shaking that would be experienced at the project site from active or potentially active faults or blind thrust faults in the region would be a function of several factors including earthquake magnitude, type of faulting, rupture propagation path, distance from the epicenter, earthquake depth, duration of shaking, site topography, and site geology. As discussed above, the building design </w:t>
      </w:r>
      <w:r w:rsidR="009F0294" w:rsidRPr="003A0C5C">
        <w:t xml:space="preserve">would </w:t>
      </w:r>
      <w:r w:rsidR="00983CD2" w:rsidRPr="003A0C5C">
        <w:t>be</w:t>
      </w:r>
      <w:r w:rsidRPr="003A0C5C">
        <w:t xml:space="preserve"> reviewed and approved by the City</w:t>
      </w:r>
      <w:r w:rsidR="00D678AB" w:rsidRPr="003A0C5C">
        <w:t>’</w:t>
      </w:r>
      <w:r w:rsidRPr="003A0C5C">
        <w:t xml:space="preserve">s building inspectors before </w:t>
      </w:r>
      <w:r w:rsidR="00A425EB" w:rsidRPr="003A0C5C">
        <w:t>construction</w:t>
      </w:r>
      <w:r w:rsidRPr="003A0C5C">
        <w:t xml:space="preserve"> permits </w:t>
      </w:r>
      <w:r w:rsidR="009F0294" w:rsidRPr="003A0C5C">
        <w:t>are</w:t>
      </w:r>
      <w:r w:rsidRPr="003A0C5C">
        <w:t xml:space="preserve"> issued to ensure the </w:t>
      </w:r>
      <w:r w:rsidR="00497241" w:rsidRPr="003A0C5C">
        <w:t>proposed</w:t>
      </w:r>
      <w:r w:rsidRPr="003A0C5C">
        <w:t xml:space="preserve"> project </w:t>
      </w:r>
      <w:r w:rsidR="00983CD2" w:rsidRPr="003A0C5C">
        <w:t>i</w:t>
      </w:r>
      <w:r w:rsidRPr="003A0C5C">
        <w:t>s constructed in accordance with the CBC, and thereby the City</w:t>
      </w:r>
      <w:r w:rsidR="00D678AB" w:rsidRPr="003A0C5C">
        <w:t>’</w:t>
      </w:r>
      <w:r w:rsidRPr="003A0C5C">
        <w:t xml:space="preserve">s Building Code, which includes requirements for structures that reduce the potential for exposure of people or structures to seismic risks </w:t>
      </w:r>
      <w:r w:rsidR="00634B71" w:rsidRPr="003A0C5C">
        <w:t xml:space="preserve">to the maximum extent possible. </w:t>
      </w:r>
      <w:r w:rsidR="00634B71" w:rsidRPr="003A0C5C">
        <w:rPr>
          <w:rFonts w:cs="Times New Roman"/>
          <w:szCs w:val="22"/>
        </w:rPr>
        <w:t>Therefore, a less</w:t>
      </w:r>
      <w:r w:rsidR="00126F76" w:rsidRPr="003A0C5C">
        <w:rPr>
          <w:rFonts w:cs="Times New Roman"/>
          <w:szCs w:val="22"/>
        </w:rPr>
        <w:t>-</w:t>
      </w:r>
      <w:r w:rsidR="00634B71" w:rsidRPr="003A0C5C">
        <w:rPr>
          <w:rFonts w:cs="Times New Roman"/>
          <w:szCs w:val="22"/>
        </w:rPr>
        <w:t>than</w:t>
      </w:r>
      <w:r w:rsidR="00126F76" w:rsidRPr="003A0C5C">
        <w:rPr>
          <w:rFonts w:cs="Times New Roman"/>
          <w:szCs w:val="22"/>
        </w:rPr>
        <w:t>-</w:t>
      </w:r>
      <w:r w:rsidR="00634B71" w:rsidRPr="003A0C5C">
        <w:rPr>
          <w:rFonts w:cs="Times New Roman"/>
          <w:szCs w:val="22"/>
        </w:rPr>
        <w:t>significant</w:t>
      </w:r>
      <w:r w:rsidRPr="003A0C5C">
        <w:rPr>
          <w:rFonts w:cs="Times New Roman"/>
          <w:szCs w:val="22"/>
        </w:rPr>
        <w:t xml:space="preserve"> impact associated with strong seismic ground shaking would occur.</w:t>
      </w:r>
    </w:p>
    <w:p w14:paraId="024AFB00" w14:textId="72AA16EC" w:rsidR="00F92AE1" w:rsidRPr="003A0C5C" w:rsidRDefault="004F426E" w:rsidP="00D14C10">
      <w:pPr>
        <w:pStyle w:val="12spaceindent"/>
      </w:pPr>
      <w:proofErr w:type="spellStart"/>
      <w:r w:rsidRPr="003A0C5C">
        <w:t>a.iii</w:t>
      </w:r>
      <w:proofErr w:type="spellEnd"/>
      <w:r w:rsidRPr="003A0C5C">
        <w:t>)</w:t>
      </w:r>
      <w:r w:rsidRPr="003A0C5C">
        <w:tab/>
        <w:t xml:space="preserve">Liquefaction is a seismic phenomenon in which loose, saturated, granular soils behave similarly to a fluid when subject to high-intensity ground shaking. Specifically, liquefaction occurs when the shock waves from an earthquake of sufficient magnitude and duration compact and decrease the volume of the soil; if drainage cannot occur, this reduction in soil volume will increase the pressure exerted on the water contained in the soil, forcing it upward to the ground surface. This process can transform stable soil material into a fluid-like state. This fluid-like state can result in horizontal and vertical movements of soils and building foundations from lateral spreading of liquefied materials and post-earthquake settlement of liquefied materials. Liquefaction occurs when three general conditions exist: </w:t>
      </w:r>
      <w:r w:rsidR="00D20510" w:rsidRPr="003A0C5C">
        <w:t>(</w:t>
      </w:r>
      <w:r w:rsidRPr="003A0C5C">
        <w:t xml:space="preserve">1) shallow groundwater; </w:t>
      </w:r>
      <w:r w:rsidR="00D20510" w:rsidRPr="003A0C5C">
        <w:t>(</w:t>
      </w:r>
      <w:r w:rsidRPr="003A0C5C">
        <w:t>2) low</w:t>
      </w:r>
      <w:r w:rsidR="001B5633" w:rsidRPr="003A0C5C">
        <w:t>-</w:t>
      </w:r>
      <w:r w:rsidRPr="003A0C5C">
        <w:t xml:space="preserve">density non-cohesive (granular) soils; and </w:t>
      </w:r>
      <w:r w:rsidR="00D20510" w:rsidRPr="003A0C5C">
        <w:t>(</w:t>
      </w:r>
      <w:r w:rsidRPr="003A0C5C">
        <w:t>3) high-intensity ground motion.</w:t>
      </w:r>
    </w:p>
    <w:p w14:paraId="3CCFE744" w14:textId="296BC533" w:rsidR="00F92AE1" w:rsidRPr="003A0C5C" w:rsidRDefault="00D019AD" w:rsidP="003F7F96">
      <w:pPr>
        <w:pStyle w:val="12spaceindent"/>
        <w:rPr>
          <w:highlight w:val="yellow"/>
        </w:rPr>
      </w:pPr>
      <w:r w:rsidRPr="003A0C5C">
        <w:tab/>
        <w:t>A review of the State of California Seismic Hazard Zone Map for the Torrance Quadrangle (CDMG</w:t>
      </w:r>
      <w:r w:rsidR="00D14C10" w:rsidRPr="003A0C5C">
        <w:t xml:space="preserve"> </w:t>
      </w:r>
      <w:r w:rsidRPr="003A0C5C">
        <w:t xml:space="preserve">1999) indicates that the </w:t>
      </w:r>
      <w:r w:rsidR="000B225C" w:rsidRPr="003A0C5C">
        <w:t xml:space="preserve">project </w:t>
      </w:r>
      <w:r w:rsidRPr="003A0C5C">
        <w:t xml:space="preserve">site is located in an area designated as having a potential for liquefaction. Furthermore, </w:t>
      </w:r>
      <w:r w:rsidR="0085333B" w:rsidRPr="003A0C5C">
        <w:t>t</w:t>
      </w:r>
      <w:r w:rsidRPr="003A0C5C">
        <w:t>he City of Carson (</w:t>
      </w:r>
      <w:r w:rsidR="003F7F96" w:rsidRPr="003A0C5C">
        <w:t xml:space="preserve">City of Carson </w:t>
      </w:r>
      <w:r w:rsidRPr="003A0C5C">
        <w:t>2002) indicates the</w:t>
      </w:r>
      <w:r w:rsidR="00E91065" w:rsidRPr="003A0C5C">
        <w:t xml:space="preserve"> project</w:t>
      </w:r>
      <w:r w:rsidRPr="003A0C5C">
        <w:t xml:space="preserve"> site is located within an area that has a potential for liquefaction. </w:t>
      </w:r>
      <w:r w:rsidR="004E6215" w:rsidRPr="003A0C5C">
        <w:t xml:space="preserve">The Geotechnical </w:t>
      </w:r>
      <w:r w:rsidR="00164FB0" w:rsidRPr="003A0C5C">
        <w:t xml:space="preserve">Investigation </w:t>
      </w:r>
      <w:r w:rsidR="004E6215" w:rsidRPr="003A0C5C">
        <w:t>prepared for the proposed project performed a liquefaction analysis. The analysis indicates that the alluvial soils could be susceptible to the liquefaction induced settlements. The foundation design recommendations that would be implemented based on a Final Geotechnical Report would minimize the effects of settlement from liquefaction. In addition, the</w:t>
      </w:r>
      <w:r w:rsidR="004F426E" w:rsidRPr="003A0C5C">
        <w:t xml:space="preserve"> </w:t>
      </w:r>
      <w:r w:rsidR="00634B71" w:rsidRPr="003A0C5C">
        <w:t xml:space="preserve">proposed </w:t>
      </w:r>
      <w:r w:rsidR="000531C0" w:rsidRPr="003A0C5C">
        <w:t>project</w:t>
      </w:r>
      <w:r w:rsidR="00634B71" w:rsidRPr="003A0C5C">
        <w:t xml:space="preserve"> would be</w:t>
      </w:r>
      <w:r w:rsidR="004F426E" w:rsidRPr="003A0C5C">
        <w:t xml:space="preserve"> constructed in accordance with the CBC,</w:t>
      </w:r>
      <w:r w:rsidR="009346CD" w:rsidRPr="003A0C5C">
        <w:t xml:space="preserve"> and thereby the City</w:t>
      </w:r>
      <w:r w:rsidR="00D678AB" w:rsidRPr="003A0C5C">
        <w:t>’</w:t>
      </w:r>
      <w:r w:rsidR="009346CD" w:rsidRPr="003A0C5C">
        <w:t>s Building Code,</w:t>
      </w:r>
      <w:r w:rsidR="004F426E" w:rsidRPr="003A0C5C">
        <w:t xml:space="preserve"> which includes requirements for structures that reduce the potential for exposure of people or structures to seismic risks to the maximum extent pos</w:t>
      </w:r>
      <w:r w:rsidR="00634B71" w:rsidRPr="003A0C5C">
        <w:t xml:space="preserve">sible, including liquefaction. </w:t>
      </w:r>
      <w:r w:rsidR="004F426E" w:rsidRPr="003A0C5C">
        <w:t xml:space="preserve">As such, the proposed project would not expose additional people or structures to potential substantial </w:t>
      </w:r>
      <w:r w:rsidR="004F426E" w:rsidRPr="003A0C5C">
        <w:lastRenderedPageBreak/>
        <w:t xml:space="preserve">adverse effects associated with liquefaction. Therefore, </w:t>
      </w:r>
      <w:r w:rsidR="00634B71" w:rsidRPr="003A0C5C">
        <w:t>a less</w:t>
      </w:r>
      <w:r w:rsidR="001B5633" w:rsidRPr="003A0C5C">
        <w:t>-</w:t>
      </w:r>
      <w:r w:rsidR="00634B71" w:rsidRPr="003A0C5C">
        <w:t>than</w:t>
      </w:r>
      <w:r w:rsidR="001B5633" w:rsidRPr="003A0C5C">
        <w:t>-</w:t>
      </w:r>
      <w:r w:rsidR="00634B71" w:rsidRPr="003A0C5C">
        <w:t>significant impact</w:t>
      </w:r>
      <w:r w:rsidR="004E6215" w:rsidRPr="003A0C5C">
        <w:t xml:space="preserve"> associated with liquefaction</w:t>
      </w:r>
      <w:r w:rsidR="00634B71" w:rsidRPr="003A0C5C">
        <w:t xml:space="preserve"> would occur.</w:t>
      </w:r>
    </w:p>
    <w:p w14:paraId="716DC211" w14:textId="486DFD4C" w:rsidR="00F92AE1" w:rsidRPr="003A0C5C" w:rsidRDefault="004F426E" w:rsidP="00536ED0">
      <w:pPr>
        <w:pStyle w:val="12spaceindent"/>
      </w:pPr>
      <w:proofErr w:type="spellStart"/>
      <w:r w:rsidRPr="003A0C5C">
        <w:t>a.iv</w:t>
      </w:r>
      <w:proofErr w:type="spellEnd"/>
      <w:r w:rsidRPr="003A0C5C">
        <w:t>)</w:t>
      </w:r>
      <w:r w:rsidRPr="003A0C5C">
        <w:tab/>
        <w:t xml:space="preserve">Due to the relatively flat topography of the project site and surrounding area, the project site would not expose people or structures to potential landslides. </w:t>
      </w:r>
      <w:r w:rsidR="009B20D6" w:rsidRPr="003A0C5C">
        <w:t xml:space="preserve">Furthermore, </w:t>
      </w:r>
      <w:r w:rsidR="009346CD" w:rsidRPr="003A0C5C">
        <w:t>the proposed project would be constructed in accordance with the CBC, and thereby the City</w:t>
      </w:r>
      <w:r w:rsidR="00D678AB" w:rsidRPr="003A0C5C">
        <w:t>’</w:t>
      </w:r>
      <w:r w:rsidR="009346CD" w:rsidRPr="003A0C5C">
        <w:t>s Building Code</w:t>
      </w:r>
      <w:r w:rsidR="009B20D6" w:rsidRPr="003A0C5C">
        <w:t xml:space="preserve">. As such, </w:t>
      </w:r>
      <w:r w:rsidR="0002030B" w:rsidRPr="003A0C5C">
        <w:t>no</w:t>
      </w:r>
      <w:r w:rsidR="009B20D6" w:rsidRPr="003A0C5C">
        <w:t xml:space="preserve"> impacts</w:t>
      </w:r>
      <w:r w:rsidR="0002030B" w:rsidRPr="003A0C5C">
        <w:t xml:space="preserve"> would occur</w:t>
      </w:r>
      <w:r w:rsidR="009B20D6" w:rsidRPr="003A0C5C">
        <w:t xml:space="preserve"> regarding the potential for landslides.</w:t>
      </w:r>
    </w:p>
    <w:p w14:paraId="10197538" w14:textId="26790674" w:rsidR="00F92AE1" w:rsidRPr="003A0C5C" w:rsidRDefault="004F426E" w:rsidP="0039366F">
      <w:pPr>
        <w:pStyle w:val="12spaceindent"/>
      </w:pPr>
      <w:r w:rsidRPr="003A0C5C">
        <w:t>b)</w:t>
      </w:r>
      <w:r w:rsidRPr="003A0C5C">
        <w:tab/>
        <w:t xml:space="preserve">The project site is </w:t>
      </w:r>
      <w:r w:rsidR="003255F2" w:rsidRPr="003A0C5C">
        <w:t xml:space="preserve">currently </w:t>
      </w:r>
      <w:r w:rsidR="00812AEF" w:rsidRPr="003A0C5C">
        <w:t>un</w:t>
      </w:r>
      <w:r w:rsidR="003255F2" w:rsidRPr="003A0C5C">
        <w:t xml:space="preserve">developed </w:t>
      </w:r>
      <w:r w:rsidR="000F1416" w:rsidRPr="003A0C5C">
        <w:t>with exposed</w:t>
      </w:r>
      <w:r w:rsidR="003255F2" w:rsidRPr="003A0C5C">
        <w:t xml:space="preserve"> soil. </w:t>
      </w:r>
      <w:r w:rsidR="00804B39" w:rsidRPr="003A0C5C">
        <w:t>Under the proposed project, the project site would drain from east to west via gutters that wrap around the proposed buildings. The runoff generated would be treated by a 10</w:t>
      </w:r>
      <w:r w:rsidR="005F504E" w:rsidRPr="003A0C5C">
        <w:t>-</w:t>
      </w:r>
      <w:r w:rsidR="00804B39" w:rsidRPr="003A0C5C">
        <w:t>foot by 20-foot Modular Wetland System that would discharge via an 18-inch pipe to the existing 5-foot storm drain inlet</w:t>
      </w:r>
      <w:r w:rsidR="00185880" w:rsidRPr="003A0C5C">
        <w:t xml:space="preserve"> and ultimately the Dominguez Channel</w:t>
      </w:r>
      <w:r w:rsidR="00804B39" w:rsidRPr="003A0C5C">
        <w:t xml:space="preserve">. During project operation, the project site would be fully developed with buildings and landscaping and would not contain exposed soils. </w:t>
      </w:r>
      <w:r w:rsidR="00980DAC" w:rsidRPr="003A0C5C">
        <w:t xml:space="preserve">As the proposed project would disturb more than </w:t>
      </w:r>
      <w:r w:rsidR="003226C5" w:rsidRPr="003A0C5C">
        <w:t xml:space="preserve">1 </w:t>
      </w:r>
      <w:r w:rsidR="00980DAC" w:rsidRPr="003A0C5C">
        <w:t xml:space="preserve">acre of soil, the proposed project would be subject to the requirements of the </w:t>
      </w:r>
      <w:r w:rsidRPr="003A0C5C">
        <w:t>National Pollution Elimination Discharge System</w:t>
      </w:r>
      <w:r w:rsidR="00B721EA" w:rsidRPr="003A0C5C">
        <w:t xml:space="preserve"> (NPDES)</w:t>
      </w:r>
      <w:r w:rsidRPr="003A0C5C">
        <w:t xml:space="preserve">, which </w:t>
      </w:r>
      <w:r w:rsidR="00980DAC" w:rsidRPr="003A0C5C">
        <w:t>would require preparation of a Storm</w:t>
      </w:r>
      <w:r w:rsidR="00994ACD" w:rsidRPr="003A0C5C">
        <w:t>w</w:t>
      </w:r>
      <w:r w:rsidR="00980DAC" w:rsidRPr="003A0C5C">
        <w:t>ater Pollution Prevention Plan (SWPPP) for approval by the Los Angeles Regional Water Quality Control Board prior to construction. The SWPPP would identify best management practices (BMPs) to be implemented with the proposed project in order to prevent erosion, minimize siltation impacts, and protect water quality. In addition, the proposed project would also be subject to CMC Chapter 8, which contains the City’s Storm</w:t>
      </w:r>
      <w:r w:rsidR="00994ACD" w:rsidRPr="003A0C5C">
        <w:t>w</w:t>
      </w:r>
      <w:r w:rsidR="00980DAC" w:rsidRPr="003A0C5C">
        <w:t>ater Management and Discharge Control Ordinance</w:t>
      </w:r>
      <w:r w:rsidR="00B721EA" w:rsidRPr="003A0C5C">
        <w:t>.</w:t>
      </w:r>
      <w:r w:rsidR="00980DAC" w:rsidRPr="003A0C5C">
        <w:t xml:space="preserve"> This ordinance is the City’s tool to ensure the future health, safety, and general welfare of the citizens of the City and the water quality of the receiving waters of the County of Los Angeles and surrounding coastal areas. </w:t>
      </w:r>
      <w:r w:rsidRPr="003A0C5C">
        <w:t xml:space="preserve">Therefore, </w:t>
      </w:r>
      <w:r w:rsidR="00980DAC" w:rsidRPr="003A0C5C">
        <w:t xml:space="preserve">with implementation of the NPDES and CMC requirements, </w:t>
      </w:r>
      <w:r w:rsidRPr="003A0C5C">
        <w:t xml:space="preserve">soil erosion or </w:t>
      </w:r>
      <w:r w:rsidR="009B20D6" w:rsidRPr="003A0C5C">
        <w:t>loss of topsoil impacts would</w:t>
      </w:r>
      <w:r w:rsidRPr="003A0C5C">
        <w:t xml:space="preserve"> </w:t>
      </w:r>
      <w:r w:rsidR="003255F2" w:rsidRPr="003A0C5C">
        <w:t>be less than significant.</w:t>
      </w:r>
    </w:p>
    <w:p w14:paraId="68A058FB" w14:textId="77777777" w:rsidR="00682D47" w:rsidRPr="003A0C5C" w:rsidRDefault="004F426E" w:rsidP="0039366F">
      <w:pPr>
        <w:pStyle w:val="12spaceindent"/>
      </w:pPr>
      <w:r w:rsidRPr="003A0C5C">
        <w:t>c)</w:t>
      </w:r>
      <w:r w:rsidRPr="003A0C5C">
        <w:tab/>
      </w:r>
      <w:r w:rsidR="00924DE6" w:rsidRPr="003A0C5C">
        <w:t xml:space="preserve">The project site currently contains </w:t>
      </w:r>
      <w:r w:rsidR="002C59C2" w:rsidRPr="003A0C5C">
        <w:t xml:space="preserve">no </w:t>
      </w:r>
      <w:r w:rsidRPr="003A0C5C">
        <w:t>existing building</w:t>
      </w:r>
      <w:r w:rsidR="00924DE6" w:rsidRPr="003A0C5C">
        <w:t>s</w:t>
      </w:r>
      <w:r w:rsidRPr="003A0C5C">
        <w:t xml:space="preserve"> in a fully urbanized area with relatively flat topography. </w:t>
      </w:r>
      <w:r w:rsidR="00634B71" w:rsidRPr="003A0C5C">
        <w:t>As discussed previously, the project site is relatively flat and is not located within an area susceptible to landslides.</w:t>
      </w:r>
      <w:r w:rsidR="00E91065" w:rsidRPr="003A0C5C">
        <w:t xml:space="preserve"> </w:t>
      </w:r>
    </w:p>
    <w:p w14:paraId="55E0833D" w14:textId="77777777" w:rsidR="00682D47" w:rsidRPr="003A0C5C" w:rsidRDefault="00E91065" w:rsidP="00655603">
      <w:pPr>
        <w:pStyle w:val="12spaceindentcontinue"/>
      </w:pPr>
      <w:r w:rsidRPr="003A0C5C">
        <w:t xml:space="preserve">With regard to liquefaction, while the project site is located within an area that has a potential for liquefaction, the proposed project’s building foundation would be designed to minimize the effects of settlement from liquefaction. In addition, the proposed project would be constructed in accordance with the CBC, and thereby the City’s Building Code, which includes requirements for structures that reduce the potential for exposure of people or structures to seismic risks to the maximum extent possible, including liquefaction. </w:t>
      </w:r>
    </w:p>
    <w:p w14:paraId="7388A9FC" w14:textId="0BF96137" w:rsidR="00682D47" w:rsidRPr="003A0C5C" w:rsidRDefault="00E91065" w:rsidP="00655603">
      <w:pPr>
        <w:pStyle w:val="12spaceindentcontinue"/>
      </w:pPr>
      <w:r w:rsidRPr="003A0C5C">
        <w:t xml:space="preserve">With regard to lateral spreading, the Geotechnical </w:t>
      </w:r>
      <w:r w:rsidR="00164FB0" w:rsidRPr="003A0C5C">
        <w:t xml:space="preserve">Investigation </w:t>
      </w:r>
      <w:r w:rsidRPr="003A0C5C">
        <w:t xml:space="preserve">performed an analysis for lateral spreading </w:t>
      </w:r>
      <w:r w:rsidR="00C74966" w:rsidRPr="003A0C5C">
        <w:t xml:space="preserve">that </w:t>
      </w:r>
      <w:r w:rsidRPr="003A0C5C">
        <w:t xml:space="preserve">indicated that up to 10 inches of lateral displacement toward the Dominguez Channel </w:t>
      </w:r>
      <w:r w:rsidR="00511D3B" w:rsidRPr="003A0C5C">
        <w:t xml:space="preserve">could occur. As with liquefaction, the grading and foundation design as well as implementation of the City’s Building </w:t>
      </w:r>
      <w:r w:rsidR="00403E11" w:rsidRPr="003A0C5C">
        <w:t>C</w:t>
      </w:r>
      <w:r w:rsidR="00511D3B" w:rsidRPr="003A0C5C">
        <w:t xml:space="preserve">ode, would minimize the effects of lateral spreading. </w:t>
      </w:r>
    </w:p>
    <w:p w14:paraId="41A57324" w14:textId="72FDACBD" w:rsidR="00682D47" w:rsidRPr="003A0C5C" w:rsidRDefault="00511D3B" w:rsidP="00655603">
      <w:pPr>
        <w:pStyle w:val="12spaceindentcontinue"/>
      </w:pPr>
      <w:r w:rsidRPr="003A0C5C">
        <w:lastRenderedPageBreak/>
        <w:t xml:space="preserve">With regard to subsidence, the project site is not located within an area of known ground subsidence and no large-sale extraction of groundwater, gas, oil, or geothermal energy </w:t>
      </w:r>
      <w:r w:rsidR="00C74966" w:rsidRPr="003A0C5C">
        <w:t xml:space="preserve">that </w:t>
      </w:r>
      <w:r w:rsidRPr="003A0C5C">
        <w:t xml:space="preserve">would result in subsidence would occur. As such, there is no potential for subsidence on the project site. </w:t>
      </w:r>
    </w:p>
    <w:p w14:paraId="7F643965" w14:textId="602A85F7" w:rsidR="00634B71" w:rsidRPr="003A0C5C" w:rsidRDefault="00682D47" w:rsidP="00655603">
      <w:pPr>
        <w:pStyle w:val="12spaceindentcontinue"/>
      </w:pPr>
      <w:r w:rsidRPr="003A0C5C">
        <w:t xml:space="preserve">Soil collapse is a phenomenon where the soils undergo a significant decrease in volume upon increase in moisture content, with or without an increase in external loads. The Geotechnical </w:t>
      </w:r>
      <w:r w:rsidR="00164FB0" w:rsidRPr="003A0C5C">
        <w:t xml:space="preserve">Investigation </w:t>
      </w:r>
      <w:r w:rsidRPr="003A0C5C">
        <w:t xml:space="preserve">indicates that the upper alluvial soils that underlie the project site are relatively soft and compressible, potentially leading to collapse. As with liquefaction and lateral spreading, the foundation design recommendations as well as implementation of the City’s Building </w:t>
      </w:r>
      <w:r w:rsidR="00403E11" w:rsidRPr="003A0C5C">
        <w:t>C</w:t>
      </w:r>
      <w:r w:rsidRPr="003A0C5C">
        <w:t xml:space="preserve">ode, would minimize the effects of collapse. </w:t>
      </w:r>
      <w:r w:rsidR="00511D3B" w:rsidRPr="003A0C5C">
        <w:t>As such, c</w:t>
      </w:r>
      <w:r w:rsidR="00634B71" w:rsidRPr="003A0C5C">
        <w:t xml:space="preserve">onformance with standard engineering practices and design criteria would </w:t>
      </w:r>
      <w:r w:rsidR="00126F76" w:rsidRPr="003A0C5C">
        <w:t xml:space="preserve">ensure that the </w:t>
      </w:r>
      <w:r w:rsidR="003F4532" w:rsidRPr="003A0C5C">
        <w:t xml:space="preserve">proposed </w:t>
      </w:r>
      <w:r w:rsidR="00126F76" w:rsidRPr="003A0C5C">
        <w:t>project does not exa</w:t>
      </w:r>
      <w:r w:rsidR="00511D3B" w:rsidRPr="003A0C5C">
        <w:t xml:space="preserve">cerbate existing conditions. Therefore, </w:t>
      </w:r>
      <w:r w:rsidR="00126F76" w:rsidRPr="003A0C5C">
        <w:t xml:space="preserve">impacts </w:t>
      </w:r>
      <w:r w:rsidR="00511D3B" w:rsidRPr="003A0C5C">
        <w:t xml:space="preserve">related to </w:t>
      </w:r>
      <w:r w:rsidR="00511D3B" w:rsidRPr="003A0C5C">
        <w:rPr>
          <w:rFonts w:cs="Arial"/>
          <w:szCs w:val="16"/>
        </w:rPr>
        <w:t>geologic unit or soil that is unstable</w:t>
      </w:r>
      <w:r w:rsidR="00511D3B" w:rsidRPr="003A0C5C">
        <w:t xml:space="preserve"> </w:t>
      </w:r>
      <w:r w:rsidR="00126F76" w:rsidRPr="003A0C5C">
        <w:t>are less than significant</w:t>
      </w:r>
      <w:r w:rsidR="00634B71" w:rsidRPr="003A0C5C">
        <w:t>.</w:t>
      </w:r>
    </w:p>
    <w:p w14:paraId="461416A6" w14:textId="5072DED3" w:rsidR="00474B05" w:rsidRPr="003A0C5C" w:rsidRDefault="004F426E" w:rsidP="00994457">
      <w:pPr>
        <w:pStyle w:val="12spaceindent"/>
        <w:spacing w:after="180" w:line="280" w:lineRule="exact"/>
      </w:pPr>
      <w:r w:rsidRPr="003A0C5C">
        <w:t>d)</w:t>
      </w:r>
      <w:r w:rsidRPr="003A0C5C">
        <w:tab/>
        <w:t xml:space="preserve">Expansive soils are typically associated with fine-grained clayey soils that have the potential to shrink and swell with repeated cycles of wetting and drying. </w:t>
      </w:r>
      <w:r w:rsidR="00474B05" w:rsidRPr="003A0C5C">
        <w:t xml:space="preserve">Such soils can expose overlying buildings to differential settlement and other structural damage. According to the </w:t>
      </w:r>
      <w:r w:rsidR="00682D47" w:rsidRPr="003A0C5C">
        <w:t xml:space="preserve">Geotechnical </w:t>
      </w:r>
      <w:r w:rsidR="00164FB0" w:rsidRPr="003A0C5C">
        <w:t>Investigation</w:t>
      </w:r>
      <w:r w:rsidR="00682D47" w:rsidRPr="003A0C5C">
        <w:t xml:space="preserve">, the upper 5 feet of existing soils encountered during the site investigation performed for the Geotechnical </w:t>
      </w:r>
      <w:r w:rsidR="00164FB0" w:rsidRPr="003A0C5C">
        <w:t xml:space="preserve">Investigation </w:t>
      </w:r>
      <w:r w:rsidR="00682D47" w:rsidRPr="003A0C5C">
        <w:t xml:space="preserve">are considered to have a “medium” expansive potential and are classified as “expansive” in accordance with the CBC. The Geotechnical </w:t>
      </w:r>
      <w:r w:rsidR="00164FB0" w:rsidRPr="003A0C5C">
        <w:t xml:space="preserve">Investigation </w:t>
      </w:r>
      <w:r w:rsidR="00682D47" w:rsidRPr="003A0C5C">
        <w:t xml:space="preserve">provides recommendations for the building foundations and slabs that would minimize impacts from expansive soils. </w:t>
      </w:r>
      <w:r w:rsidR="00474B05" w:rsidRPr="003A0C5C">
        <w:t>Conformance with standard engineering practices and design criteria</w:t>
      </w:r>
      <w:r w:rsidR="000268F3" w:rsidRPr="003A0C5C">
        <w:t xml:space="preserve"> as recommended in the Final Geotechnical Report</w:t>
      </w:r>
      <w:r w:rsidR="00474B05" w:rsidRPr="003A0C5C">
        <w:t>,</w:t>
      </w:r>
      <w:r w:rsidR="00AA06AD" w:rsidRPr="003A0C5C">
        <w:t xml:space="preserve"> as well as with the CBC, and thereby the City</w:t>
      </w:r>
      <w:r w:rsidR="00D678AB" w:rsidRPr="003A0C5C">
        <w:t>’</w:t>
      </w:r>
      <w:r w:rsidR="00AA06AD" w:rsidRPr="003A0C5C">
        <w:t>s Building Code,</w:t>
      </w:r>
      <w:r w:rsidR="00474B05" w:rsidRPr="003A0C5C">
        <w:t xml:space="preserve"> would reduce the potential for substantial risks to life or property as a result of expansive soils to a minimal level and the associated impacts would be less than significant.</w:t>
      </w:r>
    </w:p>
    <w:p w14:paraId="0A0EA60D" w14:textId="1EEF23AC" w:rsidR="004F426E" w:rsidRPr="003A0C5C" w:rsidRDefault="004F426E" w:rsidP="00994457">
      <w:pPr>
        <w:pStyle w:val="12spaceindent"/>
        <w:spacing w:after="180" w:line="280" w:lineRule="exact"/>
      </w:pPr>
      <w:r w:rsidRPr="003A0C5C">
        <w:t>e)</w:t>
      </w:r>
      <w:r w:rsidRPr="003A0C5C">
        <w:tab/>
        <w:t xml:space="preserve">The project site is located </w:t>
      </w:r>
      <w:r w:rsidR="00653290" w:rsidRPr="003A0C5C">
        <w:t>in an urbanized area</w:t>
      </w:r>
      <w:r w:rsidRPr="003A0C5C">
        <w:t xml:space="preserve"> and is served by community water and sewer service. Furthermore, no septic tanks or alternative wastewater disposal systems are in use or would be required under the proposed project. Therefore, no impact would occur.</w:t>
      </w:r>
    </w:p>
    <w:p w14:paraId="37106400" w14:textId="7DF56384" w:rsidR="0072184A" w:rsidRPr="003A0C5C" w:rsidRDefault="004F426E" w:rsidP="00774125">
      <w:pPr>
        <w:pStyle w:val="12spaceindent"/>
        <w:spacing w:after="180" w:line="280" w:lineRule="exact"/>
      </w:pPr>
      <w:r w:rsidRPr="003A0C5C">
        <w:t>f)</w:t>
      </w:r>
      <w:r w:rsidR="00541876" w:rsidRPr="003A0C5C">
        <w:rPr>
          <w:rFonts w:ascii="Times" w:eastAsia="Times New Roman" w:hAnsi="Times" w:cs="Times New Roman"/>
        </w:rPr>
        <w:tab/>
      </w:r>
      <w:r w:rsidR="0072184A" w:rsidRPr="003A0C5C">
        <w:t xml:space="preserve">A review of geologic mapping indicates the entire project lies upon young Quaternary alluvium composed of fine sand and loamy clays. A geotechnical study prepared for the </w:t>
      </w:r>
      <w:r w:rsidR="00497241" w:rsidRPr="003A0C5C">
        <w:t xml:space="preserve">proposed </w:t>
      </w:r>
      <w:r w:rsidR="0072184A" w:rsidRPr="003A0C5C">
        <w:t xml:space="preserve">project identified two subsurface sediments within the project site including: </w:t>
      </w:r>
      <w:r w:rsidR="009A6D3E" w:rsidRPr="003A0C5C">
        <w:t>(</w:t>
      </w:r>
      <w:r w:rsidR="0072184A" w:rsidRPr="003A0C5C">
        <w:t>1)</w:t>
      </w:r>
      <w:r w:rsidR="009A6D3E" w:rsidRPr="003A0C5C">
        <w:t> </w:t>
      </w:r>
      <w:r w:rsidR="0072184A" w:rsidRPr="003A0C5C">
        <w:t xml:space="preserve">artificial fill extending from the surface to 3 to 9 feet deep; and </w:t>
      </w:r>
      <w:r w:rsidR="009A6D3E" w:rsidRPr="003A0C5C">
        <w:t>(</w:t>
      </w:r>
      <w:r w:rsidR="0072184A" w:rsidRPr="003A0C5C">
        <w:t xml:space="preserve">2) Holocene alluvium </w:t>
      </w:r>
      <w:r w:rsidR="00141B0D" w:rsidRPr="003A0C5C">
        <w:t xml:space="preserve">consisting </w:t>
      </w:r>
      <w:r w:rsidR="0072184A" w:rsidRPr="003A0C5C">
        <w:t>of light brown to brown, olive brown, or gray to dark gray interbedded clay, sandy clay, silt, sandy silt, silty sand and clayey underlying the artificial fill to a depth of 51 feet. A database search from the Natural History Museum of Los Angeles County (LACM) identified no fossil localities within the project site or its immediate vicinity.</w:t>
      </w:r>
    </w:p>
    <w:p w14:paraId="323BF26C" w14:textId="6BE81048" w:rsidR="006A4748" w:rsidRPr="003A0C5C" w:rsidRDefault="0072184A" w:rsidP="006A4748">
      <w:pPr>
        <w:pStyle w:val="12spaceindentcontinue"/>
      </w:pPr>
      <w:r w:rsidRPr="003A0C5C">
        <w:t>Project ground disturbing activities would extend to a depth of 6 feet below the ground surface and are unlikely to disturb sediments containing significant paleontological resources. The geologic map and literature review indicates the project site is underlain by artificial fill to a depth of 3</w:t>
      </w:r>
      <w:r w:rsidR="005F504E" w:rsidRPr="003A0C5C">
        <w:t>–</w:t>
      </w:r>
      <w:r w:rsidRPr="003A0C5C">
        <w:t xml:space="preserve">6 feet and Holocene-age alluvial deposits to a depth of 51 feet. These two geologic units have no and low potential to contain intact paleontological resources, respectively. Given the shallow depth of proposed project excavation, coupled </w:t>
      </w:r>
      <w:r w:rsidRPr="003A0C5C">
        <w:lastRenderedPageBreak/>
        <w:t>with low paleontological sensitivity of the geologic units within the project site, project implementation is unlikely to impact significant paleontological resources or unique geologic resource</w:t>
      </w:r>
      <w:r w:rsidR="00B17381" w:rsidRPr="003A0C5C">
        <w:t>s</w:t>
      </w:r>
      <w:r w:rsidRPr="003A0C5C">
        <w:t xml:space="preserve">. Therefore, no </w:t>
      </w:r>
      <w:r w:rsidR="00BD0EC6" w:rsidRPr="003A0C5C">
        <w:t xml:space="preserve">impact would occur and no </w:t>
      </w:r>
      <w:r w:rsidRPr="003A0C5C">
        <w:t>mitigation measures regarding paleontological resources are needed.</w:t>
      </w:r>
    </w:p>
    <w:p w14:paraId="40CFF133" w14:textId="77777777" w:rsidR="006A4748" w:rsidRPr="003A0C5C" w:rsidRDefault="006A4748" w:rsidP="006A4748">
      <w:pPr>
        <w:pStyle w:val="12spaceindent"/>
        <w:keepNext/>
        <w:spacing w:after="120"/>
        <w:ind w:left="0" w:firstLine="0"/>
        <w:rPr>
          <w:highlight w:val="yellow"/>
        </w:rPr>
      </w:pPr>
    </w:p>
    <w:p w14:paraId="18F174B0" w14:textId="5A2C9D23" w:rsidR="009C1A59" w:rsidRPr="003A0C5C" w:rsidRDefault="009C1A59" w:rsidP="009C1A59">
      <w:pPr>
        <w:pStyle w:val="ImpactSectionEnd"/>
        <w:rPr>
          <w:highlight w:val="yellow"/>
        </w:rPr>
      </w:pPr>
    </w:p>
    <w:p w14:paraId="7C952F90" w14:textId="1D1314FF" w:rsidR="006A4748" w:rsidRPr="003A0C5C" w:rsidRDefault="006A4748">
      <w:pPr>
        <w:spacing w:after="200" w:line="276" w:lineRule="auto"/>
        <w:rPr>
          <w:sz w:val="16"/>
          <w:szCs w:val="16"/>
          <w:highlight w:val="yellow"/>
        </w:rPr>
      </w:pPr>
      <w:r w:rsidRPr="003A0C5C">
        <w:rPr>
          <w:highlight w:val="yellow"/>
        </w:rPr>
        <w:br w:type="page"/>
      </w:r>
    </w:p>
    <w:p w14:paraId="4867E4E2" w14:textId="377C34BC" w:rsidR="004F426E" w:rsidRPr="003A0C5C" w:rsidRDefault="008B0DDC" w:rsidP="008B0DDC">
      <w:pPr>
        <w:pStyle w:val="Heading4"/>
      </w:pPr>
      <w:bookmarkStart w:id="68" w:name="_Toc101791987"/>
      <w:r w:rsidRPr="003A0C5C">
        <w:lastRenderedPageBreak/>
        <w:t>VIII.</w:t>
      </w:r>
      <w:r w:rsidRPr="003A0C5C">
        <w:tab/>
      </w:r>
      <w:r w:rsidR="004F426E" w:rsidRPr="003A0C5C">
        <w:t>Greenhouse Gas Emissions</w:t>
      </w:r>
      <w:bookmarkEnd w:id="68"/>
    </w:p>
    <w:tbl>
      <w:tblPr>
        <w:tblW w:w="0" w:type="auto"/>
        <w:tblCellMar>
          <w:left w:w="86" w:type="dxa"/>
          <w:right w:w="86" w:type="dxa"/>
        </w:tblCellMar>
        <w:tblLook w:val="0000" w:firstRow="0" w:lastRow="0" w:firstColumn="0" w:lastColumn="0" w:noHBand="0" w:noVBand="0"/>
      </w:tblPr>
      <w:tblGrid>
        <w:gridCol w:w="5088"/>
        <w:gridCol w:w="888"/>
        <w:gridCol w:w="1152"/>
        <w:gridCol w:w="888"/>
        <w:gridCol w:w="624"/>
      </w:tblGrid>
      <w:tr w:rsidR="003A0C5C" w:rsidRPr="003A0C5C" w14:paraId="72A200D0" w14:textId="77777777" w:rsidTr="00F07065">
        <w:trPr>
          <w:cantSplit/>
          <w:tblHeader/>
        </w:trPr>
        <w:tc>
          <w:tcPr>
            <w:tcW w:w="0" w:type="auto"/>
            <w:vAlign w:val="bottom"/>
          </w:tcPr>
          <w:p w14:paraId="61BD353A" w14:textId="77777777" w:rsidR="00B8605C" w:rsidRPr="003A0C5C" w:rsidRDefault="00B8605C" w:rsidP="00F07065">
            <w:pPr>
              <w:keepNext/>
              <w:pBdr>
                <w:bottom w:val="single" w:sz="4" w:space="1" w:color="auto"/>
              </w:pBdr>
              <w:spacing w:before="60" w:after="60"/>
              <w:ind w:left="540" w:hanging="540"/>
              <w:rPr>
                <w:rFonts w:ascii="Arial" w:hAnsi="Arial" w:cs="Arial"/>
                <w:b/>
                <w:i/>
                <w:sz w:val="14"/>
                <w:szCs w:val="16"/>
              </w:rPr>
            </w:pPr>
            <w:r w:rsidRPr="003A0C5C">
              <w:rPr>
                <w:rFonts w:ascii="Arial" w:hAnsi="Arial" w:cs="Arial"/>
                <w:b/>
                <w:i/>
                <w:sz w:val="14"/>
                <w:szCs w:val="16"/>
              </w:rPr>
              <w:t>Issues (and Supporting Information Sources)</w:t>
            </w:r>
          </w:p>
        </w:tc>
        <w:tc>
          <w:tcPr>
            <w:tcW w:w="0" w:type="auto"/>
            <w:vAlign w:val="bottom"/>
          </w:tcPr>
          <w:p w14:paraId="32AFCBB0" w14:textId="77777777" w:rsidR="00B8605C" w:rsidRPr="003A0C5C" w:rsidRDefault="00B8605C" w:rsidP="00F07065">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Potentially</w:t>
            </w:r>
            <w:r w:rsidRPr="003A0C5C">
              <w:rPr>
                <w:rFonts w:ascii="Arial" w:hAnsi="Arial" w:cs="Arial"/>
                <w:b/>
                <w:i/>
                <w:sz w:val="14"/>
                <w:szCs w:val="16"/>
              </w:rPr>
              <w:br/>
              <w:t>Significant</w:t>
            </w:r>
            <w:r w:rsidRPr="003A0C5C">
              <w:rPr>
                <w:rFonts w:ascii="Arial" w:hAnsi="Arial" w:cs="Arial"/>
                <w:b/>
                <w:i/>
                <w:sz w:val="14"/>
                <w:szCs w:val="16"/>
              </w:rPr>
              <w:br/>
              <w:t>Impact</w:t>
            </w:r>
          </w:p>
        </w:tc>
        <w:tc>
          <w:tcPr>
            <w:tcW w:w="0" w:type="auto"/>
            <w:vAlign w:val="bottom"/>
          </w:tcPr>
          <w:p w14:paraId="1D25DBB5" w14:textId="77777777" w:rsidR="00B8605C" w:rsidRPr="003A0C5C" w:rsidRDefault="00B8605C" w:rsidP="00F07065">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Less than</w:t>
            </w:r>
            <w:r w:rsidRPr="003A0C5C">
              <w:rPr>
                <w:rFonts w:ascii="Arial" w:hAnsi="Arial" w:cs="Arial"/>
                <w:b/>
                <w:i/>
                <w:sz w:val="14"/>
                <w:szCs w:val="16"/>
              </w:rPr>
              <w:br/>
              <w:t>Significant</w:t>
            </w:r>
            <w:r w:rsidRPr="003A0C5C">
              <w:rPr>
                <w:rFonts w:ascii="Arial" w:hAnsi="Arial" w:cs="Arial"/>
                <w:b/>
                <w:i/>
                <w:sz w:val="14"/>
                <w:szCs w:val="16"/>
              </w:rPr>
              <w:br/>
              <w:t>with Mitigation</w:t>
            </w:r>
            <w:r w:rsidRPr="003A0C5C">
              <w:rPr>
                <w:rFonts w:ascii="Arial" w:hAnsi="Arial" w:cs="Arial"/>
                <w:b/>
                <w:i/>
                <w:sz w:val="14"/>
                <w:szCs w:val="16"/>
              </w:rPr>
              <w:br/>
              <w:t>Incorporated</w:t>
            </w:r>
          </w:p>
        </w:tc>
        <w:tc>
          <w:tcPr>
            <w:tcW w:w="0" w:type="auto"/>
            <w:vAlign w:val="bottom"/>
          </w:tcPr>
          <w:p w14:paraId="506A6E24" w14:textId="77777777" w:rsidR="00B8605C" w:rsidRPr="003A0C5C" w:rsidRDefault="00B8605C" w:rsidP="00F07065">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Less-than-</w:t>
            </w:r>
            <w:r w:rsidRPr="003A0C5C">
              <w:rPr>
                <w:rFonts w:ascii="Arial" w:hAnsi="Arial" w:cs="Arial"/>
                <w:b/>
                <w:i/>
                <w:sz w:val="14"/>
                <w:szCs w:val="16"/>
              </w:rPr>
              <w:br/>
              <w:t>Significant</w:t>
            </w:r>
            <w:r w:rsidRPr="003A0C5C">
              <w:rPr>
                <w:rFonts w:ascii="Arial" w:hAnsi="Arial" w:cs="Arial"/>
                <w:b/>
                <w:i/>
                <w:sz w:val="14"/>
                <w:szCs w:val="16"/>
              </w:rPr>
              <w:br/>
              <w:t>Impact</w:t>
            </w:r>
          </w:p>
        </w:tc>
        <w:tc>
          <w:tcPr>
            <w:tcW w:w="0" w:type="auto"/>
            <w:vAlign w:val="bottom"/>
          </w:tcPr>
          <w:p w14:paraId="1E104E8C" w14:textId="77777777" w:rsidR="00B8605C" w:rsidRPr="003A0C5C" w:rsidRDefault="00B8605C" w:rsidP="00F07065">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No</w:t>
            </w:r>
            <w:r w:rsidRPr="003A0C5C">
              <w:rPr>
                <w:rFonts w:ascii="Arial" w:hAnsi="Arial" w:cs="Arial"/>
                <w:b/>
                <w:i/>
                <w:sz w:val="14"/>
                <w:szCs w:val="16"/>
              </w:rPr>
              <w:br/>
              <w:t>Impact</w:t>
            </w:r>
          </w:p>
        </w:tc>
      </w:tr>
      <w:tr w:rsidR="003A0C5C" w:rsidRPr="003A0C5C" w14:paraId="37AAE4C1" w14:textId="77777777" w:rsidTr="00F07065">
        <w:trPr>
          <w:cantSplit/>
        </w:trPr>
        <w:tc>
          <w:tcPr>
            <w:tcW w:w="0" w:type="auto"/>
          </w:tcPr>
          <w:p w14:paraId="4C060EFE" w14:textId="104F8078" w:rsidR="00B8605C" w:rsidRPr="003A0C5C" w:rsidRDefault="00B8605C" w:rsidP="00F07065">
            <w:pPr>
              <w:pStyle w:val="Tabletextnumber"/>
              <w:keepNext/>
              <w:ind w:left="504" w:hanging="504"/>
              <w:rPr>
                <w:rStyle w:val="Bold"/>
              </w:rPr>
            </w:pPr>
            <w:r w:rsidRPr="003A0C5C">
              <w:rPr>
                <w:rStyle w:val="Bold"/>
              </w:rPr>
              <w:t>VIII.</w:t>
            </w:r>
            <w:r w:rsidRPr="003A0C5C">
              <w:rPr>
                <w:rStyle w:val="Bold"/>
              </w:rPr>
              <w:tab/>
              <w:t>GREENHOUSE GAS EMISSIONS</w:t>
            </w:r>
            <w:r w:rsidRPr="003A0C5C">
              <w:t>—Would the project:</w:t>
            </w:r>
          </w:p>
        </w:tc>
        <w:tc>
          <w:tcPr>
            <w:tcW w:w="0" w:type="auto"/>
          </w:tcPr>
          <w:p w14:paraId="1F7A019D" w14:textId="77777777" w:rsidR="00B8605C" w:rsidRPr="003A0C5C" w:rsidRDefault="00B8605C" w:rsidP="00F07065">
            <w:pPr>
              <w:pStyle w:val="Checklist"/>
            </w:pPr>
          </w:p>
        </w:tc>
        <w:tc>
          <w:tcPr>
            <w:tcW w:w="0" w:type="auto"/>
          </w:tcPr>
          <w:p w14:paraId="269CA79F" w14:textId="77777777" w:rsidR="00B8605C" w:rsidRPr="003A0C5C" w:rsidRDefault="00B8605C" w:rsidP="00F07065">
            <w:pPr>
              <w:pStyle w:val="Checklist"/>
            </w:pPr>
          </w:p>
        </w:tc>
        <w:tc>
          <w:tcPr>
            <w:tcW w:w="0" w:type="auto"/>
          </w:tcPr>
          <w:p w14:paraId="62D75274" w14:textId="77777777" w:rsidR="00B8605C" w:rsidRPr="003A0C5C" w:rsidRDefault="00B8605C" w:rsidP="00F07065">
            <w:pPr>
              <w:pStyle w:val="Checklist"/>
            </w:pPr>
          </w:p>
        </w:tc>
        <w:tc>
          <w:tcPr>
            <w:tcW w:w="0" w:type="auto"/>
          </w:tcPr>
          <w:p w14:paraId="79832838" w14:textId="77777777" w:rsidR="00B8605C" w:rsidRPr="003A0C5C" w:rsidRDefault="00B8605C" w:rsidP="00F07065">
            <w:pPr>
              <w:pStyle w:val="Checklist"/>
            </w:pPr>
          </w:p>
        </w:tc>
      </w:tr>
      <w:tr w:rsidR="003A0C5C" w:rsidRPr="003A0C5C" w14:paraId="386A14C3" w14:textId="77777777" w:rsidTr="00F07065">
        <w:trPr>
          <w:cantSplit/>
        </w:trPr>
        <w:tc>
          <w:tcPr>
            <w:tcW w:w="0" w:type="auto"/>
          </w:tcPr>
          <w:p w14:paraId="3216960F" w14:textId="68C919CB" w:rsidR="00B8605C" w:rsidRPr="003A0C5C" w:rsidRDefault="00B8605C" w:rsidP="00B8605C">
            <w:pPr>
              <w:pStyle w:val="Tabletextnumber"/>
            </w:pPr>
            <w:r w:rsidRPr="003A0C5C">
              <w:rPr>
                <w:rFonts w:cs="Arial"/>
                <w:szCs w:val="16"/>
              </w:rPr>
              <w:t>a)</w:t>
            </w:r>
            <w:r w:rsidRPr="003A0C5C">
              <w:rPr>
                <w:rFonts w:cs="Arial"/>
                <w:szCs w:val="16"/>
              </w:rPr>
              <w:tab/>
              <w:t>Generate greenhouse gas emissions, either directly or indirectly, that may have a significant impact on the environment?</w:t>
            </w:r>
          </w:p>
        </w:tc>
        <w:tc>
          <w:tcPr>
            <w:tcW w:w="0" w:type="auto"/>
          </w:tcPr>
          <w:p w14:paraId="27877E0A" w14:textId="77777777" w:rsidR="00B8605C" w:rsidRPr="003A0C5C" w:rsidRDefault="002348BC" w:rsidP="00B8605C">
            <w:pPr>
              <w:pStyle w:val="Checklist"/>
            </w:pPr>
            <w:sdt>
              <w:sdtPr>
                <w:id w:val="-1360819506"/>
                <w14:checkbox>
                  <w14:checked w14:val="0"/>
                  <w14:checkedState w14:val="2612" w14:font="MS Gothic"/>
                  <w14:uncheckedState w14:val="2610" w14:font="MS Gothic"/>
                </w14:checkbox>
              </w:sdtPr>
              <w:sdtEndPr/>
              <w:sdtContent>
                <w:r w:rsidR="00B8605C" w:rsidRPr="003A0C5C">
                  <w:t>☐</w:t>
                </w:r>
              </w:sdtContent>
            </w:sdt>
          </w:p>
        </w:tc>
        <w:tc>
          <w:tcPr>
            <w:tcW w:w="0" w:type="auto"/>
          </w:tcPr>
          <w:p w14:paraId="13FB0F24" w14:textId="77777777" w:rsidR="00B8605C" w:rsidRPr="003A0C5C" w:rsidRDefault="002348BC" w:rsidP="00B8605C">
            <w:pPr>
              <w:pStyle w:val="Checklist"/>
              <w:rPr>
                <w:sz w:val="20"/>
              </w:rPr>
            </w:pPr>
            <w:sdt>
              <w:sdtPr>
                <w:id w:val="1428611109"/>
                <w14:checkbox>
                  <w14:checked w14:val="0"/>
                  <w14:checkedState w14:val="2612" w14:font="MS Gothic"/>
                  <w14:uncheckedState w14:val="2610" w14:font="MS Gothic"/>
                </w14:checkbox>
              </w:sdtPr>
              <w:sdtEndPr/>
              <w:sdtContent>
                <w:r w:rsidR="00B8605C" w:rsidRPr="003A0C5C">
                  <w:t>☐</w:t>
                </w:r>
              </w:sdtContent>
            </w:sdt>
          </w:p>
        </w:tc>
        <w:tc>
          <w:tcPr>
            <w:tcW w:w="0" w:type="auto"/>
          </w:tcPr>
          <w:p w14:paraId="218092D3" w14:textId="77777777" w:rsidR="00B8605C" w:rsidRPr="003A0C5C" w:rsidRDefault="002348BC" w:rsidP="00B8605C">
            <w:pPr>
              <w:pStyle w:val="Checklist"/>
              <w:rPr>
                <w:sz w:val="20"/>
              </w:rPr>
            </w:pPr>
            <w:sdt>
              <w:sdtPr>
                <w:id w:val="1741981539"/>
                <w14:checkbox>
                  <w14:checked w14:val="1"/>
                  <w14:checkedState w14:val="2612" w14:font="MS Gothic"/>
                  <w14:uncheckedState w14:val="2610" w14:font="MS Gothic"/>
                </w14:checkbox>
              </w:sdtPr>
              <w:sdtEndPr/>
              <w:sdtContent>
                <w:r w:rsidR="00B8605C" w:rsidRPr="003A0C5C">
                  <w:rPr>
                    <w:rFonts w:hint="eastAsia"/>
                  </w:rPr>
                  <w:t>☒</w:t>
                </w:r>
              </w:sdtContent>
            </w:sdt>
          </w:p>
        </w:tc>
        <w:tc>
          <w:tcPr>
            <w:tcW w:w="0" w:type="auto"/>
          </w:tcPr>
          <w:p w14:paraId="5C8D6BB6" w14:textId="77777777" w:rsidR="00B8605C" w:rsidRPr="003A0C5C" w:rsidRDefault="002348BC" w:rsidP="00B8605C">
            <w:pPr>
              <w:pStyle w:val="Checklist"/>
              <w:rPr>
                <w:sz w:val="20"/>
              </w:rPr>
            </w:pPr>
            <w:sdt>
              <w:sdtPr>
                <w:id w:val="963465008"/>
                <w14:checkbox>
                  <w14:checked w14:val="0"/>
                  <w14:checkedState w14:val="2612" w14:font="MS Gothic"/>
                  <w14:uncheckedState w14:val="2610" w14:font="MS Gothic"/>
                </w14:checkbox>
              </w:sdtPr>
              <w:sdtEndPr/>
              <w:sdtContent>
                <w:r w:rsidR="00B8605C" w:rsidRPr="003A0C5C">
                  <w:rPr>
                    <w:rFonts w:hint="eastAsia"/>
                  </w:rPr>
                  <w:t>☐</w:t>
                </w:r>
              </w:sdtContent>
            </w:sdt>
          </w:p>
        </w:tc>
      </w:tr>
      <w:tr w:rsidR="00B8605C" w:rsidRPr="003A0C5C" w14:paraId="67336B1E" w14:textId="77777777" w:rsidTr="00F07065">
        <w:trPr>
          <w:cantSplit/>
        </w:trPr>
        <w:tc>
          <w:tcPr>
            <w:tcW w:w="0" w:type="auto"/>
          </w:tcPr>
          <w:p w14:paraId="58AB490A" w14:textId="4B281604" w:rsidR="00B8605C" w:rsidRPr="003A0C5C" w:rsidRDefault="00B8605C" w:rsidP="00B8605C">
            <w:pPr>
              <w:pStyle w:val="Tabletextnumber"/>
            </w:pPr>
            <w:r w:rsidRPr="003A0C5C">
              <w:rPr>
                <w:rFonts w:cs="Arial"/>
                <w:szCs w:val="16"/>
              </w:rPr>
              <w:t>b)</w:t>
            </w:r>
            <w:r w:rsidRPr="003A0C5C">
              <w:rPr>
                <w:rFonts w:cs="Arial"/>
                <w:szCs w:val="16"/>
              </w:rPr>
              <w:tab/>
              <w:t>Conflict with an applicable plan, policy, or regulation adopted for the purpose of reducing the emissions of greenhouse gases?</w:t>
            </w:r>
          </w:p>
        </w:tc>
        <w:tc>
          <w:tcPr>
            <w:tcW w:w="0" w:type="auto"/>
          </w:tcPr>
          <w:p w14:paraId="3E1DFA6C" w14:textId="77777777" w:rsidR="00B8605C" w:rsidRPr="003A0C5C" w:rsidRDefault="002348BC" w:rsidP="00B8605C">
            <w:pPr>
              <w:pStyle w:val="Checklist"/>
              <w:rPr>
                <w:sz w:val="20"/>
              </w:rPr>
            </w:pPr>
            <w:sdt>
              <w:sdtPr>
                <w:id w:val="1068919842"/>
                <w14:checkbox>
                  <w14:checked w14:val="0"/>
                  <w14:checkedState w14:val="2612" w14:font="MS Gothic"/>
                  <w14:uncheckedState w14:val="2610" w14:font="MS Gothic"/>
                </w14:checkbox>
              </w:sdtPr>
              <w:sdtEndPr/>
              <w:sdtContent>
                <w:r w:rsidR="00B8605C" w:rsidRPr="003A0C5C">
                  <w:t>☐</w:t>
                </w:r>
              </w:sdtContent>
            </w:sdt>
          </w:p>
        </w:tc>
        <w:tc>
          <w:tcPr>
            <w:tcW w:w="0" w:type="auto"/>
          </w:tcPr>
          <w:p w14:paraId="1F1CC965" w14:textId="77777777" w:rsidR="00B8605C" w:rsidRPr="003A0C5C" w:rsidRDefault="002348BC" w:rsidP="00B8605C">
            <w:pPr>
              <w:pStyle w:val="Checklist"/>
              <w:rPr>
                <w:sz w:val="20"/>
              </w:rPr>
            </w:pPr>
            <w:sdt>
              <w:sdtPr>
                <w:id w:val="-1442298753"/>
                <w14:checkbox>
                  <w14:checked w14:val="0"/>
                  <w14:checkedState w14:val="2612" w14:font="MS Gothic"/>
                  <w14:uncheckedState w14:val="2610" w14:font="MS Gothic"/>
                </w14:checkbox>
              </w:sdtPr>
              <w:sdtEndPr/>
              <w:sdtContent>
                <w:r w:rsidR="00B8605C" w:rsidRPr="003A0C5C">
                  <w:t>☐</w:t>
                </w:r>
              </w:sdtContent>
            </w:sdt>
          </w:p>
        </w:tc>
        <w:tc>
          <w:tcPr>
            <w:tcW w:w="0" w:type="auto"/>
          </w:tcPr>
          <w:p w14:paraId="2E66D819" w14:textId="77777777" w:rsidR="00B8605C" w:rsidRPr="003A0C5C" w:rsidRDefault="002348BC" w:rsidP="00B8605C">
            <w:pPr>
              <w:pStyle w:val="Checklist"/>
              <w:rPr>
                <w:sz w:val="20"/>
              </w:rPr>
            </w:pPr>
            <w:sdt>
              <w:sdtPr>
                <w:id w:val="15513627"/>
                <w14:checkbox>
                  <w14:checked w14:val="1"/>
                  <w14:checkedState w14:val="2612" w14:font="MS Gothic"/>
                  <w14:uncheckedState w14:val="2610" w14:font="MS Gothic"/>
                </w14:checkbox>
              </w:sdtPr>
              <w:sdtEndPr/>
              <w:sdtContent>
                <w:r w:rsidR="00B8605C" w:rsidRPr="003A0C5C">
                  <w:rPr>
                    <w:rFonts w:hint="eastAsia"/>
                  </w:rPr>
                  <w:t>☒</w:t>
                </w:r>
              </w:sdtContent>
            </w:sdt>
          </w:p>
        </w:tc>
        <w:tc>
          <w:tcPr>
            <w:tcW w:w="0" w:type="auto"/>
          </w:tcPr>
          <w:p w14:paraId="3A7CF799" w14:textId="77777777" w:rsidR="00B8605C" w:rsidRPr="003A0C5C" w:rsidRDefault="002348BC" w:rsidP="00B8605C">
            <w:pPr>
              <w:pStyle w:val="Checklist"/>
              <w:rPr>
                <w:sz w:val="20"/>
              </w:rPr>
            </w:pPr>
            <w:sdt>
              <w:sdtPr>
                <w:id w:val="1289011224"/>
                <w14:checkbox>
                  <w14:checked w14:val="0"/>
                  <w14:checkedState w14:val="2612" w14:font="MS Gothic"/>
                  <w14:uncheckedState w14:val="2610" w14:font="MS Gothic"/>
                </w14:checkbox>
              </w:sdtPr>
              <w:sdtEndPr/>
              <w:sdtContent>
                <w:r w:rsidR="00B8605C" w:rsidRPr="003A0C5C">
                  <w:rPr>
                    <w:rFonts w:hint="eastAsia"/>
                  </w:rPr>
                  <w:t>☐</w:t>
                </w:r>
              </w:sdtContent>
            </w:sdt>
          </w:p>
        </w:tc>
      </w:tr>
    </w:tbl>
    <w:p w14:paraId="2C308122" w14:textId="77777777" w:rsidR="00957C8B" w:rsidRPr="003A0C5C" w:rsidRDefault="00957C8B" w:rsidP="00957C8B">
      <w:pPr>
        <w:pStyle w:val="TableNotes"/>
      </w:pPr>
    </w:p>
    <w:p w14:paraId="5BD6C79F" w14:textId="77777777" w:rsidR="00957C8B" w:rsidRPr="003A0C5C" w:rsidRDefault="00957C8B" w:rsidP="00957C8B">
      <w:pPr>
        <w:pStyle w:val="Heading5"/>
      </w:pPr>
      <w:r w:rsidRPr="003A0C5C">
        <w:t>Discussion</w:t>
      </w:r>
    </w:p>
    <w:p w14:paraId="6BB44C8C" w14:textId="2C8C72DB" w:rsidR="00FF5E9B" w:rsidRPr="003A0C5C" w:rsidRDefault="00F97DF2" w:rsidP="00AE1FA5">
      <w:pPr>
        <w:pStyle w:val="12spaceindent"/>
      </w:pPr>
      <w:proofErr w:type="spellStart"/>
      <w:proofErr w:type="gramStart"/>
      <w:r w:rsidRPr="003A0C5C">
        <w:t>a,b</w:t>
      </w:r>
      <w:proofErr w:type="spellEnd"/>
      <w:proofErr w:type="gramEnd"/>
      <w:r w:rsidRPr="003A0C5C">
        <w:t>)</w:t>
      </w:r>
      <w:r w:rsidR="00B320EF" w:rsidRPr="003A0C5C">
        <w:tab/>
      </w:r>
      <w:r w:rsidR="00FF5E9B" w:rsidRPr="003A0C5C">
        <w:t>Gases that trap heat in the atmosphere are called greenhouse gases (GHGs). The major concern with GHGs is that increases in their concentrations are causing global climate change. Global climate change is a change in the average weather on Earth that can be measured by wind patterns, storms, precipitation, and temperature. Although there is disagreement as to the rate of global climate change and the extent of the impacts attributable to human activities, most in the scientific community agree that there is a direct link between increased emissions of GHGs and long-term global temperature increases.</w:t>
      </w:r>
    </w:p>
    <w:p w14:paraId="7EE9982F" w14:textId="53F9AEE7" w:rsidR="00FF5E9B" w:rsidRPr="003A0C5C" w:rsidRDefault="00FF5E9B" w:rsidP="0020432B">
      <w:pPr>
        <w:pStyle w:val="12spaceindentcontinue"/>
      </w:pPr>
      <w:r w:rsidRPr="003A0C5C">
        <w:t>The State of California defines GHGs as carbon dioxide (CO</w:t>
      </w:r>
      <w:r w:rsidRPr="003A0C5C">
        <w:rPr>
          <w:vertAlign w:val="subscript"/>
        </w:rPr>
        <w:t>2</w:t>
      </w:r>
      <w:r w:rsidRPr="003A0C5C">
        <w:t>), methane (CH</w:t>
      </w:r>
      <w:r w:rsidRPr="003A0C5C">
        <w:rPr>
          <w:vertAlign w:val="subscript"/>
        </w:rPr>
        <w:t>4</w:t>
      </w:r>
      <w:r w:rsidRPr="003A0C5C">
        <w:t>), nitrous oxide (N</w:t>
      </w:r>
      <w:r w:rsidRPr="003A0C5C">
        <w:rPr>
          <w:vertAlign w:val="subscript"/>
        </w:rPr>
        <w:t>2</w:t>
      </w:r>
      <w:r w:rsidRPr="003A0C5C">
        <w:t>O), sulfur hexafluoride (SF</w:t>
      </w:r>
      <w:r w:rsidRPr="003A0C5C">
        <w:rPr>
          <w:vertAlign w:val="subscript"/>
        </w:rPr>
        <w:t>6</w:t>
      </w:r>
      <w:r w:rsidRPr="003A0C5C">
        <w:t>), perfluorocarbons (PFCs), and hydrofluorocarbons (HFCs). Because different GHGs have different global warming potentials (GWPs) and CO</w:t>
      </w:r>
      <w:r w:rsidRPr="003A0C5C">
        <w:rPr>
          <w:vertAlign w:val="subscript"/>
        </w:rPr>
        <w:t>2</w:t>
      </w:r>
      <w:r w:rsidRPr="003A0C5C">
        <w:t xml:space="preserve"> is the most common reference gas for climate change, GHG emissions are often quantified and reported as CO</w:t>
      </w:r>
      <w:r w:rsidRPr="003A0C5C">
        <w:rPr>
          <w:vertAlign w:val="subscript"/>
        </w:rPr>
        <w:t>2</w:t>
      </w:r>
      <w:r w:rsidRPr="003A0C5C">
        <w:t xml:space="preserve"> equivalents (CO</w:t>
      </w:r>
      <w:r w:rsidRPr="003A0C5C">
        <w:rPr>
          <w:vertAlign w:val="subscript"/>
        </w:rPr>
        <w:t>2</w:t>
      </w:r>
      <w:r w:rsidRPr="003A0C5C">
        <w:t>e). For example, CH</w:t>
      </w:r>
      <w:r w:rsidRPr="003A0C5C">
        <w:rPr>
          <w:vertAlign w:val="subscript"/>
        </w:rPr>
        <w:t>4</w:t>
      </w:r>
      <w:r w:rsidRPr="003A0C5C">
        <w:t xml:space="preserve"> has a GWP of 25 (over a 100-year period); therefore, </w:t>
      </w:r>
      <w:r w:rsidR="003226C5" w:rsidRPr="003A0C5C">
        <w:t xml:space="preserve">1 </w:t>
      </w:r>
      <w:r w:rsidRPr="003A0C5C">
        <w:t>metric ton (MT) of CH</w:t>
      </w:r>
      <w:r w:rsidRPr="003A0C5C">
        <w:rPr>
          <w:vertAlign w:val="subscript"/>
        </w:rPr>
        <w:t>4</w:t>
      </w:r>
      <w:r w:rsidRPr="003A0C5C">
        <w:t xml:space="preserve"> is equivalent to 25 MT of CO</w:t>
      </w:r>
      <w:r w:rsidRPr="003A0C5C">
        <w:rPr>
          <w:vertAlign w:val="subscript"/>
        </w:rPr>
        <w:t>2</w:t>
      </w:r>
      <w:r w:rsidRPr="003A0C5C">
        <w:t xml:space="preserve"> equivalents (MTCO</w:t>
      </w:r>
      <w:r w:rsidRPr="003A0C5C">
        <w:rPr>
          <w:vertAlign w:val="subscript"/>
        </w:rPr>
        <w:t>2</w:t>
      </w:r>
      <w:r w:rsidRPr="003A0C5C">
        <w:t xml:space="preserve">e). The State uses the GWP ratios available from the United Nations Intergovernmental Panel on Climate Change (IPCC) and published in the </w:t>
      </w:r>
      <w:r w:rsidRPr="003A0C5C">
        <w:rPr>
          <w:rStyle w:val="Italic"/>
        </w:rPr>
        <w:t>Fourth Assessment Report</w:t>
      </w:r>
      <w:r w:rsidRPr="003A0C5C">
        <w:t xml:space="preserve"> (AR4). By applying the GWP ratios, project-related CO</w:t>
      </w:r>
      <w:r w:rsidRPr="003A0C5C">
        <w:rPr>
          <w:vertAlign w:val="subscript"/>
        </w:rPr>
        <w:t>2</w:t>
      </w:r>
      <w:r w:rsidRPr="003A0C5C">
        <w:t>e emissions can be tabulated in metric tons (MT) per year. Large emission sources are reported in million metric tons (MMT) of CO</w:t>
      </w:r>
      <w:r w:rsidRPr="003A0C5C">
        <w:rPr>
          <w:vertAlign w:val="subscript"/>
        </w:rPr>
        <w:t>2</w:t>
      </w:r>
      <w:r w:rsidRPr="003A0C5C">
        <w:t>e.</w:t>
      </w:r>
      <w:r w:rsidRPr="003A0C5C">
        <w:rPr>
          <w:rStyle w:val="FootnoteReference"/>
        </w:rPr>
        <w:footnoteReference w:id="7"/>
      </w:r>
    </w:p>
    <w:p w14:paraId="628030B1" w14:textId="77777777" w:rsidR="00FF5E9B" w:rsidRPr="003A0C5C" w:rsidRDefault="00FF5E9B" w:rsidP="0020432B">
      <w:pPr>
        <w:pStyle w:val="12spaceindentcontinue"/>
        <w:keepNext/>
        <w:spacing w:after="180"/>
      </w:pPr>
      <w:r w:rsidRPr="003A0C5C">
        <w:t>Some of the potential effects of global warming in California may include loss in snow pack, sea level rise, more extreme heat days per year, more high ozone days, more forest fires, and more drought years (CARB 2008). Globally, climate change has the potential to impact numerous environmental resources through potential, though uncertain, impacts related to future air temperatures and precipitation patterns. The projected effects of global warming on weather and climate are likely to vary regionally, but are expected to include the following direct effects (IPCC 2001):</w:t>
      </w:r>
    </w:p>
    <w:p w14:paraId="6AD8EC9C" w14:textId="2CB7AE6F" w:rsidR="00FF5E9B" w:rsidRPr="003A0C5C" w:rsidRDefault="00FF5E9B" w:rsidP="00FF5E9B">
      <w:pPr>
        <w:pStyle w:val="ListBullet"/>
        <w:spacing w:after="120"/>
        <w:ind w:left="1080"/>
      </w:pPr>
      <w:r w:rsidRPr="003A0C5C">
        <w:t>Higher maximum temperatures and more hot days over nearly all land areas</w:t>
      </w:r>
    </w:p>
    <w:p w14:paraId="1EFA159C" w14:textId="1DAB9BFD" w:rsidR="00FF5E9B" w:rsidRPr="003A0C5C" w:rsidRDefault="00FF5E9B" w:rsidP="00FF5E9B">
      <w:pPr>
        <w:pStyle w:val="ListBullet"/>
        <w:spacing w:after="120"/>
        <w:ind w:left="1080"/>
        <w:rPr>
          <w:spacing w:val="-4"/>
        </w:rPr>
      </w:pPr>
      <w:r w:rsidRPr="003A0C5C">
        <w:rPr>
          <w:spacing w:val="-4"/>
        </w:rPr>
        <w:t>Higher minimum temperatures, fewer cold days and frost days over nearly all land areas</w:t>
      </w:r>
    </w:p>
    <w:p w14:paraId="7B1BBBBD" w14:textId="5B8BED35" w:rsidR="00FF5E9B" w:rsidRPr="003A0C5C" w:rsidRDefault="00FF5E9B" w:rsidP="00FF5E9B">
      <w:pPr>
        <w:pStyle w:val="ListBullet"/>
        <w:spacing w:after="120"/>
        <w:ind w:left="1080"/>
      </w:pPr>
      <w:r w:rsidRPr="003A0C5C">
        <w:t>Reduced diurnal temperature range over most land areas</w:t>
      </w:r>
    </w:p>
    <w:p w14:paraId="71FE3918" w14:textId="22180237" w:rsidR="00FF5E9B" w:rsidRPr="003A0C5C" w:rsidRDefault="00FF5E9B" w:rsidP="00FF5E9B">
      <w:pPr>
        <w:pStyle w:val="ListBullet"/>
        <w:spacing w:after="120"/>
        <w:ind w:left="1080"/>
      </w:pPr>
      <w:r w:rsidRPr="003A0C5C">
        <w:lastRenderedPageBreak/>
        <w:t>Increase of heat index over land areas</w:t>
      </w:r>
    </w:p>
    <w:p w14:paraId="40E13C3D" w14:textId="0E19CA68" w:rsidR="00FF5E9B" w:rsidRPr="003A0C5C" w:rsidRDefault="00FF5E9B" w:rsidP="00FF5E9B">
      <w:pPr>
        <w:pStyle w:val="ListBullet"/>
        <w:ind w:left="1080"/>
      </w:pPr>
      <w:r w:rsidRPr="003A0C5C">
        <w:t>More intense precipitation events</w:t>
      </w:r>
    </w:p>
    <w:p w14:paraId="1BD0C701" w14:textId="77777777" w:rsidR="00FF5E9B" w:rsidRPr="003A0C5C" w:rsidRDefault="00FF5E9B" w:rsidP="0020432B">
      <w:pPr>
        <w:pStyle w:val="12spaceindentcontinue"/>
      </w:pPr>
      <w:r w:rsidRPr="003A0C5C">
        <w:t>Also, there are many secondary effects that are projected to result from global warming, including global rise in sea level, impacts to agriculture, changes in disease vectors, and changes in habitat and biodiversity. While the possible outcomes and the feedback mechanisms involved are not fully understood and much research remains to be done, the potential for substantial environmental, social, and economic consequences over the long term may be great.</w:t>
      </w:r>
    </w:p>
    <w:p w14:paraId="336F38D9" w14:textId="15D1D0B0" w:rsidR="00FF5E9B" w:rsidRPr="003A0C5C" w:rsidRDefault="00FF5E9B" w:rsidP="0020432B">
      <w:pPr>
        <w:pStyle w:val="12spaceindentcontinue"/>
      </w:pPr>
      <w:r w:rsidRPr="003A0C5C">
        <w:t>California generated 418.2 MMTCO</w:t>
      </w:r>
      <w:r w:rsidRPr="003A0C5C">
        <w:rPr>
          <w:vertAlign w:val="subscript"/>
        </w:rPr>
        <w:t>2</w:t>
      </w:r>
      <w:r w:rsidRPr="003A0C5C">
        <w:t>e in 2019, the latest year for which data are available from CARB (CARB 2021</w:t>
      </w:r>
      <w:r w:rsidR="004E003D" w:rsidRPr="003A0C5C">
        <w:t>a</w:t>
      </w:r>
      <w:r w:rsidRPr="003A0C5C">
        <w:t>). Combustion of fossil fuel in the transportation sector was the single largest source of California’s GHG emissions in 2019, accounting for almost 40 percent of total GHG emissions in the State. This sector was followed by the electric power sector (14 percent) and the residential emissions (7 percent) (CARB 2021</w:t>
      </w:r>
      <w:r w:rsidR="001F5C22" w:rsidRPr="003A0C5C">
        <w:t>a</w:t>
      </w:r>
      <w:r w:rsidRPr="003A0C5C">
        <w:t>).</w:t>
      </w:r>
    </w:p>
    <w:p w14:paraId="4CE49B3F" w14:textId="77777777" w:rsidR="00FF5E9B" w:rsidRPr="003A0C5C" w:rsidRDefault="00FF5E9B" w:rsidP="0020432B">
      <w:pPr>
        <w:pStyle w:val="12spaceindentcontinue"/>
      </w:pPr>
      <w:r w:rsidRPr="003A0C5C">
        <w:t>Impacts of GHGs are borne globally, as opposed to localized air quality effects of criteria air pollutants and toxic air contaminants. The quantity of GHGs that it takes to ultimately result in climate change is not precisely known; however, it is clear that the quantity is enormous, and no single project would measurably contribute to a noticeable incremental change in the global average temperature, or to global, local, or micro climates. From the standpoint of CEQA, GHG impacts to global climate change are inherently cumulative.</w:t>
      </w:r>
    </w:p>
    <w:p w14:paraId="7924A57C" w14:textId="4A2D60A1" w:rsidR="00FF5E9B" w:rsidRPr="003A0C5C" w:rsidRDefault="00FF5E9B" w:rsidP="00A81A95">
      <w:pPr>
        <w:pStyle w:val="12spaceindentcontinue"/>
        <w:rPr>
          <w:spacing w:val="-2"/>
        </w:rPr>
      </w:pPr>
      <w:r w:rsidRPr="003A0C5C">
        <w:rPr>
          <w:spacing w:val="-2"/>
        </w:rPr>
        <w:t>The City of Carson has not adopted a threshold of significance for GHG emissions that would be applicable to this project. In December 2008, the SCAQMD adopted a 10,000 MTCO</w:t>
      </w:r>
      <w:r w:rsidRPr="003A0C5C">
        <w:rPr>
          <w:spacing w:val="-2"/>
          <w:vertAlign w:val="subscript"/>
        </w:rPr>
        <w:t>2</w:t>
      </w:r>
      <w:r w:rsidRPr="003A0C5C">
        <w:rPr>
          <w:spacing w:val="-2"/>
        </w:rPr>
        <w:t xml:space="preserve">e per year significance threshold for industrial facilities for projects in which the SCAQMD is the lead agency. SCAQMD has not formally adopted a significance threshold for GHG emissions generated by a project for which SCAQMD is not the lead agency, </w:t>
      </w:r>
      <w:r w:rsidR="00D0469C" w:rsidRPr="003A0C5C">
        <w:rPr>
          <w:spacing w:val="-2"/>
        </w:rPr>
        <w:t>n</w:t>
      </w:r>
      <w:r w:rsidRPr="003A0C5C">
        <w:rPr>
          <w:spacing w:val="-2"/>
        </w:rPr>
        <w:t>or a uniform methodology for analyzing impacts related to GHG emissions on global climate change</w:t>
      </w:r>
      <w:r w:rsidR="00D0469C" w:rsidRPr="003A0C5C">
        <w:rPr>
          <w:spacing w:val="-2"/>
        </w:rPr>
        <w:t xml:space="preserve">. In </w:t>
      </w:r>
      <w:r w:rsidRPr="003A0C5C">
        <w:rPr>
          <w:spacing w:val="-2"/>
        </w:rPr>
        <w:t xml:space="preserve">the absence of any </w:t>
      </w:r>
      <w:r w:rsidR="00A81A95" w:rsidRPr="003A0C5C">
        <w:rPr>
          <w:spacing w:val="-2"/>
        </w:rPr>
        <w:t xml:space="preserve">applicable adopted or accepted numerical threshold of significance for GHG emissions, the methodology for evaluating the </w:t>
      </w:r>
      <w:r w:rsidR="000E4235" w:rsidRPr="003A0C5C">
        <w:rPr>
          <w:spacing w:val="-2"/>
        </w:rPr>
        <w:t xml:space="preserve">proposed </w:t>
      </w:r>
      <w:r w:rsidR="00A81A95" w:rsidRPr="003A0C5C">
        <w:rPr>
          <w:spacing w:val="-2"/>
        </w:rPr>
        <w:t xml:space="preserve">project’s impacts related to GHG emissions focuses on its consistency with </w:t>
      </w:r>
      <w:r w:rsidR="001C20F9" w:rsidRPr="003A0C5C">
        <w:rPr>
          <w:spacing w:val="-2"/>
        </w:rPr>
        <w:t>State</w:t>
      </w:r>
      <w:r w:rsidR="00A81A95" w:rsidRPr="003A0C5C">
        <w:rPr>
          <w:spacing w:val="-2"/>
        </w:rPr>
        <w:t>, regional, and local plans adopted for the purpose of reducing and/or mitigating GHG emissions.</w:t>
      </w:r>
      <w:r w:rsidR="00485E18" w:rsidRPr="003A0C5C">
        <w:rPr>
          <w:spacing w:val="-2"/>
        </w:rPr>
        <w:t xml:space="preserve"> </w:t>
      </w:r>
      <w:r w:rsidR="00A81A95" w:rsidRPr="003A0C5C">
        <w:rPr>
          <w:spacing w:val="-2"/>
        </w:rPr>
        <w:t xml:space="preserve">This evaluation of consistency with such plans is the sole basis for determining the significance of the </w:t>
      </w:r>
      <w:r w:rsidR="002C350D" w:rsidRPr="003A0C5C">
        <w:rPr>
          <w:spacing w:val="-2"/>
        </w:rPr>
        <w:t>proposed p</w:t>
      </w:r>
      <w:r w:rsidR="00A81A95" w:rsidRPr="003A0C5C">
        <w:rPr>
          <w:spacing w:val="-2"/>
        </w:rPr>
        <w:t xml:space="preserve">roject’s GHG-related impacts on the environment. Notwithstanding, for informational purposes, the analysis also calculates the amount of GHG emissions that would be attributable to the </w:t>
      </w:r>
      <w:r w:rsidR="002C350D" w:rsidRPr="003A0C5C">
        <w:rPr>
          <w:spacing w:val="-2"/>
        </w:rPr>
        <w:t>proposed p</w:t>
      </w:r>
      <w:r w:rsidR="00A81A95" w:rsidRPr="003A0C5C">
        <w:rPr>
          <w:spacing w:val="-2"/>
        </w:rPr>
        <w:t>roject using recommended air quality models, as described below.</w:t>
      </w:r>
      <w:r w:rsidR="00485E18" w:rsidRPr="003A0C5C">
        <w:rPr>
          <w:spacing w:val="-2"/>
        </w:rPr>
        <w:t xml:space="preserve"> </w:t>
      </w:r>
      <w:r w:rsidR="00A81A95" w:rsidRPr="003A0C5C">
        <w:rPr>
          <w:spacing w:val="-2"/>
        </w:rPr>
        <w:t xml:space="preserve">The primary purpose of quantifying the </w:t>
      </w:r>
      <w:r w:rsidR="002C350D" w:rsidRPr="003A0C5C">
        <w:rPr>
          <w:spacing w:val="-2"/>
        </w:rPr>
        <w:t>proposed p</w:t>
      </w:r>
      <w:r w:rsidR="00A81A95" w:rsidRPr="003A0C5C">
        <w:rPr>
          <w:spacing w:val="-2"/>
        </w:rPr>
        <w:t>roject’s GHG emissions is to satisfy CEQA Guidelines Section 15064.4(a), which calls for a good-faith effort to describe and calculate emissions.</w:t>
      </w:r>
      <w:r w:rsidR="00485E18" w:rsidRPr="003A0C5C">
        <w:rPr>
          <w:spacing w:val="-2"/>
        </w:rPr>
        <w:t xml:space="preserve"> </w:t>
      </w:r>
      <w:r w:rsidR="00A81A95" w:rsidRPr="003A0C5C">
        <w:rPr>
          <w:spacing w:val="-2"/>
        </w:rPr>
        <w:t xml:space="preserve">However, the significance of the </w:t>
      </w:r>
      <w:r w:rsidR="002C350D" w:rsidRPr="003A0C5C">
        <w:rPr>
          <w:spacing w:val="-2"/>
        </w:rPr>
        <w:t>proposed p</w:t>
      </w:r>
      <w:r w:rsidR="00A81A95" w:rsidRPr="003A0C5C">
        <w:rPr>
          <w:spacing w:val="-2"/>
        </w:rPr>
        <w:t xml:space="preserve">roject’s GHG emissions impacts is not based on the amount of GHG emissions resulting from the </w:t>
      </w:r>
      <w:r w:rsidR="002C350D" w:rsidRPr="003A0C5C">
        <w:rPr>
          <w:spacing w:val="-2"/>
        </w:rPr>
        <w:t>proposed p</w:t>
      </w:r>
      <w:r w:rsidR="00A81A95" w:rsidRPr="003A0C5C">
        <w:rPr>
          <w:spacing w:val="-2"/>
        </w:rPr>
        <w:t>roject</w:t>
      </w:r>
      <w:r w:rsidRPr="003A0C5C">
        <w:rPr>
          <w:spacing w:val="-2"/>
        </w:rPr>
        <w:t xml:space="preserve">. </w:t>
      </w:r>
      <w:r w:rsidR="00A66481" w:rsidRPr="003A0C5C">
        <w:rPr>
          <w:spacing w:val="-2"/>
        </w:rPr>
        <w:t>Consistent with</w:t>
      </w:r>
      <w:r w:rsidRPr="003A0C5C">
        <w:rPr>
          <w:spacing w:val="-2"/>
        </w:rPr>
        <w:t xml:space="preserve"> SCAQMD guidance</w:t>
      </w:r>
      <w:r w:rsidR="00A66481" w:rsidRPr="003A0C5C">
        <w:rPr>
          <w:spacing w:val="-2"/>
        </w:rPr>
        <w:t>,</w:t>
      </w:r>
      <w:r w:rsidRPr="003A0C5C">
        <w:rPr>
          <w:spacing w:val="-2"/>
        </w:rPr>
        <w:t xml:space="preserve"> total emissions from construction </w:t>
      </w:r>
      <w:r w:rsidR="00A66481" w:rsidRPr="003A0C5C">
        <w:rPr>
          <w:spacing w:val="-2"/>
        </w:rPr>
        <w:t xml:space="preserve">are </w:t>
      </w:r>
      <w:r w:rsidRPr="003A0C5C">
        <w:rPr>
          <w:spacing w:val="-2"/>
        </w:rPr>
        <w:t>amortized over an assumed project lifetime of 30 years and added to operational emissions (SCAQMD 2008).</w:t>
      </w:r>
    </w:p>
    <w:p w14:paraId="443A2486" w14:textId="7E5A6424" w:rsidR="00FF5E9B" w:rsidRPr="003A0C5C" w:rsidRDefault="00FF5E9B" w:rsidP="0020432B">
      <w:pPr>
        <w:pStyle w:val="12spaceindentcontinue"/>
      </w:pPr>
      <w:r w:rsidRPr="003A0C5C">
        <w:lastRenderedPageBreak/>
        <w:t xml:space="preserve">CEQA Guidelines 15064.4 (b)(1) states that a lead agency may use a model or methodology to quantify GHGs associated with a project. In June 2021, the SCAQMD in conjunction with CAPCOA released the latest version of the </w:t>
      </w:r>
      <w:proofErr w:type="spellStart"/>
      <w:r w:rsidRPr="003A0C5C">
        <w:t>CalEEMod</w:t>
      </w:r>
      <w:proofErr w:type="spellEnd"/>
      <w:r w:rsidRPr="003A0C5C">
        <w:t xml:space="preserve"> (Version 2020.4.0). The purpose of this model is to estimate construction-source and operational-source emissions from direct and indirect sources. Accordingly, the latest version of </w:t>
      </w:r>
      <w:proofErr w:type="spellStart"/>
      <w:r w:rsidRPr="003A0C5C">
        <w:t>CalEEMod</w:t>
      </w:r>
      <w:proofErr w:type="spellEnd"/>
      <w:r w:rsidRPr="003A0C5C">
        <w:t xml:space="preserve"> has been used for this </w:t>
      </w:r>
      <w:r w:rsidR="007654F1" w:rsidRPr="003A0C5C">
        <w:t xml:space="preserve">proposed </w:t>
      </w:r>
      <w:r w:rsidRPr="003A0C5C">
        <w:t xml:space="preserve">project to estimate the </w:t>
      </w:r>
      <w:r w:rsidR="007654F1" w:rsidRPr="003A0C5C">
        <w:t xml:space="preserve">proposed </w:t>
      </w:r>
      <w:r w:rsidRPr="003A0C5C">
        <w:t xml:space="preserve">project’s emissions. Construction and operations mobile emissions were estimated outside of </w:t>
      </w:r>
      <w:proofErr w:type="spellStart"/>
      <w:r w:rsidRPr="003A0C5C">
        <w:t>CalEEMod</w:t>
      </w:r>
      <w:proofErr w:type="spellEnd"/>
      <w:r w:rsidRPr="003A0C5C">
        <w:t xml:space="preserve"> to account for EMFAC2021 because EMFAC2021 has not yet been incorporated in the current version of </w:t>
      </w:r>
      <w:proofErr w:type="spellStart"/>
      <w:r w:rsidRPr="003A0C5C">
        <w:t>CalEEMod</w:t>
      </w:r>
      <w:proofErr w:type="spellEnd"/>
      <w:r w:rsidRPr="003A0C5C">
        <w:t xml:space="preserve"> (</w:t>
      </w:r>
      <w:r w:rsidR="0076416C" w:rsidRPr="003A0C5C">
        <w:t>refer to</w:t>
      </w:r>
      <w:r w:rsidRPr="003A0C5C">
        <w:t xml:space="preserve"> </w:t>
      </w:r>
      <w:r w:rsidRPr="003A0C5C">
        <w:rPr>
          <w:b/>
          <w:bCs/>
        </w:rPr>
        <w:t>Appendix </w:t>
      </w:r>
      <w:r w:rsidR="0050211E" w:rsidRPr="003A0C5C">
        <w:rPr>
          <w:b/>
          <w:bCs/>
        </w:rPr>
        <w:t>G</w:t>
      </w:r>
      <w:r w:rsidR="0050211E" w:rsidRPr="003A0C5C">
        <w:t xml:space="preserve"> </w:t>
      </w:r>
      <w:r w:rsidRPr="003A0C5C">
        <w:t>of this IS/MND for additional details).</w:t>
      </w:r>
    </w:p>
    <w:p w14:paraId="0597F676" w14:textId="77777777" w:rsidR="00FF5E9B" w:rsidRPr="003A0C5C" w:rsidRDefault="00FF5E9B" w:rsidP="00FF5E9B">
      <w:pPr>
        <w:pStyle w:val="Heading6"/>
        <w:ind w:left="720"/>
        <w:rPr>
          <w:bCs/>
        </w:rPr>
      </w:pPr>
      <w:r w:rsidRPr="003A0C5C">
        <w:rPr>
          <w:bCs/>
        </w:rPr>
        <w:t>Construction Emissions</w:t>
      </w:r>
    </w:p>
    <w:p w14:paraId="31D6AED0" w14:textId="21CF8AF0" w:rsidR="00FF5E9B" w:rsidRPr="003A0C5C" w:rsidRDefault="00FF5E9B" w:rsidP="0020432B">
      <w:pPr>
        <w:pStyle w:val="12spaceindentcontinue"/>
      </w:pPr>
      <w:r w:rsidRPr="003A0C5C">
        <w:t>Construction activities associated with the proposed project would result in emissions of CO</w:t>
      </w:r>
      <w:r w:rsidRPr="003A0C5C">
        <w:rPr>
          <w:vertAlign w:val="subscript"/>
        </w:rPr>
        <w:t>2</w:t>
      </w:r>
      <w:r w:rsidRPr="003A0C5C">
        <w:t xml:space="preserve"> and, to a lesser extent, CH</w:t>
      </w:r>
      <w:r w:rsidRPr="003A0C5C">
        <w:rPr>
          <w:vertAlign w:val="subscript"/>
        </w:rPr>
        <w:t>4</w:t>
      </w:r>
      <w:r w:rsidRPr="003A0C5C">
        <w:t xml:space="preserve"> and N</w:t>
      </w:r>
      <w:r w:rsidRPr="003A0C5C">
        <w:rPr>
          <w:vertAlign w:val="subscript"/>
        </w:rPr>
        <w:t>2</w:t>
      </w:r>
      <w:r w:rsidRPr="003A0C5C">
        <w:t xml:space="preserve">O. Construction-period GHG emissions were quantified based on the same construction schedule and activities as described above in </w:t>
      </w:r>
      <w:r w:rsidR="000273B8" w:rsidRPr="003A0C5C">
        <w:t>Section</w:t>
      </w:r>
      <w:r w:rsidRPr="003A0C5C">
        <w:t xml:space="preserve"> III</w:t>
      </w:r>
      <w:r w:rsidR="000273B8" w:rsidRPr="003A0C5C">
        <w:t xml:space="preserve"> (</w:t>
      </w:r>
      <w:r w:rsidRPr="003A0C5C">
        <w:t>b</w:t>
      </w:r>
      <w:r w:rsidR="000273B8" w:rsidRPr="003A0C5C">
        <w:t>)</w:t>
      </w:r>
      <w:r w:rsidRPr="003A0C5C">
        <w:t>.</w:t>
      </w:r>
      <w:r w:rsidRPr="003A0C5C" w:rsidDel="00DF18D0">
        <w:t xml:space="preserve"> </w:t>
      </w:r>
      <w:r w:rsidRPr="003A0C5C">
        <w:t xml:space="preserve">To amortize the emissions over the life of </w:t>
      </w:r>
      <w:r w:rsidR="00CC5C12" w:rsidRPr="003A0C5C">
        <w:t xml:space="preserve">a </w:t>
      </w:r>
      <w:r w:rsidRPr="003A0C5C">
        <w:t>project, the SCAQMD recommends calculating the total GHG emissions attributable to construction activities, dividing it by a 30-year project life, and then adding that number to a project’s annual operational-phase GHG emissions. As such, construction emissions were amortized over a 30-year period and included in the proposed project’s annual operational-phase GHG emissions.</w:t>
      </w:r>
    </w:p>
    <w:p w14:paraId="13FD1FE8" w14:textId="77777777" w:rsidR="00FF5E9B" w:rsidRPr="003A0C5C" w:rsidRDefault="00FF5E9B" w:rsidP="00FF5E9B">
      <w:pPr>
        <w:pStyle w:val="Heading6"/>
        <w:ind w:left="720"/>
        <w:rPr>
          <w:bCs/>
        </w:rPr>
      </w:pPr>
      <w:r w:rsidRPr="003A0C5C">
        <w:rPr>
          <w:bCs/>
        </w:rPr>
        <w:t>Operational Emissions</w:t>
      </w:r>
    </w:p>
    <w:p w14:paraId="70BDBF8D" w14:textId="77777777" w:rsidR="00FF5E9B" w:rsidRPr="003A0C5C" w:rsidRDefault="00FF5E9B" w:rsidP="00FF5E9B">
      <w:pPr>
        <w:pStyle w:val="Heading7"/>
        <w:ind w:left="720"/>
        <w:rPr>
          <w:bCs/>
          <w:iCs w:val="0"/>
        </w:rPr>
      </w:pPr>
      <w:r w:rsidRPr="003A0C5C">
        <w:rPr>
          <w:bCs/>
          <w:iCs w:val="0"/>
        </w:rPr>
        <w:t>GHG Emissions</w:t>
      </w:r>
    </w:p>
    <w:p w14:paraId="3A6A6DDF" w14:textId="6CC0C411" w:rsidR="00FF5E9B" w:rsidRPr="003A0C5C" w:rsidRDefault="00FF5E9B" w:rsidP="0020432B">
      <w:pPr>
        <w:pStyle w:val="12spaceindentcontinue"/>
      </w:pPr>
      <w:r w:rsidRPr="003A0C5C">
        <w:t xml:space="preserve">Operational activities associated with the </w:t>
      </w:r>
      <w:r w:rsidR="00CC5C12" w:rsidRPr="003A0C5C">
        <w:t xml:space="preserve">proposed </w:t>
      </w:r>
      <w:r w:rsidRPr="003A0C5C">
        <w:t>project would result in emissions of CO</w:t>
      </w:r>
      <w:r w:rsidRPr="003A0C5C">
        <w:rPr>
          <w:vertAlign w:val="subscript"/>
        </w:rPr>
        <w:t>2</w:t>
      </w:r>
      <w:r w:rsidRPr="003A0C5C">
        <w:t xml:space="preserve"> and, to a lesser extent CH</w:t>
      </w:r>
      <w:r w:rsidRPr="003A0C5C">
        <w:rPr>
          <w:vertAlign w:val="subscript"/>
        </w:rPr>
        <w:t>4</w:t>
      </w:r>
      <w:r w:rsidRPr="003A0C5C">
        <w:t xml:space="preserve"> and N</w:t>
      </w:r>
      <w:r w:rsidRPr="003A0C5C">
        <w:rPr>
          <w:vertAlign w:val="subscript"/>
        </w:rPr>
        <w:t>2</w:t>
      </w:r>
      <w:r w:rsidRPr="003A0C5C">
        <w:t>O. Operational sources of GHG emissions would include mobile sources from vehicles traveling to and from the site, and indirect GHG emissions from export of electricity, water consumption, and waste generation.</w:t>
      </w:r>
    </w:p>
    <w:p w14:paraId="2005E259" w14:textId="49E0CFB0" w:rsidR="00FF5E9B" w:rsidRPr="003A0C5C" w:rsidRDefault="00FF5E9B" w:rsidP="0020432B">
      <w:pPr>
        <w:pStyle w:val="12spaceindentcontinue"/>
      </w:pPr>
      <w:r w:rsidRPr="003A0C5C">
        <w:t xml:space="preserve">A maximum of 580 trips per day are expected (Fehr &amp; Peers </w:t>
      </w:r>
      <w:r w:rsidR="00D715B2" w:rsidRPr="003A0C5C">
        <w:t>2022</w:t>
      </w:r>
      <w:r w:rsidRPr="003A0C5C">
        <w:t xml:space="preserve">). GHG emissions from mobile sources are based on the vehicle emission factors from EMFAC2021 and the default trip length and trip distribution values for the project land uses in </w:t>
      </w:r>
      <w:proofErr w:type="spellStart"/>
      <w:r w:rsidRPr="003A0C5C">
        <w:t>CalEEMod</w:t>
      </w:r>
      <w:proofErr w:type="spellEnd"/>
      <w:r w:rsidRPr="003A0C5C">
        <w:t xml:space="preserve">, which are Air District-wide average trip distance and trip distribution values. Daily trip generation from the </w:t>
      </w:r>
      <w:r w:rsidR="00CC5C12" w:rsidRPr="003A0C5C">
        <w:t xml:space="preserve">proposed </w:t>
      </w:r>
      <w:r w:rsidRPr="003A0C5C">
        <w:t xml:space="preserve">project’s </w:t>
      </w:r>
      <w:r w:rsidR="00B17DC0" w:rsidRPr="003A0C5C">
        <w:t>LTA</w:t>
      </w:r>
      <w:r w:rsidRPr="003A0C5C">
        <w:t xml:space="preserve">, provided in </w:t>
      </w:r>
      <w:r w:rsidRPr="003A0C5C">
        <w:rPr>
          <w:b/>
          <w:bCs/>
        </w:rPr>
        <w:t>Appendix </w:t>
      </w:r>
      <w:r w:rsidR="0050211E" w:rsidRPr="003A0C5C">
        <w:rPr>
          <w:b/>
          <w:bCs/>
        </w:rPr>
        <w:t>L</w:t>
      </w:r>
      <w:r w:rsidR="0076416C" w:rsidRPr="003A0C5C">
        <w:t xml:space="preserve"> of this IS/MND</w:t>
      </w:r>
      <w:r w:rsidRPr="003A0C5C">
        <w:t xml:space="preserve">, were used to estimate the total </w:t>
      </w:r>
      <w:r w:rsidRPr="003A0C5C">
        <w:rPr>
          <w:lang w:eastAsia="ko-KR"/>
        </w:rPr>
        <w:t>VMT</w:t>
      </w:r>
      <w:r w:rsidRPr="003A0C5C">
        <w:t xml:space="preserve"> for the project trips (Fehr &amp; Peers </w:t>
      </w:r>
      <w:r w:rsidR="00B17DC0" w:rsidRPr="003A0C5C">
        <w:t>2022</w:t>
      </w:r>
      <w:r w:rsidRPr="003A0C5C">
        <w:t>).</w:t>
      </w:r>
    </w:p>
    <w:p w14:paraId="1CC93E1C" w14:textId="508C6C8D" w:rsidR="00FF5E9B" w:rsidRPr="003A0C5C" w:rsidRDefault="00FF5E9B" w:rsidP="0020432B">
      <w:pPr>
        <w:pStyle w:val="12spaceindentcontinue"/>
        <w:rPr>
          <w:highlight w:val="yellow"/>
        </w:rPr>
      </w:pPr>
      <w:r w:rsidRPr="003A0C5C">
        <w:t xml:space="preserve">Emissions of GHGs also resulted from the consumption of fossil fuels to generate electricity and to provide heating and hot water to the project site. The </w:t>
      </w:r>
      <w:r w:rsidR="00CC5C12" w:rsidRPr="003A0C5C">
        <w:t xml:space="preserve">project </w:t>
      </w:r>
      <w:r w:rsidRPr="003A0C5C">
        <w:t>electricity demands are supplied by SCE</w:t>
      </w:r>
      <w:r w:rsidR="00C74966" w:rsidRPr="003A0C5C">
        <w:t>,</w:t>
      </w:r>
      <w:r w:rsidRPr="003A0C5C">
        <w:t xml:space="preserve"> which indicates their renewable power accounted for 3</w:t>
      </w:r>
      <w:r w:rsidR="004F6AFC" w:rsidRPr="003A0C5C">
        <w:t>0</w:t>
      </w:r>
      <w:r w:rsidRPr="003A0C5C">
        <w:t>.</w:t>
      </w:r>
      <w:r w:rsidR="004F6AFC" w:rsidRPr="003A0C5C">
        <w:t>9</w:t>
      </w:r>
      <w:r w:rsidR="00C74966" w:rsidRPr="003A0C5C">
        <w:t> </w:t>
      </w:r>
      <w:r w:rsidRPr="003A0C5C">
        <w:t>percent in 20</w:t>
      </w:r>
      <w:r w:rsidR="00B06291" w:rsidRPr="003A0C5C">
        <w:t>20</w:t>
      </w:r>
      <w:r w:rsidRPr="003A0C5C">
        <w:t>.</w:t>
      </w:r>
      <w:r w:rsidR="00485E18" w:rsidRPr="003A0C5C">
        <w:t xml:space="preserve"> </w:t>
      </w:r>
    </w:p>
    <w:p w14:paraId="6F60807A" w14:textId="4C40DC84" w:rsidR="00FF5E9B" w:rsidRPr="003A0C5C" w:rsidRDefault="00FF5E9B" w:rsidP="0020432B">
      <w:pPr>
        <w:pStyle w:val="12spaceindentcontinue"/>
        <w:rPr>
          <w:highlight w:val="yellow"/>
        </w:rPr>
      </w:pPr>
      <w:r w:rsidRPr="003A0C5C">
        <w:t xml:space="preserve">GHG emissions from solid waste disposal are also calculated using </w:t>
      </w:r>
      <w:proofErr w:type="spellStart"/>
      <w:r w:rsidRPr="003A0C5C">
        <w:t>CalEEMod</w:t>
      </w:r>
      <w:proofErr w:type="spellEnd"/>
      <w:r w:rsidRPr="003A0C5C">
        <w:t xml:space="preserve">. Emissions are based on solid waste calculated for the </w:t>
      </w:r>
      <w:r w:rsidR="00CC5C12" w:rsidRPr="003A0C5C">
        <w:t xml:space="preserve">proposed project </w:t>
      </w:r>
      <w:r w:rsidRPr="003A0C5C">
        <w:t>and the GHG emission factors for solid waste decomposition. The GHG emission factors, particularly for CH</w:t>
      </w:r>
      <w:r w:rsidRPr="003A0C5C">
        <w:rPr>
          <w:vertAlign w:val="subscript"/>
        </w:rPr>
        <w:t>4</w:t>
      </w:r>
      <w:r w:rsidRPr="003A0C5C">
        <w:t xml:space="preserve">, depend on characteristics of the landfill, such as the presence of a landfill gas capture system and </w:t>
      </w:r>
      <w:r w:rsidRPr="003A0C5C">
        <w:lastRenderedPageBreak/>
        <w:t xml:space="preserve">subsequent flaring or energy recovery. The default values, as provided in </w:t>
      </w:r>
      <w:proofErr w:type="spellStart"/>
      <w:r w:rsidRPr="003A0C5C">
        <w:t>CalEEMod</w:t>
      </w:r>
      <w:proofErr w:type="spellEnd"/>
      <w:r w:rsidRPr="003A0C5C">
        <w:t xml:space="preserve">, for landfill gas capture (e.g., no capture, flaring, energy recovery) are statewide averages and are used in this assessment. </w:t>
      </w:r>
    </w:p>
    <w:p w14:paraId="642DAD06" w14:textId="77777777" w:rsidR="00FF5E9B" w:rsidRPr="003A0C5C" w:rsidRDefault="00FF5E9B" w:rsidP="00FF5E9B">
      <w:pPr>
        <w:pStyle w:val="Heading6"/>
        <w:ind w:left="720"/>
        <w:rPr>
          <w:bCs/>
        </w:rPr>
      </w:pPr>
      <w:r w:rsidRPr="003A0C5C">
        <w:rPr>
          <w:bCs/>
        </w:rPr>
        <w:t>Emissions Summary</w:t>
      </w:r>
    </w:p>
    <w:p w14:paraId="47539DD0" w14:textId="0E3B26C3" w:rsidR="00FF5E9B" w:rsidRPr="003A0C5C" w:rsidRDefault="00FF5E9B" w:rsidP="0020432B">
      <w:pPr>
        <w:pStyle w:val="12spaceindentcontinue"/>
      </w:pPr>
      <w:r w:rsidRPr="003A0C5C">
        <w:t xml:space="preserve">The </w:t>
      </w:r>
      <w:r w:rsidR="00CC5C12" w:rsidRPr="003A0C5C">
        <w:t xml:space="preserve">proposed </w:t>
      </w:r>
      <w:r w:rsidRPr="003A0C5C">
        <w:t xml:space="preserve">project’s annual GHG emissions are shown in </w:t>
      </w:r>
      <w:r w:rsidRPr="003A0C5C">
        <w:rPr>
          <w:rStyle w:val="Bold"/>
        </w:rPr>
        <w:t>Table </w:t>
      </w:r>
      <w:r w:rsidR="004D1D08" w:rsidRPr="003A0C5C">
        <w:rPr>
          <w:rStyle w:val="Bold"/>
        </w:rPr>
        <w:t>8</w:t>
      </w:r>
      <w:r w:rsidRPr="003A0C5C">
        <w:t xml:space="preserve">, </w:t>
      </w:r>
      <w:r w:rsidRPr="003A0C5C">
        <w:rPr>
          <w:rStyle w:val="Italic"/>
        </w:rPr>
        <w:t>Annual Project Greenhouse Gas Emissions</w:t>
      </w:r>
      <w:r w:rsidRPr="003A0C5C">
        <w:t xml:space="preserve">. As shown, the </w:t>
      </w:r>
      <w:r w:rsidR="00CC5C12" w:rsidRPr="003A0C5C">
        <w:t xml:space="preserve">proposed </w:t>
      </w:r>
      <w:r w:rsidRPr="003A0C5C">
        <w:t xml:space="preserve">project’s total GHG emissions would be </w:t>
      </w:r>
      <w:r w:rsidR="005B3C22" w:rsidRPr="003A0C5C">
        <w:t>876</w:t>
      </w:r>
      <w:r w:rsidRPr="003A0C5C">
        <w:t xml:space="preserve"> MTCO</w:t>
      </w:r>
      <w:r w:rsidRPr="003A0C5C">
        <w:rPr>
          <w:vertAlign w:val="subscript"/>
        </w:rPr>
        <w:t>2</w:t>
      </w:r>
      <w:r w:rsidRPr="003A0C5C">
        <w:t xml:space="preserve">e. GHG emission calculations are provided in </w:t>
      </w:r>
      <w:r w:rsidRPr="003A0C5C">
        <w:rPr>
          <w:b/>
          <w:bCs/>
        </w:rPr>
        <w:t>Appendix </w:t>
      </w:r>
      <w:r w:rsidR="0050211E" w:rsidRPr="003A0C5C">
        <w:rPr>
          <w:b/>
          <w:bCs/>
        </w:rPr>
        <w:t>G</w:t>
      </w:r>
      <w:r w:rsidR="0076416C" w:rsidRPr="003A0C5C">
        <w:t xml:space="preserve"> of this IS/MND</w:t>
      </w:r>
      <w:r w:rsidRPr="003A0C5C">
        <w:t>.</w:t>
      </w:r>
    </w:p>
    <w:tbl>
      <w:tblPr>
        <w:tblW w:w="0" w:type="auto"/>
        <w:jc w:val="center"/>
        <w:tblLayout w:type="fixed"/>
        <w:tblCellMar>
          <w:left w:w="86" w:type="dxa"/>
          <w:right w:w="86" w:type="dxa"/>
        </w:tblCellMar>
        <w:tblLook w:val="04A0" w:firstRow="1" w:lastRow="0" w:firstColumn="1" w:lastColumn="0" w:noHBand="0" w:noVBand="1"/>
      </w:tblPr>
      <w:tblGrid>
        <w:gridCol w:w="3758"/>
        <w:gridCol w:w="3014"/>
      </w:tblGrid>
      <w:tr w:rsidR="003A0C5C" w:rsidRPr="003A0C5C" w14:paraId="63C5DBCD" w14:textId="77777777" w:rsidTr="00541876">
        <w:trPr>
          <w:cantSplit/>
          <w:tblHeader/>
          <w:jc w:val="center"/>
        </w:trPr>
        <w:tc>
          <w:tcPr>
            <w:tcW w:w="6772" w:type="dxa"/>
            <w:gridSpan w:val="2"/>
            <w:tcBorders>
              <w:bottom w:val="single" w:sz="4" w:space="0" w:color="auto"/>
            </w:tcBorders>
            <w:vAlign w:val="bottom"/>
          </w:tcPr>
          <w:p w14:paraId="6DDA1E35" w14:textId="6DABF53C" w:rsidR="00FF5E9B" w:rsidRPr="003A0C5C" w:rsidRDefault="00FF5E9B" w:rsidP="004D1D08">
            <w:pPr>
              <w:pStyle w:val="TableNoTitle"/>
            </w:pPr>
            <w:bookmarkStart w:id="69" w:name="_Toc101792200"/>
            <w:r w:rsidRPr="003A0C5C">
              <w:t>Table </w:t>
            </w:r>
            <w:r w:rsidR="004D1D08" w:rsidRPr="003A0C5C">
              <w:t>8</w:t>
            </w:r>
            <w:r w:rsidRPr="003A0C5C">
              <w:br/>
            </w:r>
            <w:r w:rsidRPr="003A0C5C">
              <w:tab/>
              <w:t>Annual Project Greenhouse Gas Emissions</w:t>
            </w:r>
            <w:bookmarkEnd w:id="69"/>
          </w:p>
        </w:tc>
      </w:tr>
      <w:tr w:rsidR="003A0C5C" w:rsidRPr="003A0C5C" w14:paraId="185D6E8A" w14:textId="77777777" w:rsidTr="00541876">
        <w:trPr>
          <w:cantSplit/>
          <w:tblHeader/>
          <w:jc w:val="center"/>
        </w:trPr>
        <w:tc>
          <w:tcPr>
            <w:tcW w:w="3758" w:type="dxa"/>
            <w:tcBorders>
              <w:top w:val="single" w:sz="4" w:space="0" w:color="auto"/>
              <w:bottom w:val="single" w:sz="12" w:space="0" w:color="auto"/>
            </w:tcBorders>
            <w:vAlign w:val="bottom"/>
          </w:tcPr>
          <w:p w14:paraId="388E2DC0" w14:textId="77777777" w:rsidR="00FF5E9B" w:rsidRPr="003A0C5C" w:rsidRDefault="00FF5E9B" w:rsidP="003C2FE6">
            <w:pPr>
              <w:pStyle w:val="Tablecolumnheading"/>
            </w:pPr>
            <w:r w:rsidRPr="003A0C5C">
              <w:t>Emissions Sources</w:t>
            </w:r>
          </w:p>
        </w:tc>
        <w:tc>
          <w:tcPr>
            <w:tcW w:w="3014" w:type="dxa"/>
            <w:tcBorders>
              <w:top w:val="single" w:sz="4" w:space="0" w:color="auto"/>
              <w:bottom w:val="single" w:sz="12" w:space="0" w:color="auto"/>
            </w:tcBorders>
            <w:vAlign w:val="bottom"/>
          </w:tcPr>
          <w:p w14:paraId="417DF644" w14:textId="77777777" w:rsidR="00FF5E9B" w:rsidRPr="003A0C5C" w:rsidRDefault="00FF5E9B" w:rsidP="003C2FE6">
            <w:pPr>
              <w:pStyle w:val="Tablecolumnheading"/>
              <w:jc w:val="center"/>
            </w:pPr>
            <w:r w:rsidRPr="003A0C5C">
              <w:t>CO</w:t>
            </w:r>
            <w:r w:rsidRPr="003A0C5C">
              <w:rPr>
                <w:vertAlign w:val="subscript"/>
              </w:rPr>
              <w:t>2</w:t>
            </w:r>
            <w:r w:rsidRPr="003A0C5C">
              <w:t xml:space="preserve">e (Metric Tons per </w:t>
            </w:r>
            <w:proofErr w:type="gramStart"/>
            <w:r w:rsidRPr="003A0C5C">
              <w:t>Year)</w:t>
            </w:r>
            <w:r w:rsidRPr="003A0C5C">
              <w:rPr>
                <w:rStyle w:val="Tablefootnote"/>
              </w:rPr>
              <w:t>a</w:t>
            </w:r>
            <w:proofErr w:type="gramEnd"/>
          </w:p>
        </w:tc>
      </w:tr>
      <w:tr w:rsidR="003A0C5C" w:rsidRPr="003A0C5C" w14:paraId="0016EE8A" w14:textId="77777777" w:rsidTr="00541876">
        <w:trPr>
          <w:cantSplit/>
          <w:jc w:val="center"/>
        </w:trPr>
        <w:tc>
          <w:tcPr>
            <w:tcW w:w="3758" w:type="dxa"/>
            <w:tcBorders>
              <w:top w:val="single" w:sz="12" w:space="0" w:color="auto"/>
              <w:bottom w:val="nil"/>
              <w:right w:val="nil"/>
            </w:tcBorders>
            <w:shd w:val="clear" w:color="auto" w:fill="auto"/>
          </w:tcPr>
          <w:p w14:paraId="536663D2" w14:textId="77777777" w:rsidR="00FF5E9B" w:rsidRPr="003A0C5C" w:rsidRDefault="00FF5E9B" w:rsidP="003C2FE6">
            <w:pPr>
              <w:pStyle w:val="Tabletext"/>
              <w:keepNext/>
            </w:pPr>
            <w:r w:rsidRPr="003A0C5C">
              <w:t>Area</w:t>
            </w:r>
          </w:p>
        </w:tc>
        <w:tc>
          <w:tcPr>
            <w:tcW w:w="3014" w:type="dxa"/>
            <w:tcBorders>
              <w:top w:val="single" w:sz="12" w:space="0" w:color="auto"/>
              <w:left w:val="nil"/>
              <w:bottom w:val="nil"/>
            </w:tcBorders>
            <w:shd w:val="clear" w:color="auto" w:fill="auto"/>
          </w:tcPr>
          <w:p w14:paraId="1A105844" w14:textId="77777777" w:rsidR="00FF5E9B" w:rsidRPr="003A0C5C" w:rsidRDefault="00FF5E9B" w:rsidP="003C2FE6">
            <w:pPr>
              <w:pStyle w:val="Tabletext"/>
              <w:keepNext/>
              <w:jc w:val="center"/>
            </w:pPr>
            <w:r w:rsidRPr="003A0C5C">
              <w:t>&lt;1</w:t>
            </w:r>
          </w:p>
        </w:tc>
      </w:tr>
      <w:tr w:rsidR="003A0C5C" w:rsidRPr="003A0C5C" w14:paraId="7C9647D4" w14:textId="77777777" w:rsidTr="00541876">
        <w:trPr>
          <w:cantSplit/>
          <w:jc w:val="center"/>
        </w:trPr>
        <w:tc>
          <w:tcPr>
            <w:tcW w:w="3758" w:type="dxa"/>
            <w:tcBorders>
              <w:top w:val="nil"/>
              <w:bottom w:val="nil"/>
              <w:right w:val="nil"/>
            </w:tcBorders>
            <w:shd w:val="clear" w:color="auto" w:fill="auto"/>
          </w:tcPr>
          <w:p w14:paraId="0AC9E2B4" w14:textId="77777777" w:rsidR="00FF5E9B" w:rsidRPr="003A0C5C" w:rsidRDefault="00FF5E9B" w:rsidP="003C2FE6">
            <w:pPr>
              <w:pStyle w:val="Tabletext"/>
              <w:keepNext/>
            </w:pPr>
            <w:r w:rsidRPr="003A0C5C">
              <w:t>Energy (Electricity, Natural Gas)</w:t>
            </w:r>
          </w:p>
        </w:tc>
        <w:tc>
          <w:tcPr>
            <w:tcW w:w="3014" w:type="dxa"/>
            <w:tcBorders>
              <w:top w:val="nil"/>
              <w:left w:val="nil"/>
              <w:bottom w:val="nil"/>
            </w:tcBorders>
            <w:shd w:val="clear" w:color="auto" w:fill="auto"/>
          </w:tcPr>
          <w:p w14:paraId="7E0ABA34" w14:textId="77777777" w:rsidR="00FF5E9B" w:rsidRPr="003A0C5C" w:rsidRDefault="00FF5E9B" w:rsidP="003C2FE6">
            <w:pPr>
              <w:pStyle w:val="Tabletext"/>
              <w:keepNext/>
              <w:jc w:val="center"/>
            </w:pPr>
            <w:r w:rsidRPr="003A0C5C">
              <w:t>77</w:t>
            </w:r>
          </w:p>
        </w:tc>
      </w:tr>
      <w:tr w:rsidR="003A0C5C" w:rsidRPr="003A0C5C" w14:paraId="51C800B6" w14:textId="77777777" w:rsidTr="00541876">
        <w:trPr>
          <w:cantSplit/>
          <w:jc w:val="center"/>
        </w:trPr>
        <w:tc>
          <w:tcPr>
            <w:tcW w:w="3758" w:type="dxa"/>
            <w:tcBorders>
              <w:top w:val="nil"/>
              <w:bottom w:val="nil"/>
              <w:right w:val="nil"/>
            </w:tcBorders>
            <w:shd w:val="clear" w:color="auto" w:fill="auto"/>
          </w:tcPr>
          <w:p w14:paraId="2C4E9038" w14:textId="77777777" w:rsidR="00FF5E9B" w:rsidRPr="003A0C5C" w:rsidRDefault="00FF5E9B" w:rsidP="003C2FE6">
            <w:pPr>
              <w:pStyle w:val="Tabletext"/>
              <w:keepNext/>
            </w:pPr>
            <w:r w:rsidRPr="003A0C5C">
              <w:t xml:space="preserve">Mobile </w:t>
            </w:r>
          </w:p>
        </w:tc>
        <w:tc>
          <w:tcPr>
            <w:tcW w:w="3014" w:type="dxa"/>
            <w:tcBorders>
              <w:top w:val="nil"/>
              <w:left w:val="nil"/>
              <w:bottom w:val="nil"/>
            </w:tcBorders>
            <w:shd w:val="clear" w:color="auto" w:fill="auto"/>
          </w:tcPr>
          <w:p w14:paraId="5CFF8617" w14:textId="77777777" w:rsidR="00FF5E9B" w:rsidRPr="003A0C5C" w:rsidRDefault="00FF5E9B" w:rsidP="003C2FE6">
            <w:pPr>
              <w:pStyle w:val="Tabletext"/>
              <w:keepNext/>
              <w:jc w:val="center"/>
            </w:pPr>
            <w:r w:rsidRPr="003A0C5C">
              <w:t>640</w:t>
            </w:r>
          </w:p>
        </w:tc>
      </w:tr>
      <w:tr w:rsidR="003A0C5C" w:rsidRPr="003A0C5C" w14:paraId="58B17038" w14:textId="77777777" w:rsidTr="00541876">
        <w:trPr>
          <w:cantSplit/>
          <w:jc w:val="center"/>
        </w:trPr>
        <w:tc>
          <w:tcPr>
            <w:tcW w:w="3758" w:type="dxa"/>
            <w:tcBorders>
              <w:top w:val="nil"/>
              <w:bottom w:val="nil"/>
              <w:right w:val="nil"/>
            </w:tcBorders>
            <w:shd w:val="clear" w:color="auto" w:fill="auto"/>
          </w:tcPr>
          <w:p w14:paraId="00D03697" w14:textId="77777777" w:rsidR="00FF5E9B" w:rsidRPr="003A0C5C" w:rsidRDefault="00FF5E9B" w:rsidP="003C2FE6">
            <w:pPr>
              <w:pStyle w:val="Tabletext"/>
              <w:keepNext/>
            </w:pPr>
            <w:r w:rsidRPr="003A0C5C">
              <w:t>EV Charging</w:t>
            </w:r>
          </w:p>
        </w:tc>
        <w:tc>
          <w:tcPr>
            <w:tcW w:w="3014" w:type="dxa"/>
            <w:tcBorders>
              <w:top w:val="nil"/>
              <w:left w:val="nil"/>
              <w:bottom w:val="nil"/>
            </w:tcBorders>
            <w:shd w:val="clear" w:color="auto" w:fill="auto"/>
          </w:tcPr>
          <w:p w14:paraId="4ECAE49E" w14:textId="77777777" w:rsidR="00FF5E9B" w:rsidRPr="003A0C5C" w:rsidRDefault="00FF5E9B" w:rsidP="003C2FE6">
            <w:pPr>
              <w:pStyle w:val="Tabletext"/>
              <w:keepNext/>
              <w:jc w:val="center"/>
            </w:pPr>
            <w:r w:rsidRPr="003A0C5C">
              <w:t>1</w:t>
            </w:r>
          </w:p>
        </w:tc>
      </w:tr>
      <w:tr w:rsidR="003A0C5C" w:rsidRPr="003A0C5C" w14:paraId="33BFADD7" w14:textId="77777777" w:rsidTr="00541876">
        <w:trPr>
          <w:cantSplit/>
          <w:jc w:val="center"/>
        </w:trPr>
        <w:tc>
          <w:tcPr>
            <w:tcW w:w="3758" w:type="dxa"/>
            <w:tcBorders>
              <w:top w:val="nil"/>
              <w:bottom w:val="nil"/>
              <w:right w:val="nil"/>
            </w:tcBorders>
            <w:shd w:val="clear" w:color="auto" w:fill="auto"/>
          </w:tcPr>
          <w:p w14:paraId="2A2AEC16" w14:textId="77777777" w:rsidR="00FF5E9B" w:rsidRPr="003A0C5C" w:rsidRDefault="00FF5E9B" w:rsidP="003C2FE6">
            <w:pPr>
              <w:pStyle w:val="Tabletext"/>
              <w:keepNext/>
            </w:pPr>
            <w:r w:rsidRPr="003A0C5C">
              <w:t>Waste</w:t>
            </w:r>
          </w:p>
        </w:tc>
        <w:tc>
          <w:tcPr>
            <w:tcW w:w="3014" w:type="dxa"/>
            <w:tcBorders>
              <w:top w:val="nil"/>
              <w:left w:val="nil"/>
              <w:bottom w:val="nil"/>
            </w:tcBorders>
            <w:shd w:val="clear" w:color="auto" w:fill="auto"/>
          </w:tcPr>
          <w:p w14:paraId="4BAFD65E" w14:textId="77777777" w:rsidR="00FF5E9B" w:rsidRPr="003A0C5C" w:rsidRDefault="00FF5E9B" w:rsidP="003C2FE6">
            <w:pPr>
              <w:pStyle w:val="Tabletext"/>
              <w:keepNext/>
              <w:jc w:val="center"/>
            </w:pPr>
            <w:r w:rsidRPr="003A0C5C">
              <w:t>62</w:t>
            </w:r>
          </w:p>
        </w:tc>
      </w:tr>
      <w:tr w:rsidR="003A0C5C" w:rsidRPr="003A0C5C" w14:paraId="55C7A923" w14:textId="77777777" w:rsidTr="00541876">
        <w:trPr>
          <w:cantSplit/>
          <w:jc w:val="center"/>
        </w:trPr>
        <w:tc>
          <w:tcPr>
            <w:tcW w:w="3758" w:type="dxa"/>
            <w:tcBorders>
              <w:top w:val="nil"/>
              <w:bottom w:val="nil"/>
              <w:right w:val="nil"/>
            </w:tcBorders>
            <w:shd w:val="clear" w:color="auto" w:fill="auto"/>
          </w:tcPr>
          <w:p w14:paraId="5B7CD4D7" w14:textId="77777777" w:rsidR="00FF5E9B" w:rsidRPr="003A0C5C" w:rsidRDefault="00FF5E9B" w:rsidP="003C2FE6">
            <w:pPr>
              <w:pStyle w:val="Tabletext"/>
              <w:keepNext/>
            </w:pPr>
            <w:r w:rsidRPr="003A0C5C">
              <w:t>Water</w:t>
            </w:r>
          </w:p>
        </w:tc>
        <w:tc>
          <w:tcPr>
            <w:tcW w:w="3014" w:type="dxa"/>
            <w:tcBorders>
              <w:top w:val="nil"/>
              <w:left w:val="nil"/>
              <w:bottom w:val="nil"/>
            </w:tcBorders>
            <w:shd w:val="clear" w:color="auto" w:fill="auto"/>
          </w:tcPr>
          <w:p w14:paraId="5EFE1DBC" w14:textId="77777777" w:rsidR="00FF5E9B" w:rsidRPr="003A0C5C" w:rsidRDefault="00FF5E9B" w:rsidP="003C2FE6">
            <w:pPr>
              <w:pStyle w:val="Tabletext"/>
              <w:keepNext/>
              <w:jc w:val="center"/>
            </w:pPr>
            <w:r w:rsidRPr="003A0C5C">
              <w:t>69</w:t>
            </w:r>
          </w:p>
        </w:tc>
      </w:tr>
      <w:tr w:rsidR="003A0C5C" w:rsidRPr="003A0C5C" w14:paraId="013015A6" w14:textId="77777777" w:rsidTr="00541876">
        <w:trPr>
          <w:cantSplit/>
          <w:jc w:val="center"/>
        </w:trPr>
        <w:tc>
          <w:tcPr>
            <w:tcW w:w="3758" w:type="dxa"/>
            <w:tcBorders>
              <w:top w:val="nil"/>
              <w:bottom w:val="nil"/>
              <w:right w:val="nil"/>
            </w:tcBorders>
            <w:shd w:val="clear" w:color="auto" w:fill="auto"/>
          </w:tcPr>
          <w:p w14:paraId="67B07682" w14:textId="77777777" w:rsidR="00FF5E9B" w:rsidRPr="003A0C5C" w:rsidRDefault="00FF5E9B" w:rsidP="003C2FE6">
            <w:pPr>
              <w:pStyle w:val="Tabletext"/>
              <w:keepNext/>
              <w:rPr>
                <w:vertAlign w:val="superscript"/>
              </w:rPr>
            </w:pPr>
            <w:r w:rsidRPr="003A0C5C">
              <w:t>Construction</w:t>
            </w:r>
            <w:r w:rsidRPr="003A0C5C">
              <w:rPr>
                <w:rStyle w:val="Tablefootnote"/>
              </w:rPr>
              <w:t>b</w:t>
            </w:r>
          </w:p>
        </w:tc>
        <w:tc>
          <w:tcPr>
            <w:tcW w:w="3014" w:type="dxa"/>
            <w:tcBorders>
              <w:top w:val="nil"/>
              <w:left w:val="nil"/>
              <w:bottom w:val="nil"/>
            </w:tcBorders>
            <w:shd w:val="clear" w:color="auto" w:fill="auto"/>
          </w:tcPr>
          <w:p w14:paraId="77BF4E69" w14:textId="77777777" w:rsidR="00FF5E9B" w:rsidRPr="003A0C5C" w:rsidRDefault="00FF5E9B" w:rsidP="003C2FE6">
            <w:pPr>
              <w:pStyle w:val="Tabletext"/>
              <w:keepNext/>
              <w:jc w:val="center"/>
            </w:pPr>
            <w:r w:rsidRPr="003A0C5C">
              <w:t>27</w:t>
            </w:r>
          </w:p>
        </w:tc>
      </w:tr>
      <w:tr w:rsidR="003A0C5C" w:rsidRPr="003A0C5C" w14:paraId="35325DA7" w14:textId="77777777" w:rsidTr="00541876">
        <w:trPr>
          <w:cantSplit/>
          <w:jc w:val="center"/>
        </w:trPr>
        <w:tc>
          <w:tcPr>
            <w:tcW w:w="3758" w:type="dxa"/>
            <w:tcBorders>
              <w:top w:val="nil"/>
              <w:right w:val="nil"/>
            </w:tcBorders>
            <w:shd w:val="clear" w:color="auto" w:fill="auto"/>
          </w:tcPr>
          <w:p w14:paraId="2CBB2C64" w14:textId="1F7189A6" w:rsidR="00FF5E9B" w:rsidRPr="003A0C5C" w:rsidRDefault="00FF5E9B" w:rsidP="003C2FE6">
            <w:pPr>
              <w:pStyle w:val="Tabletext"/>
              <w:keepNext/>
              <w:jc w:val="right"/>
              <w:rPr>
                <w:rStyle w:val="BoldItalic"/>
              </w:rPr>
            </w:pPr>
            <w:r w:rsidRPr="003A0C5C">
              <w:rPr>
                <w:rStyle w:val="BoldItalic"/>
              </w:rPr>
              <w:t>Project Total</w:t>
            </w:r>
            <w:r w:rsidR="00786F22" w:rsidRPr="003A0C5C">
              <w:rPr>
                <w:rStyle w:val="BoldItalic"/>
              </w:rPr>
              <w:t xml:space="preserve"> GHG Emissions</w:t>
            </w:r>
          </w:p>
        </w:tc>
        <w:tc>
          <w:tcPr>
            <w:tcW w:w="3014" w:type="dxa"/>
            <w:tcBorders>
              <w:top w:val="nil"/>
              <w:left w:val="nil"/>
            </w:tcBorders>
            <w:shd w:val="clear" w:color="auto" w:fill="auto"/>
          </w:tcPr>
          <w:p w14:paraId="23A2BCD1" w14:textId="77777777" w:rsidR="00FF5E9B" w:rsidRPr="003A0C5C" w:rsidRDefault="00FF5E9B" w:rsidP="003C2FE6">
            <w:pPr>
              <w:pStyle w:val="TableTotal"/>
              <w:rPr>
                <w:rStyle w:val="BoldItalic"/>
              </w:rPr>
            </w:pPr>
            <w:r w:rsidRPr="003A0C5C">
              <w:rPr>
                <w:rStyle w:val="BoldItalic"/>
              </w:rPr>
              <w:t>876</w:t>
            </w:r>
          </w:p>
        </w:tc>
      </w:tr>
      <w:tr w:rsidR="00FF5E9B" w:rsidRPr="003A0C5C" w14:paraId="34A303E7" w14:textId="77777777" w:rsidTr="00541876">
        <w:tblPrEx>
          <w:tblBorders>
            <w:bottom w:val="single" w:sz="4" w:space="0" w:color="auto"/>
          </w:tblBorders>
        </w:tblPrEx>
        <w:trPr>
          <w:cantSplit/>
          <w:jc w:val="center"/>
        </w:trPr>
        <w:tc>
          <w:tcPr>
            <w:tcW w:w="6772" w:type="dxa"/>
            <w:gridSpan w:val="2"/>
            <w:tcBorders>
              <w:top w:val="single" w:sz="4" w:space="0" w:color="auto"/>
              <w:bottom w:val="single" w:sz="4" w:space="0" w:color="auto"/>
            </w:tcBorders>
            <w:shd w:val="clear" w:color="auto" w:fill="auto"/>
            <w:tcMar>
              <w:bottom w:w="0" w:type="dxa"/>
            </w:tcMar>
          </w:tcPr>
          <w:p w14:paraId="49E5D045" w14:textId="77777777" w:rsidR="00FF5E9B" w:rsidRPr="003A0C5C" w:rsidRDefault="00FF5E9B" w:rsidP="00655603">
            <w:pPr>
              <w:pStyle w:val="TableSource"/>
              <w:spacing w:before="120" w:after="60"/>
            </w:pPr>
            <w:r w:rsidRPr="003A0C5C">
              <w:t>NOTES:</w:t>
            </w:r>
          </w:p>
          <w:p w14:paraId="1073CF72" w14:textId="1A8FB683" w:rsidR="00FF5E9B" w:rsidRPr="003A0C5C" w:rsidRDefault="00FF5E9B" w:rsidP="003C2FE6">
            <w:pPr>
              <w:pStyle w:val="Tablefootnotetext"/>
            </w:pPr>
            <w:r w:rsidRPr="003A0C5C">
              <w:rPr>
                <w:rStyle w:val="Tablefootnote"/>
              </w:rPr>
              <w:t>a</w:t>
            </w:r>
            <w:r w:rsidRPr="003A0C5C">
              <w:tab/>
              <w:t xml:space="preserve">Totals may not add up exactly due to rounding in the modeling calculations. </w:t>
            </w:r>
            <w:r w:rsidR="001D1298" w:rsidRPr="003A0C5C">
              <w:t>Refer to</w:t>
            </w:r>
            <w:r w:rsidRPr="003A0C5C">
              <w:t xml:space="preserve"> </w:t>
            </w:r>
            <w:r w:rsidRPr="003A0C5C">
              <w:rPr>
                <w:b/>
                <w:bCs/>
              </w:rPr>
              <w:t>Appendix </w:t>
            </w:r>
            <w:r w:rsidR="0050211E" w:rsidRPr="003A0C5C">
              <w:rPr>
                <w:b/>
                <w:bCs/>
              </w:rPr>
              <w:t>G</w:t>
            </w:r>
            <w:r w:rsidR="006B5B1E" w:rsidRPr="003A0C5C">
              <w:t xml:space="preserve"> </w:t>
            </w:r>
            <w:r w:rsidR="001D1298" w:rsidRPr="003A0C5C">
              <w:t xml:space="preserve">of this IS/MND </w:t>
            </w:r>
            <w:r w:rsidRPr="003A0C5C">
              <w:t>for details.</w:t>
            </w:r>
          </w:p>
          <w:p w14:paraId="45EA13DE" w14:textId="45E297ED" w:rsidR="00FF5E9B" w:rsidRPr="003A0C5C" w:rsidRDefault="0076416C" w:rsidP="003C2FE6">
            <w:pPr>
              <w:pStyle w:val="Tablefootnotetext"/>
              <w:rPr>
                <w:szCs w:val="14"/>
              </w:rPr>
            </w:pPr>
            <w:r w:rsidRPr="003A0C5C">
              <w:rPr>
                <w:sz w:val="13"/>
                <w:szCs w:val="13"/>
              </w:rPr>
              <w:t>b</w:t>
            </w:r>
            <w:r w:rsidR="00485E18" w:rsidRPr="003A0C5C">
              <w:rPr>
                <w:sz w:val="13"/>
                <w:szCs w:val="13"/>
              </w:rPr>
              <w:tab/>
            </w:r>
            <w:r w:rsidR="00FF5E9B" w:rsidRPr="003A0C5C">
              <w:rPr>
                <w:szCs w:val="14"/>
              </w:rPr>
              <w:t xml:space="preserve">Construction emissions are amortized over 30 years. </w:t>
            </w:r>
          </w:p>
          <w:p w14:paraId="4009021E" w14:textId="362D405B" w:rsidR="00FF5E9B" w:rsidRPr="003A0C5C" w:rsidRDefault="00FF5E9B" w:rsidP="00655603">
            <w:pPr>
              <w:pStyle w:val="TableSource"/>
              <w:keepNext/>
              <w:spacing w:before="120" w:after="120"/>
              <w:rPr>
                <w:highlight w:val="yellow"/>
              </w:rPr>
            </w:pPr>
            <w:r w:rsidRPr="003A0C5C">
              <w:t xml:space="preserve">SOURCE: ESA </w:t>
            </w:r>
            <w:r w:rsidR="00E653B4" w:rsidRPr="003A0C5C">
              <w:t>2022</w:t>
            </w:r>
          </w:p>
        </w:tc>
      </w:tr>
    </w:tbl>
    <w:p w14:paraId="6CD987F0" w14:textId="77777777" w:rsidR="00FF5E9B" w:rsidRPr="003A0C5C" w:rsidRDefault="00FF5E9B" w:rsidP="00FF5E9B">
      <w:pPr>
        <w:pStyle w:val="12spaceindentcontinue"/>
        <w:rPr>
          <w:highlight w:val="yellow"/>
        </w:rPr>
      </w:pPr>
    </w:p>
    <w:p w14:paraId="4622DDD7" w14:textId="097CACB4" w:rsidR="00555402" w:rsidRPr="003A0C5C" w:rsidRDefault="00FF5E9B" w:rsidP="00655603">
      <w:pPr>
        <w:pStyle w:val="12spaceindentcontinue"/>
      </w:pPr>
      <w:r w:rsidRPr="003A0C5C">
        <w:t xml:space="preserve">The City of Carson General Plan does not identify specific GHG or climate change policies or goals. </w:t>
      </w:r>
      <w:r w:rsidR="00555402" w:rsidRPr="003A0C5C">
        <w:t>In the absence of any adopted, quantitative threshold, the proposed project would not have a significant effect on the environment if the proposed project is found to be consistent with the applicable regulatory plans and policies to reduce GHG emissions, including CARB’s 2017 Climate Scoping Plan, SCAG’s 2020</w:t>
      </w:r>
      <w:r w:rsidR="00555402" w:rsidRPr="003A0C5C">
        <w:rPr>
          <w:lang w:eastAsia="ko-KR"/>
        </w:rPr>
        <w:t>–2045</w:t>
      </w:r>
      <w:r w:rsidR="00555402" w:rsidRPr="003A0C5C">
        <w:t xml:space="preserve"> RTP/SCS, and the </w:t>
      </w:r>
      <w:r w:rsidRPr="003A0C5C">
        <w:t>City’s</w:t>
      </w:r>
      <w:r w:rsidR="002C350D" w:rsidRPr="003A0C5C">
        <w:t xml:space="preserve"> Energy Efficiency Climate Action Plans (</w:t>
      </w:r>
      <w:r w:rsidRPr="003A0C5C">
        <w:t>EECAP</w:t>
      </w:r>
      <w:r w:rsidR="002C350D" w:rsidRPr="003A0C5C">
        <w:t>)</w:t>
      </w:r>
      <w:r w:rsidR="00555402" w:rsidRPr="003A0C5C">
        <w:t xml:space="preserve">. </w:t>
      </w:r>
    </w:p>
    <w:p w14:paraId="7040E5EA" w14:textId="6BC2304C" w:rsidR="00FF5E9B" w:rsidRPr="003A0C5C" w:rsidRDefault="00555402" w:rsidP="00655603">
      <w:pPr>
        <w:pStyle w:val="12spaceindentcontinue"/>
      </w:pPr>
      <w:r w:rsidRPr="003A0C5C">
        <w:t>The EECAP</w:t>
      </w:r>
      <w:r w:rsidR="00FF5E9B" w:rsidRPr="003A0C5C">
        <w:t xml:space="preserve">, developed by the South Bay Cities Council of Governments, aims to implement energy efficiency and GHG reduction efforts (City of Carson 2015). The </w:t>
      </w:r>
      <w:r w:rsidR="00CC5C12" w:rsidRPr="003A0C5C">
        <w:t xml:space="preserve">proposed </w:t>
      </w:r>
      <w:r w:rsidR="00FF5E9B" w:rsidRPr="003A0C5C">
        <w:t xml:space="preserve">project has been evaluated for consistency with the EECAP. According to the EECAP, the City is in the process of implementing strategies to reduce energy consumption across sections, which includes promoting commercial energy retrofits (City of Carson 2015). Consistent with the strategies identified in the EECAP, the </w:t>
      </w:r>
      <w:r w:rsidR="00CC5C12" w:rsidRPr="003A0C5C">
        <w:t xml:space="preserve">proposed </w:t>
      </w:r>
      <w:r w:rsidR="00FF5E9B" w:rsidRPr="003A0C5C">
        <w:t xml:space="preserve">project would install lighting and a ventilation system that conforms to the California Green Building Code and include approximately </w:t>
      </w:r>
      <w:r w:rsidR="003B4E7B" w:rsidRPr="003A0C5C">
        <w:t>12,134</w:t>
      </w:r>
      <w:r w:rsidR="00FF5E9B" w:rsidRPr="003A0C5C">
        <w:t xml:space="preserve"> square feet of landscaping around the perimeter of the project site. Therefore, the proposed project would be consistent with the applicable GHG reduction strategies in the City’s EECAP.</w:t>
      </w:r>
    </w:p>
    <w:p w14:paraId="04C13939" w14:textId="010AA274" w:rsidR="00FF5E9B" w:rsidRPr="003A0C5C" w:rsidRDefault="00FF5E9B" w:rsidP="0020432B">
      <w:pPr>
        <w:pStyle w:val="12spaceindentcontinue"/>
      </w:pPr>
      <w:r w:rsidRPr="003A0C5C">
        <w:lastRenderedPageBreak/>
        <w:t xml:space="preserve">As shown in </w:t>
      </w:r>
      <w:r w:rsidRPr="003A0C5C">
        <w:rPr>
          <w:bCs/>
        </w:rPr>
        <w:t xml:space="preserve">Table </w:t>
      </w:r>
      <w:r w:rsidR="004D1D08" w:rsidRPr="003A0C5C">
        <w:rPr>
          <w:bCs/>
        </w:rPr>
        <w:t>8</w:t>
      </w:r>
      <w:r w:rsidRPr="003A0C5C">
        <w:t xml:space="preserve"> above, the </w:t>
      </w:r>
      <w:r w:rsidR="00CC5C12" w:rsidRPr="003A0C5C">
        <w:t xml:space="preserve">proposed </w:t>
      </w:r>
      <w:r w:rsidRPr="003A0C5C">
        <w:t xml:space="preserve">project’s highest GHG contributors are from mobile and energy sources. These are highly regulated sources with measures implemented in CARB’s 2017 Climate Scoping Plan to reduce GHG emissions from each sector. With respect to relevant </w:t>
      </w:r>
      <w:r w:rsidR="003C3522" w:rsidRPr="003A0C5C">
        <w:t>s</w:t>
      </w:r>
      <w:r w:rsidR="001C20F9" w:rsidRPr="003A0C5C">
        <w:t>tate</w:t>
      </w:r>
      <w:r w:rsidRPr="003A0C5C">
        <w:t xml:space="preserve">wide GHG reduction strategies, in January 2007, the California Governor enacted Executive Order S-01-07, which mandates the following: (1) establish a </w:t>
      </w:r>
      <w:r w:rsidR="003C3522" w:rsidRPr="003A0C5C">
        <w:t>s</w:t>
      </w:r>
      <w:r w:rsidR="001C20F9" w:rsidRPr="003A0C5C">
        <w:t>tate</w:t>
      </w:r>
      <w:r w:rsidRPr="003A0C5C">
        <w:t>wide goal to reduce the carbon intensity of California’s transportation fuels by at least 10 percent by 2020; and (2) adopt a Low Carbon Fuel Standard (LCFS) for transportation fuels in California. CARB identified the LCFS as one of the nine discrete early actions in the Climate Change Scoping Plan. The LCFS regulations were approved by CARB in 2009 and established a reduction in the carbon intensity of transportation fuels by 10 percent by 2020 with implementation beginning on January 1, 2011. In September 2015, CARB approved the re-adoption of the LCFS, which became effective on January 1, 2016, to address procedural deficiencies in the way the original regulation was adopted. In the proposed 2017 Climate Change Scoping Plan Update, CARB’s preferred recommendation includes increasing the stringency of the LCFS by reducing the carbon intensity of transportation fuels by 18 percent by 2030, up from the current target of 10 percent by 2020 (CARB 2017). In April 2017, the LCFS was brought before the Court of Appeal challenging the analysis of potential nitrogen dioxide impacts from biodiesel fuels. The Court directed CARB to conduct an analysis of nitrogen dioxide impacts from biodiesel fuels and froze the carbon intensity targets for diesel and biodiesel fuel provisions at 2017 levels until CARB has completed this analysis. On March</w:t>
      </w:r>
      <w:r w:rsidR="00EA09DA" w:rsidRPr="003A0C5C">
        <w:t> </w:t>
      </w:r>
      <w:r w:rsidRPr="003A0C5C">
        <w:t>6, 2018, CARB issued its Draft Supplemental Disclosure Discussion of Oxides of Nitrogen Potentially Caused by the Low Carbon Fuel Standard Regulation (CARB 2021a). CARB posted modifications to the amendments on August 13, 2018, with a public comment period through August 30, 2018. Final approval of regulatory changes from CARB’s analysis of nitrogen dioxide impacts from biodiesel fuels was made on January 4, 2019 (CARB 2021</w:t>
      </w:r>
      <w:r w:rsidR="004E003D" w:rsidRPr="003A0C5C">
        <w:t>b</w:t>
      </w:r>
      <w:r w:rsidRPr="003A0C5C">
        <w:t xml:space="preserve">). </w:t>
      </w:r>
      <w:r w:rsidR="00B453B9" w:rsidRPr="003A0C5C">
        <w:t>T</w:t>
      </w:r>
      <w:r w:rsidRPr="003A0C5C">
        <w:t xml:space="preserve">he LCFS was amended in September 2018 to require a reduction of at least 7.5 percent in the carbon intensity of California’s transportation fuels by 2020 and a 20 percent reduction in </w:t>
      </w:r>
      <w:r w:rsidR="00782472" w:rsidRPr="003A0C5C">
        <w:t xml:space="preserve">carbon intensity </w:t>
      </w:r>
      <w:r w:rsidRPr="003A0C5C">
        <w:t>from a 2</w:t>
      </w:r>
      <w:r w:rsidR="004E003D" w:rsidRPr="003A0C5C">
        <w:t>010 baseline by 2030 (CARB 2021c</w:t>
      </w:r>
      <w:r w:rsidRPr="003A0C5C">
        <w:t xml:space="preserve">). The 2017 Climate Change Scoping Plan also calls for increasing the mandatory reduction in carbon intensity of transportation fuels from 10 percent to 18 percent by 2030. </w:t>
      </w:r>
    </w:p>
    <w:p w14:paraId="03BCF2E3" w14:textId="373B4845" w:rsidR="00FF5E9B" w:rsidRPr="003A0C5C" w:rsidRDefault="00FF5E9B" w:rsidP="0020432B">
      <w:pPr>
        <w:pStyle w:val="12spaceindentcontinue"/>
        <w:rPr>
          <w:iCs/>
        </w:rPr>
      </w:pPr>
      <w:r w:rsidRPr="003A0C5C">
        <w:t>As previously stated, the</w:t>
      </w:r>
      <w:r w:rsidRPr="003A0C5C">
        <w:rPr>
          <w:rFonts w:cs="Times New Roman"/>
          <w:szCs w:val="22"/>
        </w:rPr>
        <w:t xml:space="preserve"> RPS requires publicly owned utilities and retail sellers of electricity in California to procure 33 percent of their electricity sales from eligible renewable sources by 2020 and 50 percent by the end of 2030. </w:t>
      </w:r>
      <w:r w:rsidRPr="003A0C5C">
        <w:t>SCE, the utility provider for the project site, reported 3</w:t>
      </w:r>
      <w:r w:rsidR="004F6AFC" w:rsidRPr="003A0C5C">
        <w:t>0.9</w:t>
      </w:r>
      <w:r w:rsidRPr="003A0C5C">
        <w:t xml:space="preserve"> percent of their power from renewable sources (SCE 2020). Therefore, GHG emissions from electricity consumption would decrease in future years. </w:t>
      </w:r>
    </w:p>
    <w:p w14:paraId="047A4C97" w14:textId="49C9537A" w:rsidR="007E4A31" w:rsidRPr="003A0C5C" w:rsidRDefault="007E4A31" w:rsidP="0020432B">
      <w:pPr>
        <w:pStyle w:val="12spaceindentcontinue"/>
      </w:pPr>
      <w:r w:rsidRPr="003A0C5C">
        <w:t xml:space="preserve">Additionally, </w:t>
      </w:r>
      <w:r w:rsidRPr="003A0C5C">
        <w:rPr>
          <w:lang w:eastAsia="ko-KR"/>
        </w:rPr>
        <w:t xml:space="preserve">SCAG Regional Council adopted the 2020–2045 RTP/SCS on September 3, 2020. </w:t>
      </w:r>
      <w:r w:rsidRPr="003A0C5C">
        <w:t>The 2020</w:t>
      </w:r>
      <w:r w:rsidR="00B170B1" w:rsidRPr="003A0C5C">
        <w:rPr>
          <w:lang w:eastAsia="ko-KR"/>
        </w:rPr>
        <w:t>–2045</w:t>
      </w:r>
      <w:r w:rsidRPr="003A0C5C">
        <w:t xml:space="preserve"> RTP/SCS includes “more compact, infill, walkable and mixed-use development strategies to accommodate new region’s growth would be encouraged to accommodate increases in population, households, employment, and travel demand.” Moreover, the 2020</w:t>
      </w:r>
      <w:r w:rsidR="00B170B1" w:rsidRPr="003A0C5C">
        <w:rPr>
          <w:lang w:eastAsia="ko-KR"/>
        </w:rPr>
        <w:t>–2045</w:t>
      </w:r>
      <w:r w:rsidRPr="003A0C5C">
        <w:t xml:space="preserve"> RTP/SCS states the focus would be “growth in existing urban regions and opportunity areas, where transit and infrastructure are already in place. Locating new growth near bikeways, greenways, and transit would increase active </w:t>
      </w:r>
      <w:r w:rsidRPr="003A0C5C">
        <w:lastRenderedPageBreak/>
        <w:t>transportation options and the use of other transit modes, thereby reducing number of vehicle trips and trip lengths and associated emissions.”</w:t>
      </w:r>
    </w:p>
    <w:p w14:paraId="505FC1C0" w14:textId="4E4EF82B" w:rsidR="007E4A31" w:rsidRPr="003A0C5C" w:rsidRDefault="007E4A31" w:rsidP="00655603">
      <w:pPr>
        <w:pStyle w:val="12spaceindentcontinue"/>
      </w:pPr>
      <w:r w:rsidRPr="003A0C5C">
        <w:t xml:space="preserve">The </w:t>
      </w:r>
      <w:r w:rsidR="009D7499" w:rsidRPr="003A0C5C">
        <w:t>proposed p</w:t>
      </w:r>
      <w:r w:rsidRPr="003A0C5C">
        <w:t>roject would not conflict with the 2020</w:t>
      </w:r>
      <w:r w:rsidR="00B170B1" w:rsidRPr="003A0C5C">
        <w:rPr>
          <w:lang w:eastAsia="ko-KR"/>
        </w:rPr>
        <w:t>–2045</w:t>
      </w:r>
      <w:r w:rsidRPr="003A0C5C">
        <w:t xml:space="preserve"> RTP/SCS goals and benefits intended to improve mobility and access to diverse destinations, provide better “placemaking,” provide more transportation choices, and reduce vehicular demand and associated emissions. Therefore, the </w:t>
      </w:r>
      <w:r w:rsidR="00A537B8" w:rsidRPr="003A0C5C">
        <w:t>proposed project</w:t>
      </w:r>
      <w:r w:rsidRPr="003A0C5C">
        <w:t xml:space="preserve"> would not conflict with the GHG reduction-related actions and strategies contained in the 2020</w:t>
      </w:r>
      <w:r w:rsidR="00B170B1" w:rsidRPr="003A0C5C">
        <w:rPr>
          <w:lang w:eastAsia="ko-KR"/>
        </w:rPr>
        <w:t>–2045</w:t>
      </w:r>
      <w:r w:rsidRPr="003A0C5C">
        <w:t xml:space="preserve"> RTP/SCS. </w:t>
      </w:r>
    </w:p>
    <w:p w14:paraId="63292D56" w14:textId="242080A9" w:rsidR="007E4A31" w:rsidRPr="003A0C5C" w:rsidRDefault="00F651A3" w:rsidP="007E4A31">
      <w:pPr>
        <w:pStyle w:val="12spaceindentcontinue"/>
      </w:pPr>
      <w:r w:rsidRPr="003A0C5C">
        <w:t>The project site is located in a neighborhood characterized by a mix of residential and commercial uses. As previously stated, t</w:t>
      </w:r>
      <w:r w:rsidR="007E4A31" w:rsidRPr="003A0C5C">
        <w:t xml:space="preserve">he </w:t>
      </w:r>
      <w:r w:rsidR="00A537B8" w:rsidRPr="003A0C5C">
        <w:t xml:space="preserve">project site is a </w:t>
      </w:r>
      <w:r w:rsidR="00B170B1" w:rsidRPr="003A0C5C">
        <w:t xml:space="preserve">proposed </w:t>
      </w:r>
      <w:r w:rsidR="00A537B8" w:rsidRPr="003A0C5C">
        <w:t xml:space="preserve">self‐storage facility </w:t>
      </w:r>
      <w:r w:rsidR="00B170B1" w:rsidRPr="003A0C5C">
        <w:t xml:space="preserve">with ancillary office and </w:t>
      </w:r>
      <w:r w:rsidR="00A537B8" w:rsidRPr="003A0C5C">
        <w:t>retail uses (likely a mail service store such as a UPS or FedEx)</w:t>
      </w:r>
      <w:r w:rsidRPr="003A0C5C">
        <w:t>. These uses</w:t>
      </w:r>
      <w:r w:rsidR="00A537B8" w:rsidRPr="003A0C5C">
        <w:t xml:space="preserve"> would </w:t>
      </w:r>
      <w:r w:rsidRPr="003A0C5C">
        <w:t>s</w:t>
      </w:r>
      <w:r w:rsidR="007E4A31" w:rsidRPr="003A0C5C">
        <w:t xml:space="preserve">upport measures related to reducing vehicle trips </w:t>
      </w:r>
      <w:r w:rsidRPr="003A0C5C">
        <w:t xml:space="preserve">by locating additional retail uses near existing </w:t>
      </w:r>
      <w:r w:rsidR="007E4A31" w:rsidRPr="003A0C5C">
        <w:t>residents</w:t>
      </w:r>
      <w:r w:rsidRPr="003A0C5C">
        <w:t xml:space="preserve"> and commercial uses. </w:t>
      </w:r>
    </w:p>
    <w:p w14:paraId="08A88F97" w14:textId="77B8BDDE" w:rsidR="00B06DC6" w:rsidRPr="003A0C5C" w:rsidRDefault="00FF5E9B" w:rsidP="00B06DC6">
      <w:pPr>
        <w:pStyle w:val="12spaceindentcontinue"/>
      </w:pPr>
      <w:r w:rsidRPr="003A0C5C">
        <w:t xml:space="preserve">Overall, the </w:t>
      </w:r>
      <w:r w:rsidR="00CC5C12" w:rsidRPr="003A0C5C">
        <w:t xml:space="preserve">proposed </w:t>
      </w:r>
      <w:r w:rsidRPr="003A0C5C">
        <w:t>project would not conflict with CARB’s implementation of the LCFS or use of renewable energy sources</w:t>
      </w:r>
      <w:r w:rsidR="00F651A3" w:rsidRPr="003A0C5C">
        <w:t xml:space="preserve">, </w:t>
      </w:r>
      <w:r w:rsidRPr="003A0C5C">
        <w:t>the City’s EECAP</w:t>
      </w:r>
      <w:r w:rsidR="00F651A3" w:rsidRPr="003A0C5C">
        <w:t>, and it would not conflict with SCAG’s 2020</w:t>
      </w:r>
      <w:r w:rsidR="00B170B1" w:rsidRPr="003A0C5C">
        <w:rPr>
          <w:lang w:eastAsia="ko-KR"/>
        </w:rPr>
        <w:t>–2045</w:t>
      </w:r>
      <w:r w:rsidR="00F651A3" w:rsidRPr="003A0C5C">
        <w:t xml:space="preserve"> RTP/SCS</w:t>
      </w:r>
      <w:r w:rsidRPr="003A0C5C">
        <w:t xml:space="preserve">. Therefore, the </w:t>
      </w:r>
      <w:r w:rsidR="00CC5C12" w:rsidRPr="003A0C5C">
        <w:t xml:space="preserve">proposed </w:t>
      </w:r>
      <w:r w:rsidRPr="003A0C5C">
        <w:t>project would not conflict with an applicable plan, policy, or regulation to reduce GHG emissions. As such, impacts would be less than significant.</w:t>
      </w:r>
    </w:p>
    <w:p w14:paraId="45993B0B" w14:textId="77777777" w:rsidR="00B06DC6" w:rsidRPr="003A0C5C" w:rsidRDefault="00B06DC6" w:rsidP="00B06DC6">
      <w:pPr>
        <w:pStyle w:val="12spaceindent"/>
        <w:keepNext/>
        <w:spacing w:after="120"/>
        <w:ind w:left="0" w:firstLine="0"/>
        <w:rPr>
          <w:highlight w:val="yellow"/>
        </w:rPr>
      </w:pPr>
    </w:p>
    <w:p w14:paraId="3F48ABBB" w14:textId="77777777" w:rsidR="002B6967" w:rsidRPr="003A0C5C" w:rsidRDefault="002B6967" w:rsidP="002B6967">
      <w:pPr>
        <w:pStyle w:val="ImpactSectionEnd"/>
        <w:rPr>
          <w:highlight w:val="yellow"/>
        </w:rPr>
      </w:pPr>
    </w:p>
    <w:p w14:paraId="61F0F4E1" w14:textId="7ACAAB9B" w:rsidR="002B6967" w:rsidRPr="003A0C5C" w:rsidRDefault="002B6967" w:rsidP="002B6967">
      <w:pPr>
        <w:rPr>
          <w:highlight w:val="yellow"/>
        </w:rPr>
      </w:pPr>
      <w:r w:rsidRPr="003A0C5C">
        <w:rPr>
          <w:highlight w:val="yellow"/>
        </w:rPr>
        <w:br w:type="page"/>
      </w:r>
    </w:p>
    <w:p w14:paraId="2985B46E" w14:textId="753252D8" w:rsidR="004F426E" w:rsidRPr="003A0C5C" w:rsidRDefault="008B0DDC" w:rsidP="008B0DDC">
      <w:pPr>
        <w:pStyle w:val="Heading4"/>
      </w:pPr>
      <w:bookmarkStart w:id="70" w:name="_Toc101791988"/>
      <w:r w:rsidRPr="003A0C5C">
        <w:lastRenderedPageBreak/>
        <w:t>IX.</w:t>
      </w:r>
      <w:r w:rsidRPr="003A0C5C">
        <w:tab/>
      </w:r>
      <w:r w:rsidR="004F426E" w:rsidRPr="003A0C5C">
        <w:t>Hazards and Hazardous Materials</w:t>
      </w:r>
      <w:bookmarkEnd w:id="70"/>
    </w:p>
    <w:tbl>
      <w:tblPr>
        <w:tblW w:w="0" w:type="auto"/>
        <w:tblCellMar>
          <w:left w:w="86" w:type="dxa"/>
          <w:right w:w="86" w:type="dxa"/>
        </w:tblCellMar>
        <w:tblLook w:val="0000" w:firstRow="0" w:lastRow="0" w:firstColumn="0" w:lastColumn="0" w:noHBand="0" w:noVBand="0"/>
      </w:tblPr>
      <w:tblGrid>
        <w:gridCol w:w="5088"/>
        <w:gridCol w:w="888"/>
        <w:gridCol w:w="1152"/>
        <w:gridCol w:w="888"/>
        <w:gridCol w:w="624"/>
      </w:tblGrid>
      <w:tr w:rsidR="003A0C5C" w:rsidRPr="003A0C5C" w14:paraId="6CD57291" w14:textId="77777777" w:rsidTr="00F07065">
        <w:trPr>
          <w:cantSplit/>
          <w:tblHeader/>
        </w:trPr>
        <w:tc>
          <w:tcPr>
            <w:tcW w:w="0" w:type="auto"/>
            <w:vAlign w:val="bottom"/>
          </w:tcPr>
          <w:p w14:paraId="79466BAA" w14:textId="77777777" w:rsidR="00B8605C" w:rsidRPr="003A0C5C" w:rsidRDefault="00B8605C" w:rsidP="00F07065">
            <w:pPr>
              <w:keepNext/>
              <w:pBdr>
                <w:bottom w:val="single" w:sz="4" w:space="1" w:color="auto"/>
              </w:pBdr>
              <w:spacing w:before="60" w:after="60"/>
              <w:ind w:left="540" w:hanging="540"/>
              <w:rPr>
                <w:rFonts w:ascii="Arial" w:hAnsi="Arial" w:cs="Arial"/>
                <w:b/>
                <w:i/>
                <w:sz w:val="14"/>
                <w:szCs w:val="16"/>
              </w:rPr>
            </w:pPr>
            <w:r w:rsidRPr="003A0C5C">
              <w:rPr>
                <w:rFonts w:ascii="Arial" w:hAnsi="Arial" w:cs="Arial"/>
                <w:b/>
                <w:i/>
                <w:sz w:val="14"/>
                <w:szCs w:val="16"/>
              </w:rPr>
              <w:t>Issues (and Supporting Information Sources)</w:t>
            </w:r>
          </w:p>
        </w:tc>
        <w:tc>
          <w:tcPr>
            <w:tcW w:w="0" w:type="auto"/>
            <w:vAlign w:val="bottom"/>
          </w:tcPr>
          <w:p w14:paraId="1D9D57EA" w14:textId="77777777" w:rsidR="00B8605C" w:rsidRPr="003A0C5C" w:rsidRDefault="00B8605C" w:rsidP="00F07065">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Potentially</w:t>
            </w:r>
            <w:r w:rsidRPr="003A0C5C">
              <w:rPr>
                <w:rFonts w:ascii="Arial" w:hAnsi="Arial" w:cs="Arial"/>
                <w:b/>
                <w:i/>
                <w:sz w:val="14"/>
                <w:szCs w:val="16"/>
              </w:rPr>
              <w:br/>
              <w:t>Significant</w:t>
            </w:r>
            <w:r w:rsidRPr="003A0C5C">
              <w:rPr>
                <w:rFonts w:ascii="Arial" w:hAnsi="Arial" w:cs="Arial"/>
                <w:b/>
                <w:i/>
                <w:sz w:val="14"/>
                <w:szCs w:val="16"/>
              </w:rPr>
              <w:br/>
              <w:t>Impact</w:t>
            </w:r>
          </w:p>
        </w:tc>
        <w:tc>
          <w:tcPr>
            <w:tcW w:w="0" w:type="auto"/>
            <w:vAlign w:val="bottom"/>
          </w:tcPr>
          <w:p w14:paraId="384268ED" w14:textId="77777777" w:rsidR="00B8605C" w:rsidRPr="003A0C5C" w:rsidRDefault="00B8605C" w:rsidP="00F07065">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Less than</w:t>
            </w:r>
            <w:r w:rsidRPr="003A0C5C">
              <w:rPr>
                <w:rFonts w:ascii="Arial" w:hAnsi="Arial" w:cs="Arial"/>
                <w:b/>
                <w:i/>
                <w:sz w:val="14"/>
                <w:szCs w:val="16"/>
              </w:rPr>
              <w:br/>
              <w:t>Significant</w:t>
            </w:r>
            <w:r w:rsidRPr="003A0C5C">
              <w:rPr>
                <w:rFonts w:ascii="Arial" w:hAnsi="Arial" w:cs="Arial"/>
                <w:b/>
                <w:i/>
                <w:sz w:val="14"/>
                <w:szCs w:val="16"/>
              </w:rPr>
              <w:br/>
              <w:t>with Mitigation</w:t>
            </w:r>
            <w:r w:rsidRPr="003A0C5C">
              <w:rPr>
                <w:rFonts w:ascii="Arial" w:hAnsi="Arial" w:cs="Arial"/>
                <w:b/>
                <w:i/>
                <w:sz w:val="14"/>
                <w:szCs w:val="16"/>
              </w:rPr>
              <w:br/>
              <w:t>Incorporated</w:t>
            </w:r>
          </w:p>
        </w:tc>
        <w:tc>
          <w:tcPr>
            <w:tcW w:w="0" w:type="auto"/>
            <w:vAlign w:val="bottom"/>
          </w:tcPr>
          <w:p w14:paraId="66C0196C" w14:textId="77777777" w:rsidR="00B8605C" w:rsidRPr="003A0C5C" w:rsidRDefault="00B8605C" w:rsidP="00F07065">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Less-than-</w:t>
            </w:r>
            <w:r w:rsidRPr="003A0C5C">
              <w:rPr>
                <w:rFonts w:ascii="Arial" w:hAnsi="Arial" w:cs="Arial"/>
                <w:b/>
                <w:i/>
                <w:sz w:val="14"/>
                <w:szCs w:val="16"/>
              </w:rPr>
              <w:br/>
              <w:t>Significant</w:t>
            </w:r>
            <w:r w:rsidRPr="003A0C5C">
              <w:rPr>
                <w:rFonts w:ascii="Arial" w:hAnsi="Arial" w:cs="Arial"/>
                <w:b/>
                <w:i/>
                <w:sz w:val="14"/>
                <w:szCs w:val="16"/>
              </w:rPr>
              <w:br/>
              <w:t>Impact</w:t>
            </w:r>
          </w:p>
        </w:tc>
        <w:tc>
          <w:tcPr>
            <w:tcW w:w="0" w:type="auto"/>
            <w:vAlign w:val="bottom"/>
          </w:tcPr>
          <w:p w14:paraId="729C2F74" w14:textId="77777777" w:rsidR="00B8605C" w:rsidRPr="003A0C5C" w:rsidRDefault="00B8605C" w:rsidP="00F07065">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No</w:t>
            </w:r>
            <w:r w:rsidRPr="003A0C5C">
              <w:rPr>
                <w:rFonts w:ascii="Arial" w:hAnsi="Arial" w:cs="Arial"/>
                <w:b/>
                <w:i/>
                <w:sz w:val="14"/>
                <w:szCs w:val="16"/>
              </w:rPr>
              <w:br/>
              <w:t>Impact</w:t>
            </w:r>
          </w:p>
        </w:tc>
      </w:tr>
      <w:tr w:rsidR="003A0C5C" w:rsidRPr="003A0C5C" w14:paraId="202B7541" w14:textId="77777777" w:rsidTr="00F07065">
        <w:trPr>
          <w:cantSplit/>
        </w:trPr>
        <w:tc>
          <w:tcPr>
            <w:tcW w:w="0" w:type="auto"/>
          </w:tcPr>
          <w:p w14:paraId="53992793" w14:textId="117261A6" w:rsidR="00B8605C" w:rsidRPr="003A0C5C" w:rsidRDefault="00B8605C" w:rsidP="00F07065">
            <w:pPr>
              <w:pStyle w:val="Tabletextnumber"/>
              <w:keepNext/>
              <w:ind w:left="504" w:hanging="504"/>
              <w:rPr>
                <w:rStyle w:val="Bold"/>
              </w:rPr>
            </w:pPr>
            <w:r w:rsidRPr="003A0C5C">
              <w:rPr>
                <w:rStyle w:val="Bold"/>
              </w:rPr>
              <w:t>IX.</w:t>
            </w:r>
            <w:r w:rsidRPr="003A0C5C">
              <w:rPr>
                <w:rStyle w:val="Bold"/>
              </w:rPr>
              <w:tab/>
              <w:t>HAZARDS AND HAZARDOUS MATERIALS</w:t>
            </w:r>
            <w:r w:rsidRPr="003A0C5C">
              <w:t>—Would the project:</w:t>
            </w:r>
          </w:p>
        </w:tc>
        <w:tc>
          <w:tcPr>
            <w:tcW w:w="0" w:type="auto"/>
          </w:tcPr>
          <w:p w14:paraId="359018D5" w14:textId="77777777" w:rsidR="00B8605C" w:rsidRPr="003A0C5C" w:rsidRDefault="00B8605C" w:rsidP="00F07065">
            <w:pPr>
              <w:pStyle w:val="Checklist"/>
              <w:rPr>
                <w:highlight w:val="yellow"/>
              </w:rPr>
            </w:pPr>
          </w:p>
        </w:tc>
        <w:tc>
          <w:tcPr>
            <w:tcW w:w="0" w:type="auto"/>
          </w:tcPr>
          <w:p w14:paraId="74156277" w14:textId="77777777" w:rsidR="00B8605C" w:rsidRPr="003A0C5C" w:rsidRDefault="00B8605C" w:rsidP="00F07065">
            <w:pPr>
              <w:pStyle w:val="Checklist"/>
              <w:rPr>
                <w:highlight w:val="yellow"/>
              </w:rPr>
            </w:pPr>
          </w:p>
        </w:tc>
        <w:tc>
          <w:tcPr>
            <w:tcW w:w="0" w:type="auto"/>
          </w:tcPr>
          <w:p w14:paraId="736F6D2F" w14:textId="77777777" w:rsidR="00B8605C" w:rsidRPr="003A0C5C" w:rsidRDefault="00B8605C" w:rsidP="00F07065">
            <w:pPr>
              <w:pStyle w:val="Checklist"/>
              <w:rPr>
                <w:highlight w:val="yellow"/>
              </w:rPr>
            </w:pPr>
          </w:p>
        </w:tc>
        <w:tc>
          <w:tcPr>
            <w:tcW w:w="0" w:type="auto"/>
          </w:tcPr>
          <w:p w14:paraId="14BC8AF4" w14:textId="77777777" w:rsidR="00B8605C" w:rsidRPr="003A0C5C" w:rsidRDefault="00B8605C" w:rsidP="00F07065">
            <w:pPr>
              <w:pStyle w:val="Checklist"/>
              <w:rPr>
                <w:highlight w:val="yellow"/>
              </w:rPr>
            </w:pPr>
          </w:p>
        </w:tc>
      </w:tr>
      <w:tr w:rsidR="003A0C5C" w:rsidRPr="003A0C5C" w14:paraId="038AD429" w14:textId="77777777" w:rsidTr="00F07065">
        <w:trPr>
          <w:cantSplit/>
        </w:trPr>
        <w:tc>
          <w:tcPr>
            <w:tcW w:w="0" w:type="auto"/>
          </w:tcPr>
          <w:p w14:paraId="3E3E0472" w14:textId="2B008F16" w:rsidR="00B8605C" w:rsidRPr="003A0C5C" w:rsidRDefault="00B8605C" w:rsidP="00B8605C">
            <w:pPr>
              <w:pStyle w:val="Tabletextnumber"/>
            </w:pPr>
            <w:r w:rsidRPr="003A0C5C">
              <w:rPr>
                <w:rFonts w:cs="Arial"/>
                <w:szCs w:val="16"/>
              </w:rPr>
              <w:t>a)</w:t>
            </w:r>
            <w:r w:rsidRPr="003A0C5C">
              <w:rPr>
                <w:rFonts w:cs="Arial"/>
                <w:szCs w:val="16"/>
              </w:rPr>
              <w:tab/>
              <w:t>Create a significant hazard to the public or the environment through the routine transport, use, or disposal of hazardous materials?</w:t>
            </w:r>
          </w:p>
        </w:tc>
        <w:tc>
          <w:tcPr>
            <w:tcW w:w="0" w:type="auto"/>
          </w:tcPr>
          <w:p w14:paraId="6C3D6E57" w14:textId="77777777" w:rsidR="00B8605C" w:rsidRPr="003A0C5C" w:rsidRDefault="002348BC" w:rsidP="00B8605C">
            <w:pPr>
              <w:pStyle w:val="Checklist"/>
            </w:pPr>
            <w:sdt>
              <w:sdtPr>
                <w:id w:val="-414623828"/>
                <w14:checkbox>
                  <w14:checked w14:val="0"/>
                  <w14:checkedState w14:val="2612" w14:font="MS Gothic"/>
                  <w14:uncheckedState w14:val="2610" w14:font="MS Gothic"/>
                </w14:checkbox>
              </w:sdtPr>
              <w:sdtEndPr/>
              <w:sdtContent>
                <w:r w:rsidR="00B8605C" w:rsidRPr="003A0C5C">
                  <w:t>☐</w:t>
                </w:r>
              </w:sdtContent>
            </w:sdt>
          </w:p>
        </w:tc>
        <w:tc>
          <w:tcPr>
            <w:tcW w:w="0" w:type="auto"/>
          </w:tcPr>
          <w:p w14:paraId="0BBEF326" w14:textId="77777777" w:rsidR="00B8605C" w:rsidRPr="003A0C5C" w:rsidRDefault="002348BC" w:rsidP="00B8605C">
            <w:pPr>
              <w:pStyle w:val="Checklist"/>
              <w:rPr>
                <w:sz w:val="20"/>
              </w:rPr>
            </w:pPr>
            <w:sdt>
              <w:sdtPr>
                <w:id w:val="-1264448284"/>
                <w14:checkbox>
                  <w14:checked w14:val="0"/>
                  <w14:checkedState w14:val="2612" w14:font="MS Gothic"/>
                  <w14:uncheckedState w14:val="2610" w14:font="MS Gothic"/>
                </w14:checkbox>
              </w:sdtPr>
              <w:sdtEndPr/>
              <w:sdtContent>
                <w:r w:rsidR="00B8605C" w:rsidRPr="003A0C5C">
                  <w:t>☐</w:t>
                </w:r>
              </w:sdtContent>
            </w:sdt>
          </w:p>
        </w:tc>
        <w:tc>
          <w:tcPr>
            <w:tcW w:w="0" w:type="auto"/>
          </w:tcPr>
          <w:p w14:paraId="3782AFE1" w14:textId="14A48D1D" w:rsidR="00B8605C" w:rsidRPr="003A0C5C" w:rsidRDefault="002348BC" w:rsidP="00B8605C">
            <w:pPr>
              <w:pStyle w:val="Checklist"/>
              <w:rPr>
                <w:sz w:val="20"/>
              </w:rPr>
            </w:pPr>
            <w:sdt>
              <w:sdtPr>
                <w:id w:val="-965813343"/>
                <w14:checkbox>
                  <w14:checked w14:val="1"/>
                  <w14:checkedState w14:val="2612" w14:font="MS Gothic"/>
                  <w14:uncheckedState w14:val="2610" w14:font="MS Gothic"/>
                </w14:checkbox>
              </w:sdtPr>
              <w:sdtEndPr/>
              <w:sdtContent>
                <w:r w:rsidR="00CD315B" w:rsidRPr="003A0C5C">
                  <w:rPr>
                    <w:rFonts w:hint="eastAsia"/>
                  </w:rPr>
                  <w:t>☒</w:t>
                </w:r>
              </w:sdtContent>
            </w:sdt>
          </w:p>
        </w:tc>
        <w:tc>
          <w:tcPr>
            <w:tcW w:w="0" w:type="auto"/>
          </w:tcPr>
          <w:p w14:paraId="2BA2119F" w14:textId="4B225DB6" w:rsidR="00B8605C" w:rsidRPr="003A0C5C" w:rsidRDefault="002348BC" w:rsidP="00B8605C">
            <w:pPr>
              <w:pStyle w:val="Checklist"/>
              <w:rPr>
                <w:sz w:val="20"/>
              </w:rPr>
            </w:pPr>
            <w:sdt>
              <w:sdtPr>
                <w:id w:val="268060758"/>
                <w14:checkbox>
                  <w14:checked w14:val="0"/>
                  <w14:checkedState w14:val="2612" w14:font="MS Gothic"/>
                  <w14:uncheckedState w14:val="2610" w14:font="MS Gothic"/>
                </w14:checkbox>
              </w:sdtPr>
              <w:sdtEndPr/>
              <w:sdtContent>
                <w:r w:rsidR="00AB5674" w:rsidRPr="003A0C5C">
                  <w:rPr>
                    <w:rFonts w:hint="eastAsia"/>
                  </w:rPr>
                  <w:t>☐</w:t>
                </w:r>
              </w:sdtContent>
            </w:sdt>
          </w:p>
        </w:tc>
      </w:tr>
      <w:tr w:rsidR="003A0C5C" w:rsidRPr="003A0C5C" w14:paraId="4A554434" w14:textId="77777777" w:rsidTr="00F07065">
        <w:trPr>
          <w:cantSplit/>
        </w:trPr>
        <w:tc>
          <w:tcPr>
            <w:tcW w:w="0" w:type="auto"/>
          </w:tcPr>
          <w:p w14:paraId="7FF9E2BC" w14:textId="3046FAB0" w:rsidR="00B8605C" w:rsidRPr="003A0C5C" w:rsidRDefault="00B8605C" w:rsidP="00B8605C">
            <w:pPr>
              <w:pStyle w:val="Tabletextnumber"/>
            </w:pPr>
            <w:r w:rsidRPr="003A0C5C">
              <w:rPr>
                <w:rFonts w:cs="Arial"/>
                <w:szCs w:val="16"/>
              </w:rPr>
              <w:t>b)</w:t>
            </w:r>
            <w:r w:rsidRPr="003A0C5C">
              <w:rPr>
                <w:rFonts w:cs="Arial"/>
                <w:szCs w:val="16"/>
              </w:rPr>
              <w:tab/>
              <w:t>Create a significant hazard to the public or the environment through reasonably foreseeable upset and accident conditions involving the release of hazardous materials into the environment?</w:t>
            </w:r>
          </w:p>
        </w:tc>
        <w:tc>
          <w:tcPr>
            <w:tcW w:w="0" w:type="auto"/>
          </w:tcPr>
          <w:p w14:paraId="307C4F31" w14:textId="77777777" w:rsidR="00B8605C" w:rsidRPr="003A0C5C" w:rsidRDefault="002348BC" w:rsidP="00B8605C">
            <w:pPr>
              <w:pStyle w:val="Checklist"/>
              <w:rPr>
                <w:sz w:val="20"/>
              </w:rPr>
            </w:pPr>
            <w:sdt>
              <w:sdtPr>
                <w:id w:val="1506558649"/>
                <w14:checkbox>
                  <w14:checked w14:val="0"/>
                  <w14:checkedState w14:val="2612" w14:font="MS Gothic"/>
                  <w14:uncheckedState w14:val="2610" w14:font="MS Gothic"/>
                </w14:checkbox>
              </w:sdtPr>
              <w:sdtEndPr/>
              <w:sdtContent>
                <w:r w:rsidR="00B8605C" w:rsidRPr="003A0C5C">
                  <w:t>☐</w:t>
                </w:r>
              </w:sdtContent>
            </w:sdt>
          </w:p>
        </w:tc>
        <w:tc>
          <w:tcPr>
            <w:tcW w:w="0" w:type="auto"/>
          </w:tcPr>
          <w:p w14:paraId="2BF6DF3F" w14:textId="77777777" w:rsidR="00B8605C" w:rsidRPr="003A0C5C" w:rsidRDefault="002348BC" w:rsidP="00B8605C">
            <w:pPr>
              <w:pStyle w:val="Checklist"/>
              <w:rPr>
                <w:sz w:val="20"/>
              </w:rPr>
            </w:pPr>
            <w:sdt>
              <w:sdtPr>
                <w:id w:val="299806256"/>
                <w14:checkbox>
                  <w14:checked w14:val="0"/>
                  <w14:checkedState w14:val="2612" w14:font="MS Gothic"/>
                  <w14:uncheckedState w14:val="2610" w14:font="MS Gothic"/>
                </w14:checkbox>
              </w:sdtPr>
              <w:sdtEndPr/>
              <w:sdtContent>
                <w:r w:rsidR="00B8605C" w:rsidRPr="003A0C5C">
                  <w:t>☐</w:t>
                </w:r>
              </w:sdtContent>
            </w:sdt>
          </w:p>
        </w:tc>
        <w:tc>
          <w:tcPr>
            <w:tcW w:w="0" w:type="auto"/>
          </w:tcPr>
          <w:p w14:paraId="38DF4290" w14:textId="0AC32244" w:rsidR="00B8605C" w:rsidRPr="003A0C5C" w:rsidRDefault="002348BC" w:rsidP="00B8605C">
            <w:pPr>
              <w:pStyle w:val="Checklist"/>
              <w:rPr>
                <w:sz w:val="20"/>
              </w:rPr>
            </w:pPr>
            <w:sdt>
              <w:sdtPr>
                <w:id w:val="-572896126"/>
                <w14:checkbox>
                  <w14:checked w14:val="1"/>
                  <w14:checkedState w14:val="2612" w14:font="MS Gothic"/>
                  <w14:uncheckedState w14:val="2610" w14:font="MS Gothic"/>
                </w14:checkbox>
              </w:sdtPr>
              <w:sdtEndPr/>
              <w:sdtContent>
                <w:r w:rsidR="00B8605C" w:rsidRPr="003A0C5C">
                  <w:rPr>
                    <w:rFonts w:hint="eastAsia"/>
                  </w:rPr>
                  <w:t>☒</w:t>
                </w:r>
              </w:sdtContent>
            </w:sdt>
          </w:p>
        </w:tc>
        <w:tc>
          <w:tcPr>
            <w:tcW w:w="0" w:type="auto"/>
          </w:tcPr>
          <w:p w14:paraId="68095D82" w14:textId="75027BEA" w:rsidR="00B8605C" w:rsidRPr="003A0C5C" w:rsidRDefault="002348BC" w:rsidP="00B8605C">
            <w:pPr>
              <w:pStyle w:val="Checklist"/>
              <w:rPr>
                <w:sz w:val="20"/>
              </w:rPr>
            </w:pPr>
            <w:sdt>
              <w:sdtPr>
                <w:id w:val="2037224174"/>
                <w14:checkbox>
                  <w14:checked w14:val="0"/>
                  <w14:checkedState w14:val="2612" w14:font="MS Gothic"/>
                  <w14:uncheckedState w14:val="2610" w14:font="MS Gothic"/>
                </w14:checkbox>
              </w:sdtPr>
              <w:sdtEndPr/>
              <w:sdtContent>
                <w:r w:rsidR="00B8605C" w:rsidRPr="003A0C5C">
                  <w:rPr>
                    <w:rFonts w:hint="eastAsia"/>
                  </w:rPr>
                  <w:t>☐</w:t>
                </w:r>
              </w:sdtContent>
            </w:sdt>
          </w:p>
        </w:tc>
      </w:tr>
      <w:tr w:rsidR="003A0C5C" w:rsidRPr="003A0C5C" w14:paraId="79A7D685" w14:textId="77777777" w:rsidTr="00F07065">
        <w:trPr>
          <w:cantSplit/>
        </w:trPr>
        <w:tc>
          <w:tcPr>
            <w:tcW w:w="0" w:type="auto"/>
          </w:tcPr>
          <w:p w14:paraId="44266205" w14:textId="1AD9F4C2" w:rsidR="00B8605C" w:rsidRPr="003A0C5C" w:rsidRDefault="00B8605C" w:rsidP="00B8605C">
            <w:pPr>
              <w:pStyle w:val="Tabletextnumber"/>
            </w:pPr>
            <w:r w:rsidRPr="003A0C5C">
              <w:rPr>
                <w:rFonts w:cs="Arial"/>
                <w:szCs w:val="16"/>
              </w:rPr>
              <w:t>c)</w:t>
            </w:r>
            <w:r w:rsidRPr="003A0C5C">
              <w:rPr>
                <w:rFonts w:cs="Arial"/>
                <w:szCs w:val="16"/>
              </w:rPr>
              <w:tab/>
              <w:t>Emit hazardous emissions or handle hazardous or acutely hazardous materials, substances, or waste within one-quarter mile of an existing or proposed school?</w:t>
            </w:r>
          </w:p>
        </w:tc>
        <w:tc>
          <w:tcPr>
            <w:tcW w:w="0" w:type="auto"/>
          </w:tcPr>
          <w:p w14:paraId="0F8B3F93" w14:textId="77777777" w:rsidR="00B8605C" w:rsidRPr="003A0C5C" w:rsidRDefault="002348BC" w:rsidP="00B8605C">
            <w:pPr>
              <w:pStyle w:val="Checklist"/>
              <w:rPr>
                <w:sz w:val="20"/>
              </w:rPr>
            </w:pPr>
            <w:sdt>
              <w:sdtPr>
                <w:id w:val="376822413"/>
                <w14:checkbox>
                  <w14:checked w14:val="0"/>
                  <w14:checkedState w14:val="2612" w14:font="MS Gothic"/>
                  <w14:uncheckedState w14:val="2610" w14:font="MS Gothic"/>
                </w14:checkbox>
              </w:sdtPr>
              <w:sdtEndPr/>
              <w:sdtContent>
                <w:r w:rsidR="00B8605C" w:rsidRPr="003A0C5C">
                  <w:t>☐</w:t>
                </w:r>
              </w:sdtContent>
            </w:sdt>
          </w:p>
        </w:tc>
        <w:tc>
          <w:tcPr>
            <w:tcW w:w="0" w:type="auto"/>
          </w:tcPr>
          <w:p w14:paraId="6C129123" w14:textId="77777777" w:rsidR="00B8605C" w:rsidRPr="003A0C5C" w:rsidRDefault="002348BC" w:rsidP="00B8605C">
            <w:pPr>
              <w:pStyle w:val="Checklist"/>
              <w:rPr>
                <w:sz w:val="20"/>
              </w:rPr>
            </w:pPr>
            <w:sdt>
              <w:sdtPr>
                <w:id w:val="-1431806333"/>
                <w14:checkbox>
                  <w14:checked w14:val="0"/>
                  <w14:checkedState w14:val="2612" w14:font="MS Gothic"/>
                  <w14:uncheckedState w14:val="2610" w14:font="MS Gothic"/>
                </w14:checkbox>
              </w:sdtPr>
              <w:sdtEndPr/>
              <w:sdtContent>
                <w:r w:rsidR="00B8605C" w:rsidRPr="003A0C5C">
                  <w:t>☐</w:t>
                </w:r>
              </w:sdtContent>
            </w:sdt>
          </w:p>
        </w:tc>
        <w:tc>
          <w:tcPr>
            <w:tcW w:w="0" w:type="auto"/>
          </w:tcPr>
          <w:p w14:paraId="1F56E866" w14:textId="478B2365" w:rsidR="00B8605C" w:rsidRPr="003A0C5C" w:rsidRDefault="002348BC" w:rsidP="00B8605C">
            <w:pPr>
              <w:pStyle w:val="Checklist"/>
              <w:rPr>
                <w:sz w:val="20"/>
              </w:rPr>
            </w:pPr>
            <w:sdt>
              <w:sdtPr>
                <w:id w:val="750773059"/>
                <w14:checkbox>
                  <w14:checked w14:val="0"/>
                  <w14:checkedState w14:val="2612" w14:font="MS Gothic"/>
                  <w14:uncheckedState w14:val="2610" w14:font="MS Gothic"/>
                </w14:checkbox>
              </w:sdtPr>
              <w:sdtEndPr/>
              <w:sdtContent>
                <w:r w:rsidR="00CD315B" w:rsidRPr="003A0C5C">
                  <w:rPr>
                    <w:rFonts w:hint="eastAsia"/>
                  </w:rPr>
                  <w:t>☐</w:t>
                </w:r>
              </w:sdtContent>
            </w:sdt>
          </w:p>
        </w:tc>
        <w:tc>
          <w:tcPr>
            <w:tcW w:w="0" w:type="auto"/>
          </w:tcPr>
          <w:p w14:paraId="641E4E1F" w14:textId="7D4B3B2C" w:rsidR="00B8605C" w:rsidRPr="003A0C5C" w:rsidRDefault="002348BC" w:rsidP="00B8605C">
            <w:pPr>
              <w:pStyle w:val="Checklist"/>
              <w:rPr>
                <w:sz w:val="20"/>
              </w:rPr>
            </w:pPr>
            <w:sdt>
              <w:sdtPr>
                <w:id w:val="-35579126"/>
                <w14:checkbox>
                  <w14:checked w14:val="1"/>
                  <w14:checkedState w14:val="2612" w14:font="MS Gothic"/>
                  <w14:uncheckedState w14:val="2610" w14:font="MS Gothic"/>
                </w14:checkbox>
              </w:sdtPr>
              <w:sdtEndPr/>
              <w:sdtContent>
                <w:r w:rsidR="00CD315B" w:rsidRPr="003A0C5C">
                  <w:rPr>
                    <w:rFonts w:hint="eastAsia"/>
                  </w:rPr>
                  <w:t>☒</w:t>
                </w:r>
              </w:sdtContent>
            </w:sdt>
          </w:p>
        </w:tc>
      </w:tr>
      <w:tr w:rsidR="003A0C5C" w:rsidRPr="003A0C5C" w14:paraId="020BF1F7" w14:textId="77777777" w:rsidTr="00F07065">
        <w:trPr>
          <w:cantSplit/>
        </w:trPr>
        <w:tc>
          <w:tcPr>
            <w:tcW w:w="0" w:type="auto"/>
          </w:tcPr>
          <w:p w14:paraId="36DDB5A9" w14:textId="5EC02129" w:rsidR="00B8605C" w:rsidRPr="003A0C5C" w:rsidRDefault="00B8605C" w:rsidP="00B8605C">
            <w:pPr>
              <w:pStyle w:val="Tabletextnumber"/>
            </w:pPr>
            <w:r w:rsidRPr="003A0C5C">
              <w:rPr>
                <w:rFonts w:cs="Arial"/>
                <w:szCs w:val="16"/>
              </w:rPr>
              <w:t>d)</w:t>
            </w:r>
            <w:r w:rsidRPr="003A0C5C">
              <w:rPr>
                <w:rFonts w:cs="Arial"/>
                <w:szCs w:val="16"/>
              </w:rPr>
              <w:tab/>
              <w:t xml:space="preserve">Be located on a site which is included on a list of hazardous materials sites compiled pursuant to Government Code </w:t>
            </w:r>
            <w:r w:rsidR="00356D58" w:rsidRPr="003A0C5C">
              <w:rPr>
                <w:rFonts w:cs="Arial"/>
                <w:szCs w:val="16"/>
              </w:rPr>
              <w:t>Section </w:t>
            </w:r>
            <w:r w:rsidRPr="003A0C5C">
              <w:rPr>
                <w:rFonts w:cs="Arial"/>
                <w:szCs w:val="16"/>
              </w:rPr>
              <w:t>65962.5 and, as a result, would it create a significant hazard to the public or the environment?</w:t>
            </w:r>
          </w:p>
        </w:tc>
        <w:tc>
          <w:tcPr>
            <w:tcW w:w="0" w:type="auto"/>
          </w:tcPr>
          <w:p w14:paraId="728EEC48" w14:textId="77777777" w:rsidR="00B8605C" w:rsidRPr="003A0C5C" w:rsidRDefault="002348BC" w:rsidP="00B8605C">
            <w:pPr>
              <w:pStyle w:val="Checklist"/>
              <w:rPr>
                <w:sz w:val="20"/>
              </w:rPr>
            </w:pPr>
            <w:sdt>
              <w:sdtPr>
                <w:id w:val="-1900051608"/>
                <w14:checkbox>
                  <w14:checked w14:val="0"/>
                  <w14:checkedState w14:val="2612" w14:font="MS Gothic"/>
                  <w14:uncheckedState w14:val="2610" w14:font="MS Gothic"/>
                </w14:checkbox>
              </w:sdtPr>
              <w:sdtEndPr/>
              <w:sdtContent>
                <w:r w:rsidR="00B8605C" w:rsidRPr="003A0C5C">
                  <w:t>☐</w:t>
                </w:r>
              </w:sdtContent>
            </w:sdt>
          </w:p>
        </w:tc>
        <w:tc>
          <w:tcPr>
            <w:tcW w:w="0" w:type="auto"/>
          </w:tcPr>
          <w:p w14:paraId="700B88D4" w14:textId="77777777" w:rsidR="00B8605C" w:rsidRPr="003A0C5C" w:rsidRDefault="002348BC" w:rsidP="00B8605C">
            <w:pPr>
              <w:pStyle w:val="Checklist"/>
              <w:rPr>
                <w:sz w:val="20"/>
              </w:rPr>
            </w:pPr>
            <w:sdt>
              <w:sdtPr>
                <w:id w:val="-1719819452"/>
                <w14:checkbox>
                  <w14:checked w14:val="0"/>
                  <w14:checkedState w14:val="2612" w14:font="MS Gothic"/>
                  <w14:uncheckedState w14:val="2610" w14:font="MS Gothic"/>
                </w14:checkbox>
              </w:sdtPr>
              <w:sdtEndPr/>
              <w:sdtContent>
                <w:r w:rsidR="00B8605C" w:rsidRPr="003A0C5C">
                  <w:t>☐</w:t>
                </w:r>
              </w:sdtContent>
            </w:sdt>
          </w:p>
        </w:tc>
        <w:tc>
          <w:tcPr>
            <w:tcW w:w="0" w:type="auto"/>
          </w:tcPr>
          <w:p w14:paraId="058D24D4" w14:textId="2D0BDD90" w:rsidR="00B8605C" w:rsidRPr="003A0C5C" w:rsidRDefault="002348BC" w:rsidP="00B8605C">
            <w:pPr>
              <w:pStyle w:val="Checklist"/>
              <w:rPr>
                <w:sz w:val="20"/>
              </w:rPr>
            </w:pPr>
            <w:sdt>
              <w:sdtPr>
                <w:id w:val="-1169010472"/>
                <w14:checkbox>
                  <w14:checked w14:val="1"/>
                  <w14:checkedState w14:val="2612" w14:font="MS Gothic"/>
                  <w14:uncheckedState w14:val="2610" w14:font="MS Gothic"/>
                </w14:checkbox>
              </w:sdtPr>
              <w:sdtEndPr/>
              <w:sdtContent>
                <w:r w:rsidR="00B8605C" w:rsidRPr="003A0C5C">
                  <w:rPr>
                    <w:rFonts w:hint="eastAsia"/>
                  </w:rPr>
                  <w:t>☒</w:t>
                </w:r>
              </w:sdtContent>
            </w:sdt>
          </w:p>
        </w:tc>
        <w:tc>
          <w:tcPr>
            <w:tcW w:w="0" w:type="auto"/>
          </w:tcPr>
          <w:p w14:paraId="12CA9D94" w14:textId="753D2CA4" w:rsidR="00B8605C" w:rsidRPr="003A0C5C" w:rsidRDefault="002348BC" w:rsidP="00B8605C">
            <w:pPr>
              <w:pStyle w:val="Checklist"/>
              <w:rPr>
                <w:sz w:val="20"/>
              </w:rPr>
            </w:pPr>
            <w:sdt>
              <w:sdtPr>
                <w:id w:val="-1130084938"/>
                <w14:checkbox>
                  <w14:checked w14:val="0"/>
                  <w14:checkedState w14:val="2612" w14:font="MS Gothic"/>
                  <w14:uncheckedState w14:val="2610" w14:font="MS Gothic"/>
                </w14:checkbox>
              </w:sdtPr>
              <w:sdtEndPr/>
              <w:sdtContent>
                <w:r w:rsidR="00B8605C" w:rsidRPr="003A0C5C">
                  <w:rPr>
                    <w:rFonts w:hint="eastAsia"/>
                  </w:rPr>
                  <w:t>☐</w:t>
                </w:r>
              </w:sdtContent>
            </w:sdt>
          </w:p>
        </w:tc>
      </w:tr>
      <w:tr w:rsidR="003A0C5C" w:rsidRPr="003A0C5C" w14:paraId="745F0D5D" w14:textId="77777777" w:rsidTr="00F07065">
        <w:trPr>
          <w:cantSplit/>
        </w:trPr>
        <w:tc>
          <w:tcPr>
            <w:tcW w:w="0" w:type="auto"/>
          </w:tcPr>
          <w:p w14:paraId="730271C7" w14:textId="7DA06141" w:rsidR="00B8605C" w:rsidRPr="003A0C5C" w:rsidRDefault="00B8605C" w:rsidP="00B8605C">
            <w:pPr>
              <w:pStyle w:val="Tabletextnumber"/>
            </w:pPr>
            <w:r w:rsidRPr="003A0C5C">
              <w:rPr>
                <w:rFonts w:cs="Arial"/>
                <w:szCs w:val="16"/>
              </w:rPr>
              <w:t>e)</w:t>
            </w:r>
            <w:r w:rsidRPr="003A0C5C">
              <w:rPr>
                <w:rFonts w:cs="Arial"/>
                <w:szCs w:val="16"/>
              </w:rPr>
              <w:tab/>
              <w:t>For a project located within an airport land use plan or, where such a plan has not been adopted, within two miles of a public airport or public use airport, would the project result in a safety hazard or excessive noise for people residing or working in the project area?</w:t>
            </w:r>
          </w:p>
        </w:tc>
        <w:tc>
          <w:tcPr>
            <w:tcW w:w="0" w:type="auto"/>
          </w:tcPr>
          <w:p w14:paraId="3FD3E650" w14:textId="77777777" w:rsidR="00B8605C" w:rsidRPr="003A0C5C" w:rsidRDefault="002348BC" w:rsidP="00B8605C">
            <w:pPr>
              <w:pStyle w:val="Checklist"/>
              <w:rPr>
                <w:sz w:val="20"/>
              </w:rPr>
            </w:pPr>
            <w:sdt>
              <w:sdtPr>
                <w:id w:val="-324978899"/>
                <w14:checkbox>
                  <w14:checked w14:val="0"/>
                  <w14:checkedState w14:val="2612" w14:font="MS Gothic"/>
                  <w14:uncheckedState w14:val="2610" w14:font="MS Gothic"/>
                </w14:checkbox>
              </w:sdtPr>
              <w:sdtEndPr/>
              <w:sdtContent>
                <w:r w:rsidR="00B8605C" w:rsidRPr="003A0C5C">
                  <w:t>☐</w:t>
                </w:r>
              </w:sdtContent>
            </w:sdt>
          </w:p>
        </w:tc>
        <w:tc>
          <w:tcPr>
            <w:tcW w:w="0" w:type="auto"/>
          </w:tcPr>
          <w:p w14:paraId="3F377131" w14:textId="77777777" w:rsidR="00B8605C" w:rsidRPr="003A0C5C" w:rsidRDefault="002348BC" w:rsidP="00B8605C">
            <w:pPr>
              <w:pStyle w:val="Checklist"/>
              <w:rPr>
                <w:sz w:val="20"/>
              </w:rPr>
            </w:pPr>
            <w:sdt>
              <w:sdtPr>
                <w:id w:val="455605614"/>
                <w14:checkbox>
                  <w14:checked w14:val="0"/>
                  <w14:checkedState w14:val="2612" w14:font="MS Gothic"/>
                  <w14:uncheckedState w14:val="2610" w14:font="MS Gothic"/>
                </w14:checkbox>
              </w:sdtPr>
              <w:sdtEndPr/>
              <w:sdtContent>
                <w:r w:rsidR="00B8605C" w:rsidRPr="003A0C5C">
                  <w:t>☐</w:t>
                </w:r>
              </w:sdtContent>
            </w:sdt>
          </w:p>
        </w:tc>
        <w:tc>
          <w:tcPr>
            <w:tcW w:w="0" w:type="auto"/>
          </w:tcPr>
          <w:p w14:paraId="4CFE2E61" w14:textId="77777777" w:rsidR="00B8605C" w:rsidRPr="003A0C5C" w:rsidRDefault="002348BC" w:rsidP="00B8605C">
            <w:pPr>
              <w:pStyle w:val="Checklist"/>
              <w:rPr>
                <w:sz w:val="20"/>
              </w:rPr>
            </w:pPr>
            <w:sdt>
              <w:sdtPr>
                <w:id w:val="-829061105"/>
                <w14:checkbox>
                  <w14:checked w14:val="0"/>
                  <w14:checkedState w14:val="2612" w14:font="MS Gothic"/>
                  <w14:uncheckedState w14:val="2610" w14:font="MS Gothic"/>
                </w14:checkbox>
              </w:sdtPr>
              <w:sdtEndPr/>
              <w:sdtContent>
                <w:r w:rsidR="00B8605C" w:rsidRPr="003A0C5C">
                  <w:rPr>
                    <w:rFonts w:hint="eastAsia"/>
                  </w:rPr>
                  <w:t>☐</w:t>
                </w:r>
              </w:sdtContent>
            </w:sdt>
          </w:p>
        </w:tc>
        <w:tc>
          <w:tcPr>
            <w:tcW w:w="0" w:type="auto"/>
          </w:tcPr>
          <w:p w14:paraId="4E462750" w14:textId="77777777" w:rsidR="00B8605C" w:rsidRPr="003A0C5C" w:rsidRDefault="002348BC" w:rsidP="00B8605C">
            <w:pPr>
              <w:pStyle w:val="Checklist"/>
              <w:rPr>
                <w:sz w:val="20"/>
              </w:rPr>
            </w:pPr>
            <w:sdt>
              <w:sdtPr>
                <w:id w:val="-74600044"/>
                <w14:checkbox>
                  <w14:checked w14:val="1"/>
                  <w14:checkedState w14:val="2612" w14:font="MS Gothic"/>
                  <w14:uncheckedState w14:val="2610" w14:font="MS Gothic"/>
                </w14:checkbox>
              </w:sdtPr>
              <w:sdtEndPr/>
              <w:sdtContent>
                <w:r w:rsidR="00B8605C" w:rsidRPr="003A0C5C">
                  <w:rPr>
                    <w:rFonts w:hint="eastAsia"/>
                  </w:rPr>
                  <w:t>☒</w:t>
                </w:r>
              </w:sdtContent>
            </w:sdt>
          </w:p>
        </w:tc>
      </w:tr>
      <w:tr w:rsidR="003A0C5C" w:rsidRPr="003A0C5C" w14:paraId="2165A668" w14:textId="77777777" w:rsidTr="00F07065">
        <w:trPr>
          <w:cantSplit/>
        </w:trPr>
        <w:tc>
          <w:tcPr>
            <w:tcW w:w="0" w:type="auto"/>
          </w:tcPr>
          <w:p w14:paraId="1F4E30E1" w14:textId="387C7E56" w:rsidR="00B8605C" w:rsidRPr="003A0C5C" w:rsidRDefault="00B8605C" w:rsidP="00B8605C">
            <w:pPr>
              <w:pStyle w:val="Tabletextnumber"/>
            </w:pPr>
            <w:r w:rsidRPr="003A0C5C">
              <w:rPr>
                <w:rFonts w:cs="Arial"/>
                <w:szCs w:val="16"/>
              </w:rPr>
              <w:t>f)</w:t>
            </w:r>
            <w:r w:rsidRPr="003A0C5C">
              <w:rPr>
                <w:rFonts w:cs="Arial"/>
                <w:szCs w:val="16"/>
              </w:rPr>
              <w:tab/>
              <w:t>Impair implementation of or physically interfere with an adopted emergency response plan or emergency evacuation plan?</w:t>
            </w:r>
          </w:p>
        </w:tc>
        <w:tc>
          <w:tcPr>
            <w:tcW w:w="0" w:type="auto"/>
          </w:tcPr>
          <w:p w14:paraId="15B5D84C" w14:textId="77777777" w:rsidR="00B8605C" w:rsidRPr="003A0C5C" w:rsidRDefault="002348BC" w:rsidP="00B8605C">
            <w:pPr>
              <w:pStyle w:val="Checklist"/>
              <w:rPr>
                <w:sz w:val="20"/>
              </w:rPr>
            </w:pPr>
            <w:sdt>
              <w:sdtPr>
                <w:id w:val="-1294050274"/>
                <w14:checkbox>
                  <w14:checked w14:val="0"/>
                  <w14:checkedState w14:val="2612" w14:font="MS Gothic"/>
                  <w14:uncheckedState w14:val="2610" w14:font="MS Gothic"/>
                </w14:checkbox>
              </w:sdtPr>
              <w:sdtEndPr/>
              <w:sdtContent>
                <w:r w:rsidR="00B8605C" w:rsidRPr="003A0C5C">
                  <w:t>☐</w:t>
                </w:r>
              </w:sdtContent>
            </w:sdt>
          </w:p>
        </w:tc>
        <w:tc>
          <w:tcPr>
            <w:tcW w:w="0" w:type="auto"/>
          </w:tcPr>
          <w:p w14:paraId="7C379AB2" w14:textId="410E4F2F" w:rsidR="00B8605C" w:rsidRPr="003A0C5C" w:rsidRDefault="002348BC" w:rsidP="00B8605C">
            <w:pPr>
              <w:pStyle w:val="Checklist"/>
              <w:rPr>
                <w:sz w:val="20"/>
              </w:rPr>
            </w:pPr>
            <w:sdt>
              <w:sdtPr>
                <w:id w:val="934490633"/>
                <w14:checkbox>
                  <w14:checked w14:val="0"/>
                  <w14:checkedState w14:val="2612" w14:font="MS Gothic"/>
                  <w14:uncheckedState w14:val="2610" w14:font="MS Gothic"/>
                </w14:checkbox>
              </w:sdtPr>
              <w:sdtEndPr/>
              <w:sdtContent>
                <w:r w:rsidR="00B8605C" w:rsidRPr="003A0C5C">
                  <w:t>☐</w:t>
                </w:r>
              </w:sdtContent>
            </w:sdt>
          </w:p>
        </w:tc>
        <w:tc>
          <w:tcPr>
            <w:tcW w:w="0" w:type="auto"/>
          </w:tcPr>
          <w:p w14:paraId="7C369C9D" w14:textId="053C69AD" w:rsidR="00B8605C" w:rsidRPr="003A0C5C" w:rsidRDefault="002348BC" w:rsidP="00B8605C">
            <w:pPr>
              <w:pStyle w:val="Checklist"/>
              <w:rPr>
                <w:sz w:val="20"/>
              </w:rPr>
            </w:pPr>
            <w:sdt>
              <w:sdtPr>
                <w:id w:val="-604804660"/>
                <w14:checkbox>
                  <w14:checked w14:val="1"/>
                  <w14:checkedState w14:val="2612" w14:font="MS Gothic"/>
                  <w14:uncheckedState w14:val="2610" w14:font="MS Gothic"/>
                </w14:checkbox>
              </w:sdtPr>
              <w:sdtEndPr/>
              <w:sdtContent>
                <w:r w:rsidR="00F63983" w:rsidRPr="003A0C5C">
                  <w:rPr>
                    <w:rFonts w:hint="eastAsia"/>
                  </w:rPr>
                  <w:t>☒</w:t>
                </w:r>
              </w:sdtContent>
            </w:sdt>
          </w:p>
        </w:tc>
        <w:tc>
          <w:tcPr>
            <w:tcW w:w="0" w:type="auto"/>
          </w:tcPr>
          <w:p w14:paraId="56234046" w14:textId="5030271A" w:rsidR="00B8605C" w:rsidRPr="003A0C5C" w:rsidRDefault="002348BC" w:rsidP="00B8605C">
            <w:pPr>
              <w:pStyle w:val="Checklist"/>
              <w:rPr>
                <w:sz w:val="20"/>
              </w:rPr>
            </w:pPr>
            <w:sdt>
              <w:sdtPr>
                <w:id w:val="384294683"/>
                <w14:checkbox>
                  <w14:checked w14:val="0"/>
                  <w14:checkedState w14:val="2612" w14:font="MS Gothic"/>
                  <w14:uncheckedState w14:val="2610" w14:font="MS Gothic"/>
                </w14:checkbox>
              </w:sdtPr>
              <w:sdtEndPr/>
              <w:sdtContent>
                <w:r w:rsidR="00F63983" w:rsidRPr="003A0C5C">
                  <w:rPr>
                    <w:rFonts w:hint="eastAsia"/>
                  </w:rPr>
                  <w:t>☐</w:t>
                </w:r>
              </w:sdtContent>
            </w:sdt>
          </w:p>
        </w:tc>
      </w:tr>
      <w:tr w:rsidR="00B8605C" w:rsidRPr="003A0C5C" w14:paraId="2ADF7D30" w14:textId="77777777" w:rsidTr="005B6039">
        <w:trPr>
          <w:cantSplit/>
          <w:trHeight w:val="64"/>
        </w:trPr>
        <w:tc>
          <w:tcPr>
            <w:tcW w:w="0" w:type="auto"/>
          </w:tcPr>
          <w:p w14:paraId="53ADA99D" w14:textId="093CB9D0" w:rsidR="00B8605C" w:rsidRPr="003A0C5C" w:rsidRDefault="00B8605C" w:rsidP="00B8605C">
            <w:pPr>
              <w:pStyle w:val="Tabletextnumber"/>
            </w:pPr>
            <w:r w:rsidRPr="003A0C5C">
              <w:rPr>
                <w:rFonts w:cs="Arial"/>
                <w:spacing w:val="-2"/>
                <w:szCs w:val="16"/>
              </w:rPr>
              <w:t>g)</w:t>
            </w:r>
            <w:r w:rsidRPr="003A0C5C">
              <w:rPr>
                <w:rFonts w:cs="Arial"/>
                <w:spacing w:val="-2"/>
                <w:szCs w:val="16"/>
              </w:rPr>
              <w:tab/>
              <w:t>Expose people or structures, either directly or indirectly, to a significant risk of loss, injury, or death involving wildland fires?</w:t>
            </w:r>
          </w:p>
        </w:tc>
        <w:tc>
          <w:tcPr>
            <w:tcW w:w="0" w:type="auto"/>
          </w:tcPr>
          <w:p w14:paraId="4850D0F7" w14:textId="6B01737A" w:rsidR="00B8605C" w:rsidRPr="003A0C5C" w:rsidRDefault="002348BC" w:rsidP="00B8605C">
            <w:pPr>
              <w:pStyle w:val="Checklist"/>
              <w:rPr>
                <w:sz w:val="20"/>
              </w:rPr>
            </w:pPr>
            <w:sdt>
              <w:sdtPr>
                <w:id w:val="1856918261"/>
                <w14:checkbox>
                  <w14:checked w14:val="0"/>
                  <w14:checkedState w14:val="2612" w14:font="MS Gothic"/>
                  <w14:uncheckedState w14:val="2610" w14:font="MS Gothic"/>
                </w14:checkbox>
              </w:sdtPr>
              <w:sdtEndPr/>
              <w:sdtContent>
                <w:r w:rsidR="00B8605C" w:rsidRPr="003A0C5C">
                  <w:t>☐</w:t>
                </w:r>
              </w:sdtContent>
            </w:sdt>
          </w:p>
        </w:tc>
        <w:tc>
          <w:tcPr>
            <w:tcW w:w="0" w:type="auto"/>
          </w:tcPr>
          <w:p w14:paraId="5F6D60E8" w14:textId="21C91DC5" w:rsidR="00B8605C" w:rsidRPr="003A0C5C" w:rsidRDefault="002348BC" w:rsidP="00B8605C">
            <w:pPr>
              <w:pStyle w:val="Checklist"/>
              <w:rPr>
                <w:sz w:val="20"/>
              </w:rPr>
            </w:pPr>
            <w:sdt>
              <w:sdtPr>
                <w:id w:val="-724526649"/>
                <w14:checkbox>
                  <w14:checked w14:val="0"/>
                  <w14:checkedState w14:val="2612" w14:font="MS Gothic"/>
                  <w14:uncheckedState w14:val="2610" w14:font="MS Gothic"/>
                </w14:checkbox>
              </w:sdtPr>
              <w:sdtEndPr/>
              <w:sdtContent>
                <w:r w:rsidR="00B8605C" w:rsidRPr="003A0C5C">
                  <w:t>☐</w:t>
                </w:r>
              </w:sdtContent>
            </w:sdt>
          </w:p>
        </w:tc>
        <w:tc>
          <w:tcPr>
            <w:tcW w:w="0" w:type="auto"/>
          </w:tcPr>
          <w:p w14:paraId="022B8192" w14:textId="1EE08B2E" w:rsidR="00B8605C" w:rsidRPr="003A0C5C" w:rsidRDefault="002348BC" w:rsidP="00B8605C">
            <w:pPr>
              <w:pStyle w:val="Checklist"/>
              <w:rPr>
                <w:sz w:val="20"/>
              </w:rPr>
            </w:pPr>
            <w:sdt>
              <w:sdtPr>
                <w:id w:val="-729769913"/>
                <w14:checkbox>
                  <w14:checked w14:val="0"/>
                  <w14:checkedState w14:val="2612" w14:font="MS Gothic"/>
                  <w14:uncheckedState w14:val="2610" w14:font="MS Gothic"/>
                </w14:checkbox>
              </w:sdtPr>
              <w:sdtEndPr/>
              <w:sdtContent>
                <w:r w:rsidR="00B8605C" w:rsidRPr="003A0C5C">
                  <w:rPr>
                    <w:rFonts w:hint="eastAsia"/>
                  </w:rPr>
                  <w:t>☐</w:t>
                </w:r>
              </w:sdtContent>
            </w:sdt>
          </w:p>
        </w:tc>
        <w:tc>
          <w:tcPr>
            <w:tcW w:w="0" w:type="auto"/>
          </w:tcPr>
          <w:p w14:paraId="5A1676FC" w14:textId="03897DE8" w:rsidR="00B8605C" w:rsidRPr="003A0C5C" w:rsidRDefault="002348BC" w:rsidP="00B8605C">
            <w:pPr>
              <w:pStyle w:val="Checklist"/>
              <w:rPr>
                <w:sz w:val="20"/>
              </w:rPr>
            </w:pPr>
            <w:sdt>
              <w:sdtPr>
                <w:id w:val="760260545"/>
                <w14:checkbox>
                  <w14:checked w14:val="1"/>
                  <w14:checkedState w14:val="2612" w14:font="MS Gothic"/>
                  <w14:uncheckedState w14:val="2610" w14:font="MS Gothic"/>
                </w14:checkbox>
              </w:sdtPr>
              <w:sdtEndPr/>
              <w:sdtContent>
                <w:r w:rsidR="0014361E" w:rsidRPr="003A0C5C">
                  <w:rPr>
                    <w:rFonts w:hint="eastAsia"/>
                  </w:rPr>
                  <w:t>☒</w:t>
                </w:r>
              </w:sdtContent>
            </w:sdt>
          </w:p>
        </w:tc>
      </w:tr>
    </w:tbl>
    <w:p w14:paraId="56E92B77" w14:textId="77777777" w:rsidR="00957C8B" w:rsidRPr="003A0C5C" w:rsidRDefault="00957C8B" w:rsidP="00957C8B">
      <w:pPr>
        <w:pStyle w:val="TableNotes"/>
        <w:rPr>
          <w:highlight w:val="yellow"/>
        </w:rPr>
      </w:pPr>
    </w:p>
    <w:p w14:paraId="0D6818D5" w14:textId="0F33D31C" w:rsidR="00AB5674" w:rsidRPr="003A0C5C" w:rsidRDefault="00AB5674" w:rsidP="00AB5674">
      <w:pPr>
        <w:pStyle w:val="12space"/>
        <w:keepNext/>
        <w:spacing w:after="180"/>
      </w:pPr>
      <w:r w:rsidRPr="003A0C5C">
        <w:t xml:space="preserve">This section is based in part on the Phase I Environmental Site Assessment (Phase I ESA), prepared by Weis Environmental, dated January 25, 2021 (refer to </w:t>
      </w:r>
      <w:r w:rsidR="007654F1" w:rsidRPr="003A0C5C">
        <w:rPr>
          <w:b/>
          <w:bCs/>
        </w:rPr>
        <w:t>Appendix</w:t>
      </w:r>
      <w:r w:rsidRPr="003A0C5C">
        <w:rPr>
          <w:b/>
          <w:bCs/>
        </w:rPr>
        <w:t xml:space="preserve"> </w:t>
      </w:r>
      <w:r w:rsidR="0050211E" w:rsidRPr="003A0C5C">
        <w:rPr>
          <w:b/>
          <w:bCs/>
        </w:rPr>
        <w:t>H</w:t>
      </w:r>
      <w:r w:rsidRPr="003A0C5C">
        <w:t xml:space="preserve"> of this IS/MND).</w:t>
      </w:r>
    </w:p>
    <w:p w14:paraId="6AC5B081" w14:textId="1B749B68" w:rsidR="007A6A89" w:rsidRPr="003A0C5C" w:rsidRDefault="007A6A89" w:rsidP="007A6A89">
      <w:pPr>
        <w:pStyle w:val="12space"/>
        <w:keepNext/>
        <w:spacing w:after="180"/>
      </w:pPr>
      <w:r w:rsidRPr="003A0C5C">
        <w:t xml:space="preserve">As discussed above, there are known groundwater impacts at the project site. As such, 16 groundwater monitoring wells were installed on the project site </w:t>
      </w:r>
      <w:r w:rsidR="0022082A" w:rsidRPr="003A0C5C">
        <w:t xml:space="preserve">and </w:t>
      </w:r>
      <w:r w:rsidRPr="003A0C5C">
        <w:t>are used as part of the groundwater monitoring program. The Phase I ESA notes that concentrations in existing monitoring wells generally appeared to be stable or decreasing, with a few instances of fluctuation. As it relates to soil impacts, a Soil Excavation Workplan was developed by URS and 7,255.69 tons (approximately 4,837 in-place cubic yards assuming 1.5 tons per cubic yard) of impacted soil were excavated from the project site and disposed off</w:t>
      </w:r>
      <w:r w:rsidR="00832857" w:rsidRPr="003A0C5C">
        <w:t>-</w:t>
      </w:r>
      <w:r w:rsidRPr="003A0C5C">
        <w:t xml:space="preserve">site. The impacted soil was removed from four distinct areas to depths ranging from approximately </w:t>
      </w:r>
      <w:r w:rsidR="00136024" w:rsidRPr="003A0C5C">
        <w:t xml:space="preserve">5 </w:t>
      </w:r>
      <w:r w:rsidRPr="003A0C5C">
        <w:t xml:space="preserve">to </w:t>
      </w:r>
      <w:r w:rsidR="00136024" w:rsidRPr="003A0C5C">
        <w:t>8</w:t>
      </w:r>
      <w:r w:rsidRPr="003A0C5C">
        <w:t xml:space="preserve"> feet. URS concluded that based on confirmation soil sampling for each of the excavations, the cleanup criteria set out in the workplan had been met. URS also stated that a SMP for the project site was prepared to mitigate potential future exposure to residual petroleum hydrocarbons and odor generation during project site development. URS requested that the LARWQCB issue a no further action letter for vadose zone soils at the project site. The LARWQCB reviewed the report and concurred with its findings. A no further action letter for soil was issued by the LARWQCB on December 14, 2015.</w:t>
      </w:r>
    </w:p>
    <w:p w14:paraId="067B59A3" w14:textId="3472EEDF" w:rsidR="005A15F7" w:rsidRPr="003A0C5C" w:rsidRDefault="005A15F7" w:rsidP="00FF13A8">
      <w:pPr>
        <w:pStyle w:val="12space"/>
        <w:rPr>
          <w:spacing w:val="-2"/>
        </w:rPr>
      </w:pPr>
      <w:r w:rsidRPr="003A0C5C">
        <w:rPr>
          <w:spacing w:val="-2"/>
        </w:rPr>
        <w:t xml:space="preserve">With the exception of the known residual petroleum hydrocarbon impacts in soil beneath the project site (below commercial/industrial screening levels) and the known groundwater impacts that have </w:t>
      </w:r>
      <w:r w:rsidRPr="003A0C5C">
        <w:rPr>
          <w:spacing w:val="-2"/>
        </w:rPr>
        <w:lastRenderedPageBreak/>
        <w:t xml:space="preserve">resulted from off-site sources, </w:t>
      </w:r>
      <w:r w:rsidR="00992BFD" w:rsidRPr="003A0C5C">
        <w:rPr>
          <w:spacing w:val="-2"/>
        </w:rPr>
        <w:t>the Phase I ESA did not identify</w:t>
      </w:r>
      <w:r w:rsidRPr="003A0C5C">
        <w:rPr>
          <w:spacing w:val="-2"/>
        </w:rPr>
        <w:t xml:space="preserve"> features and/or conditions indicating the presence or likely presence of hazardous substances and/or petroleum products at the </w:t>
      </w:r>
      <w:r w:rsidR="00992BFD" w:rsidRPr="003A0C5C">
        <w:rPr>
          <w:spacing w:val="-2"/>
        </w:rPr>
        <w:t>project s</w:t>
      </w:r>
      <w:r w:rsidRPr="003A0C5C">
        <w:rPr>
          <w:spacing w:val="-2"/>
        </w:rPr>
        <w:t>ite.</w:t>
      </w:r>
    </w:p>
    <w:p w14:paraId="4A355975" w14:textId="77777777" w:rsidR="00957C8B" w:rsidRPr="003A0C5C" w:rsidRDefault="00957C8B" w:rsidP="00957C8B">
      <w:pPr>
        <w:pStyle w:val="Heading5"/>
      </w:pPr>
      <w:r w:rsidRPr="003A0C5C">
        <w:t>Discussion</w:t>
      </w:r>
    </w:p>
    <w:p w14:paraId="58ADDCB9" w14:textId="5E4129AD" w:rsidR="00F92AE1" w:rsidRPr="003A0C5C" w:rsidRDefault="00676A0A" w:rsidP="00DE3283">
      <w:pPr>
        <w:pStyle w:val="12spaceindent"/>
      </w:pPr>
      <w:r w:rsidRPr="003A0C5C">
        <w:t>a)</w:t>
      </w:r>
      <w:r w:rsidRPr="003A0C5C">
        <w:tab/>
      </w:r>
      <w:r w:rsidR="004F426E" w:rsidRPr="003A0C5C">
        <w:t>Exposure of the public or the environment to hazardous materials can occur through transportation accidents; environmentally unsound disposal methods; improper handling of hazardous materials or hazardous wastes (particularly by untrained personnel) during construction or operation. The severity of these potential effects varies by type of activity, concentration and/or type of hazardous materials or wastes, and proximity to sensitive receptors.</w:t>
      </w:r>
    </w:p>
    <w:p w14:paraId="16BFAC0A" w14:textId="4767156D" w:rsidR="004F426E" w:rsidRPr="003A0C5C" w:rsidRDefault="004F426E" w:rsidP="00957C8B">
      <w:pPr>
        <w:pStyle w:val="Heading6"/>
        <w:ind w:left="720"/>
        <w:rPr>
          <w:bCs/>
        </w:rPr>
      </w:pPr>
      <w:r w:rsidRPr="003A0C5C">
        <w:rPr>
          <w:bCs/>
        </w:rPr>
        <w:t>Construction</w:t>
      </w:r>
    </w:p>
    <w:p w14:paraId="5237ABF6" w14:textId="1795F22E" w:rsidR="004F426E" w:rsidRPr="003A0C5C" w:rsidRDefault="003F4532" w:rsidP="0039366F">
      <w:pPr>
        <w:pStyle w:val="12spaceindentcontinue"/>
      </w:pPr>
      <w:r w:rsidRPr="003A0C5C">
        <w:t>The</w:t>
      </w:r>
      <w:r w:rsidR="00B55DD1" w:rsidRPr="003A0C5C">
        <w:t xml:space="preserve"> project site is located in an urbanized area of the City of Carson, on two parcels</w:t>
      </w:r>
      <w:r w:rsidR="0022082A" w:rsidRPr="003A0C5C">
        <w:t>,</w:t>
      </w:r>
      <w:r w:rsidR="00B55DD1" w:rsidRPr="003A0C5C">
        <w:t xml:space="preserve"> which are currently vacant and undeveloped. </w:t>
      </w:r>
      <w:r w:rsidR="004F426E" w:rsidRPr="003A0C5C">
        <w:t xml:space="preserve">Project construction activities </w:t>
      </w:r>
      <w:r w:rsidR="00194CF3" w:rsidRPr="003A0C5C">
        <w:t xml:space="preserve">would involve </w:t>
      </w:r>
      <w:r w:rsidR="004F426E" w:rsidRPr="003A0C5C">
        <w:t xml:space="preserve">minimal use and transport of hazardous materials. Construction </w:t>
      </w:r>
      <w:r w:rsidR="00194CF3" w:rsidRPr="003A0C5C">
        <w:t xml:space="preserve">would involve </w:t>
      </w:r>
      <w:r w:rsidR="004F426E" w:rsidRPr="003A0C5C">
        <w:t xml:space="preserve">the use of some heavy equipment, which use small amounts of oil and fuels. Construction activities that involve hazardous materials are governed by several agencies, including the </w:t>
      </w:r>
      <w:r w:rsidRPr="003A0C5C">
        <w:t>Environmental Protection Agency (</w:t>
      </w:r>
      <w:r w:rsidR="004F426E" w:rsidRPr="003A0C5C">
        <w:t>EPA</w:t>
      </w:r>
      <w:r w:rsidRPr="003A0C5C">
        <w:t>)</w:t>
      </w:r>
      <w:r w:rsidR="004F426E" w:rsidRPr="003A0C5C">
        <w:t xml:space="preserve">, </w:t>
      </w:r>
      <w:r w:rsidRPr="003A0C5C">
        <w:t>Caltrans</w:t>
      </w:r>
      <w:r w:rsidR="004F426E" w:rsidRPr="003A0C5C">
        <w:t xml:space="preserve">, </w:t>
      </w:r>
      <w:bookmarkStart w:id="71" w:name="_Hlk98156000"/>
      <w:r w:rsidR="004F426E" w:rsidRPr="003A0C5C">
        <w:t xml:space="preserve">California Division of Occupational </w:t>
      </w:r>
      <w:r w:rsidRPr="003A0C5C">
        <w:t>Safety and Health (</w:t>
      </w:r>
      <w:r w:rsidR="004F426E" w:rsidRPr="003A0C5C">
        <w:t>Cal/OSHA</w:t>
      </w:r>
      <w:r w:rsidRPr="003A0C5C">
        <w:t>)</w:t>
      </w:r>
      <w:bookmarkEnd w:id="71"/>
      <w:r w:rsidR="004F426E" w:rsidRPr="003A0C5C">
        <w:t xml:space="preserve">, and </w:t>
      </w:r>
      <w:r w:rsidRPr="003A0C5C">
        <w:t>the California Department of Toxic Substances Control (</w:t>
      </w:r>
      <w:r w:rsidR="004F426E" w:rsidRPr="003A0C5C">
        <w:t>DTSC</w:t>
      </w:r>
      <w:r w:rsidRPr="003A0C5C">
        <w:t>)</w:t>
      </w:r>
      <w:r w:rsidR="004F426E" w:rsidRPr="003A0C5C">
        <w:t xml:space="preserve">. </w:t>
      </w:r>
      <w:r w:rsidR="00B02E61" w:rsidRPr="003A0C5C">
        <w:t>As required by these regulatory agencies, c</w:t>
      </w:r>
      <w:r w:rsidR="004F426E" w:rsidRPr="003A0C5C">
        <w:t xml:space="preserve">onstruction contractors </w:t>
      </w:r>
      <w:r w:rsidR="00B02E61" w:rsidRPr="003A0C5C">
        <w:t xml:space="preserve">would be required to </w:t>
      </w:r>
      <w:r w:rsidR="004F426E" w:rsidRPr="003A0C5C">
        <w:t>implement BMPs for handling hazardous materials during construction activities, including following manufacturers</w:t>
      </w:r>
      <w:r w:rsidR="00D678AB" w:rsidRPr="003A0C5C">
        <w:t>’</w:t>
      </w:r>
      <w:r w:rsidR="004F426E" w:rsidRPr="003A0C5C">
        <w:t xml:space="preserve"> recommendations and regulatory requirements for use, storage, and disposal of chemical products and hazardous materials used in construction; avoiding overtopping construction equipment fuel tanks; routine maintenance of construction equipment; and properly disposing of discarded containers of fuels and other chemicals. Construction contractors are required to implement safety measures in accordance with the General Industry Safety Orders of the California Code of Regulations. </w:t>
      </w:r>
      <w:r w:rsidR="00B02E61" w:rsidRPr="003A0C5C">
        <w:t>Therefore, a</w:t>
      </w:r>
      <w:r w:rsidR="004F426E" w:rsidRPr="003A0C5C">
        <w:t xml:space="preserve">ll construction-related </w:t>
      </w:r>
      <w:r w:rsidR="00B02E61" w:rsidRPr="003A0C5C">
        <w:t xml:space="preserve">hazardous </w:t>
      </w:r>
      <w:r w:rsidR="004F426E" w:rsidRPr="003A0C5C">
        <w:t xml:space="preserve">materials </w:t>
      </w:r>
      <w:r w:rsidR="00B02E61" w:rsidRPr="003A0C5C">
        <w:t xml:space="preserve">would be </w:t>
      </w:r>
      <w:r w:rsidR="004F426E" w:rsidRPr="003A0C5C">
        <w:t xml:space="preserve">transported and disposed of in accordance with applicable codes and regulations. Compliance with applicable </w:t>
      </w:r>
      <w:r w:rsidR="00462CFB" w:rsidRPr="003A0C5C">
        <w:t>f</w:t>
      </w:r>
      <w:r w:rsidR="001C20F9" w:rsidRPr="003A0C5C">
        <w:t>ederal</w:t>
      </w:r>
      <w:r w:rsidR="004F426E" w:rsidRPr="003A0C5C">
        <w:t>,</w:t>
      </w:r>
      <w:r w:rsidR="00470C54" w:rsidRPr="003A0C5C">
        <w:t xml:space="preserve"> </w:t>
      </w:r>
      <w:r w:rsidR="00903701" w:rsidRPr="003A0C5C">
        <w:t>State</w:t>
      </w:r>
      <w:r w:rsidR="004F426E" w:rsidRPr="003A0C5C">
        <w:t>, and local standards is required; therefore, construction-related impacts in regards to the transport, use, or disposal of hazardous materials during construction are less than significant.</w:t>
      </w:r>
    </w:p>
    <w:p w14:paraId="3CCCDC47" w14:textId="77777777" w:rsidR="004F426E" w:rsidRPr="003A0C5C" w:rsidRDefault="004F426E" w:rsidP="00957C8B">
      <w:pPr>
        <w:pStyle w:val="Heading6"/>
        <w:ind w:left="720"/>
        <w:rPr>
          <w:bCs/>
        </w:rPr>
      </w:pPr>
      <w:r w:rsidRPr="003A0C5C">
        <w:rPr>
          <w:bCs/>
        </w:rPr>
        <w:t>Operation</w:t>
      </w:r>
    </w:p>
    <w:p w14:paraId="4B0C7901" w14:textId="75463E92" w:rsidR="00676A0A" w:rsidRPr="003A0C5C" w:rsidRDefault="003F5209" w:rsidP="00481854">
      <w:pPr>
        <w:pStyle w:val="12spaceindentcontinue"/>
      </w:pPr>
      <w:r w:rsidRPr="003A0C5C">
        <w:t xml:space="preserve">The proposed project would operate as a self-storage facility with ancillary office and retail uses and associated landscaping and facility maintenance. None of the proposed land uses are typically considered a source of hazardous materials. Hazardous materials would be limited to private use of commercially available cleaning products, landscaping chemicals and fertilizers, and various other commercially available substances. </w:t>
      </w:r>
      <w:bookmarkStart w:id="72" w:name="_Hlk98081543"/>
      <w:r w:rsidR="00DE3283" w:rsidRPr="003A0C5C">
        <w:t xml:space="preserve">In addition, operation of the proposed project would be required to adhere to the environmental covenant recorded against the </w:t>
      </w:r>
      <w:r w:rsidR="00E04343" w:rsidRPr="003A0C5C">
        <w:t xml:space="preserve">project </w:t>
      </w:r>
      <w:r w:rsidR="00DE3283" w:rsidRPr="003A0C5C">
        <w:t xml:space="preserve">site, which requires a vapor barrier to be incorporated in the design of </w:t>
      </w:r>
      <w:r w:rsidR="00E04343" w:rsidRPr="003A0C5C">
        <w:t>proposed</w:t>
      </w:r>
      <w:r w:rsidR="00DE3283" w:rsidRPr="003A0C5C">
        <w:t xml:space="preserve"> </w:t>
      </w:r>
      <w:r w:rsidR="00E04343" w:rsidRPr="003A0C5C">
        <w:t>buildings. Furthermore,</w:t>
      </w:r>
      <w:r w:rsidR="00DE3283" w:rsidRPr="003A0C5C">
        <w:t xml:space="preserve"> all </w:t>
      </w:r>
      <w:r w:rsidR="00DE3283" w:rsidRPr="003A0C5C">
        <w:rPr>
          <w:rFonts w:eastAsia="Times New Roman"/>
        </w:rPr>
        <w:t>future</w:t>
      </w:r>
      <w:r w:rsidR="00E04343" w:rsidRPr="003A0C5C">
        <w:rPr>
          <w:rFonts w:eastAsia="Times New Roman"/>
        </w:rPr>
        <w:t xml:space="preserve"> project</w:t>
      </w:r>
      <w:r w:rsidR="00DE3283" w:rsidRPr="003A0C5C">
        <w:rPr>
          <w:rFonts w:eastAsia="Times New Roman"/>
        </w:rPr>
        <w:t xml:space="preserve"> tenants would be required to sign a rental agreement </w:t>
      </w:r>
      <w:r w:rsidR="0022082A" w:rsidRPr="003A0C5C">
        <w:rPr>
          <w:rFonts w:eastAsia="Times New Roman"/>
        </w:rPr>
        <w:t xml:space="preserve">that </w:t>
      </w:r>
      <w:r w:rsidR="00DE3283" w:rsidRPr="003A0C5C">
        <w:rPr>
          <w:rFonts w:eastAsia="Times New Roman"/>
        </w:rPr>
        <w:t>prohibits the storage of hazardous materials and chemicals.</w:t>
      </w:r>
      <w:bookmarkEnd w:id="72"/>
      <w:r w:rsidR="000436BE" w:rsidRPr="003A0C5C">
        <w:rPr>
          <w:rFonts w:eastAsia="Times New Roman"/>
        </w:rPr>
        <w:t xml:space="preserve"> </w:t>
      </w:r>
      <w:r w:rsidR="004F426E" w:rsidRPr="003A0C5C">
        <w:lastRenderedPageBreak/>
        <w:t xml:space="preserve">Therefore, operational impacts associated with the </w:t>
      </w:r>
      <w:r w:rsidR="000E4235" w:rsidRPr="003A0C5C">
        <w:t xml:space="preserve">proposed </w:t>
      </w:r>
      <w:r w:rsidR="004F426E" w:rsidRPr="003A0C5C">
        <w:t xml:space="preserve">project related to use, transport, storage, or disposal of hazardous materials would be less than </w:t>
      </w:r>
      <w:r w:rsidR="008F53EF" w:rsidRPr="003A0C5C">
        <w:t>significant</w:t>
      </w:r>
      <w:r w:rsidR="00481854" w:rsidRPr="003A0C5C">
        <w:t>.</w:t>
      </w:r>
      <w:r w:rsidR="004F426E" w:rsidRPr="003A0C5C">
        <w:tab/>
      </w:r>
    </w:p>
    <w:p w14:paraId="0762E018" w14:textId="241E94F7" w:rsidR="004F426E" w:rsidRPr="003A0C5C" w:rsidRDefault="00676A0A" w:rsidP="00676A0A">
      <w:pPr>
        <w:pStyle w:val="12spaceindent"/>
        <w:ind w:left="0" w:firstLine="0"/>
      </w:pPr>
      <w:r w:rsidRPr="003A0C5C">
        <w:t>b)</w:t>
      </w:r>
      <w:r w:rsidRPr="003A0C5C">
        <w:tab/>
      </w:r>
      <w:r w:rsidR="004F426E" w:rsidRPr="003A0C5C">
        <w:rPr>
          <w:rStyle w:val="Heading6Char"/>
        </w:rPr>
        <w:t>Construction</w:t>
      </w:r>
    </w:p>
    <w:p w14:paraId="601FE844" w14:textId="7228DD35" w:rsidR="00B10A9C" w:rsidRPr="003A0C5C" w:rsidRDefault="00373AD1" w:rsidP="0039366F">
      <w:pPr>
        <w:pStyle w:val="12spaceindentcontinue"/>
      </w:pPr>
      <w:r w:rsidRPr="003A0C5C">
        <w:t xml:space="preserve">Construction of the </w:t>
      </w:r>
      <w:r w:rsidR="008052E9" w:rsidRPr="003A0C5C">
        <w:t xml:space="preserve">proposed </w:t>
      </w:r>
      <w:r w:rsidRPr="003A0C5C">
        <w:t>project would require</w:t>
      </w:r>
      <w:r w:rsidR="004F426E" w:rsidRPr="003A0C5C">
        <w:t xml:space="preserve"> minimal use of hazardous materials typical to construction, including gasoline, motor oils, paints, solvents, and other miscellaneous materials (e.g., engine oil, etc.). </w:t>
      </w:r>
      <w:r w:rsidRPr="003A0C5C">
        <w:t>All</w:t>
      </w:r>
      <w:r w:rsidR="004F426E" w:rsidRPr="003A0C5C">
        <w:t xml:space="preserve"> potentially hazardous materials </w:t>
      </w:r>
      <w:r w:rsidRPr="003A0C5C">
        <w:t xml:space="preserve">would be </w:t>
      </w:r>
      <w:r w:rsidR="004F426E" w:rsidRPr="003A0C5C">
        <w:t>used and stored in accordance with manufacturers</w:t>
      </w:r>
      <w:r w:rsidR="00D678AB" w:rsidRPr="003A0C5C">
        <w:t>’</w:t>
      </w:r>
      <w:r w:rsidR="004F426E" w:rsidRPr="003A0C5C">
        <w:t xml:space="preserve"> instructions and handled in compliance with applicable standards and regulations. The construction phase </w:t>
      </w:r>
      <w:r w:rsidRPr="003A0C5C">
        <w:t xml:space="preserve">would involve </w:t>
      </w:r>
      <w:r w:rsidR="004F426E" w:rsidRPr="003A0C5C">
        <w:t xml:space="preserve">the use of heavy equipment, which </w:t>
      </w:r>
      <w:r w:rsidRPr="003A0C5C">
        <w:t xml:space="preserve">require </w:t>
      </w:r>
      <w:r w:rsidR="004F426E" w:rsidRPr="003A0C5C">
        <w:t xml:space="preserve">small amounts of oil and fuels and other potential flammable substances. During construction, equipment would require refueling and minor maintenance on location that could lead to fuel and oil spills. The contractor would be required to identify a staging area for storing materials. Additionally, operators of heavy-duty equipment are </w:t>
      </w:r>
      <w:r w:rsidR="00977BAB" w:rsidRPr="003A0C5C">
        <w:t>required</w:t>
      </w:r>
      <w:r w:rsidR="004F426E" w:rsidRPr="003A0C5C">
        <w:t xml:space="preserve"> to remain alert</w:t>
      </w:r>
      <w:r w:rsidR="00514AFD" w:rsidRPr="003A0C5C">
        <w:t>,</w:t>
      </w:r>
      <w:r w:rsidR="004F426E" w:rsidRPr="003A0C5C">
        <w:t xml:space="preserve"> and nearby during fueling of equipment and spills, should they occur, </w:t>
      </w:r>
      <w:r w:rsidR="00CB4906" w:rsidRPr="003A0C5C">
        <w:t>so their</w:t>
      </w:r>
      <w:r w:rsidR="00514AFD" w:rsidRPr="003A0C5C">
        <w:t xml:space="preserve"> spills do</w:t>
      </w:r>
      <w:r w:rsidR="004F426E" w:rsidRPr="003A0C5C">
        <w:t xml:space="preserve"> not reach the off-site environment. Construction contractors would be required to implement safety measures in accordance with the General Industry Safety Orders of the California Code of Regulations. All construction-related materials would be transported and disposed of in accordance with applicable codes and regulations. Compliance with applicable </w:t>
      </w:r>
      <w:r w:rsidR="00462CFB" w:rsidRPr="003A0C5C">
        <w:t>f</w:t>
      </w:r>
      <w:r w:rsidR="001C20F9" w:rsidRPr="003A0C5C">
        <w:t>ederal</w:t>
      </w:r>
      <w:r w:rsidR="004F426E" w:rsidRPr="003A0C5C">
        <w:t>,</w:t>
      </w:r>
      <w:r w:rsidR="00470C54" w:rsidRPr="003A0C5C">
        <w:t xml:space="preserve"> </w:t>
      </w:r>
      <w:r w:rsidR="00903701" w:rsidRPr="003A0C5C">
        <w:t>State</w:t>
      </w:r>
      <w:r w:rsidR="004F426E" w:rsidRPr="003A0C5C">
        <w:t>, and local standards is required</w:t>
      </w:r>
      <w:r w:rsidR="00B10A9C" w:rsidRPr="003A0C5C">
        <w:t>.</w:t>
      </w:r>
    </w:p>
    <w:p w14:paraId="32405641" w14:textId="17A7D8E6" w:rsidR="00B10A9C" w:rsidRPr="003A0C5C" w:rsidRDefault="00B10A9C" w:rsidP="006E422E">
      <w:pPr>
        <w:pStyle w:val="12spaceindentcontinue"/>
      </w:pPr>
      <w:r w:rsidRPr="003A0C5C">
        <w:t>As it relates to the petroleum hydrocarbon-impacted soil identified at the project site, impacted soil was removed from the project site and subsequently LARWQCB issue</w:t>
      </w:r>
      <w:r w:rsidR="009E39D2" w:rsidRPr="003A0C5C">
        <w:t>d</w:t>
      </w:r>
      <w:r w:rsidRPr="003A0C5C">
        <w:t xml:space="preserve"> a no further action letter for vadose zone soils at the project site. In addition, as it relates to the petroleum hydrocarbon-impacted groundwater, as noted above, concentrations in existing monitoring wells generally appeared to be stable or decreasing, with</w:t>
      </w:r>
      <w:r w:rsidR="00C447DA" w:rsidRPr="003A0C5C">
        <w:t xml:space="preserve"> a few instances of fluctuation. </w:t>
      </w:r>
      <w:r w:rsidR="00B41389" w:rsidRPr="003A0C5C">
        <w:t xml:space="preserve">While the </w:t>
      </w:r>
      <w:r w:rsidR="00344054" w:rsidRPr="003A0C5C">
        <w:t xml:space="preserve">proposed project </w:t>
      </w:r>
      <w:r w:rsidR="00B41389" w:rsidRPr="003A0C5C">
        <w:t>would excavate the upper 6 feet of existing earth materials, the</w:t>
      </w:r>
      <w:r w:rsidR="006E422E" w:rsidRPr="003A0C5C">
        <w:t xml:space="preserve"> soils encountered during excavation would be the clean import soils that was backfilled as part of the remediation on the project site. Furthermore, as groundwater was encountered at depths of 12.5 and 17.6 feet beneath the existing ground surface, proposed excavation would not impact the petroleum hydrocarbon-impacted groundwater</w:t>
      </w:r>
      <w:r w:rsidR="00C447DA" w:rsidRPr="003A0C5C">
        <w:t xml:space="preserve">. </w:t>
      </w:r>
      <w:r w:rsidR="00A33A80" w:rsidRPr="003A0C5C">
        <w:t xml:space="preserve">Construction would </w:t>
      </w:r>
      <w:r w:rsidR="003F0993" w:rsidRPr="003A0C5C">
        <w:t xml:space="preserve">be required to adhere to the SMP and </w:t>
      </w:r>
      <w:r w:rsidR="00D65998" w:rsidRPr="003A0C5C">
        <w:t>e</w:t>
      </w:r>
      <w:r w:rsidR="003F0993" w:rsidRPr="003A0C5C">
        <w:t xml:space="preserve">nvironmental </w:t>
      </w:r>
      <w:r w:rsidR="00D65998" w:rsidRPr="003A0C5C">
        <w:t>c</w:t>
      </w:r>
      <w:r w:rsidR="003F0993" w:rsidRPr="003A0C5C">
        <w:t xml:space="preserve">ovenant recorded against the site. </w:t>
      </w:r>
      <w:r w:rsidRPr="003A0C5C">
        <w:t xml:space="preserve">As such, construction activities would not result in accidental conditions involving existing on-site contamination. </w:t>
      </w:r>
    </w:p>
    <w:p w14:paraId="773BB7E1" w14:textId="5E1E774E" w:rsidR="004F426E" w:rsidRPr="003A0C5C" w:rsidRDefault="00B10A9C" w:rsidP="0039366F">
      <w:pPr>
        <w:pStyle w:val="12spaceindentcontinue"/>
      </w:pPr>
      <w:r w:rsidRPr="003A0C5C">
        <w:t>Based on the above</w:t>
      </w:r>
      <w:r w:rsidR="004F426E" w:rsidRPr="003A0C5C">
        <w:t xml:space="preserve">, construction-related impacts in regards to significant risk of </w:t>
      </w:r>
      <w:r w:rsidR="00373AD1" w:rsidRPr="003A0C5C">
        <w:t xml:space="preserve">upset </w:t>
      </w:r>
      <w:r w:rsidR="004F426E" w:rsidRPr="003A0C5C">
        <w:t>or accidental release of hazardous materials would be less than significant.</w:t>
      </w:r>
    </w:p>
    <w:p w14:paraId="490A37A9" w14:textId="77777777" w:rsidR="004F426E" w:rsidRPr="003A0C5C" w:rsidRDefault="004F426E" w:rsidP="00957C8B">
      <w:pPr>
        <w:pStyle w:val="Heading6"/>
        <w:ind w:left="720"/>
        <w:rPr>
          <w:bCs/>
        </w:rPr>
      </w:pPr>
      <w:r w:rsidRPr="003A0C5C">
        <w:rPr>
          <w:bCs/>
        </w:rPr>
        <w:t>Operation</w:t>
      </w:r>
    </w:p>
    <w:p w14:paraId="75DA2488" w14:textId="7749A67B" w:rsidR="009C48A7" w:rsidRPr="003A0C5C" w:rsidRDefault="009C48A7" w:rsidP="0039366F">
      <w:pPr>
        <w:pStyle w:val="12spaceindentcontinue"/>
      </w:pPr>
      <w:r w:rsidRPr="003A0C5C">
        <w:rPr>
          <w:rFonts w:cs="Times New Roman"/>
        </w:rPr>
        <w:t xml:space="preserve">As discussed above, </w:t>
      </w:r>
      <w:r w:rsidR="00014A1E" w:rsidRPr="003A0C5C">
        <w:t>hazardous materials used during operation would be limited to private use of commercially available cleaning products, landscaping chemicals and fertilizers, and various other commercially available substances.</w:t>
      </w:r>
    </w:p>
    <w:p w14:paraId="33FA20D6" w14:textId="061E69DA" w:rsidR="00D65998" w:rsidRPr="003A0C5C" w:rsidRDefault="00D65998" w:rsidP="0038283C">
      <w:pPr>
        <w:pStyle w:val="12spaceindentcontinue"/>
      </w:pPr>
      <w:r w:rsidRPr="003A0C5C">
        <w:lastRenderedPageBreak/>
        <w:t xml:space="preserve">As it relates to the petroleum hydrocarbon-impacted soil identified at the project site, impacted soil was removed from the project site and subsequently LARWQCB issued a no further action letter for vadose zone soils at the project site. In addition, as it relates to the petroleum hydrocarbon-impacted groundwater, as noted above, concentrations in existing monitoring wells generally appeared to be stable or decreasing, with a few instances of fluctuation. Operation of the </w:t>
      </w:r>
      <w:r w:rsidR="000E4235" w:rsidRPr="003A0C5C">
        <w:t xml:space="preserve">proposed </w:t>
      </w:r>
      <w:r w:rsidRPr="003A0C5C">
        <w:t>project would be required to adhere to the environmental covenant recorded against the site</w:t>
      </w:r>
      <w:r w:rsidR="006351B3" w:rsidRPr="003A0C5C">
        <w:t xml:space="preserve">, which </w:t>
      </w:r>
      <w:r w:rsidR="00F21333" w:rsidRPr="003A0C5C">
        <w:t xml:space="preserve">requires a vapor barrier to be incorporated in the design of </w:t>
      </w:r>
      <w:r w:rsidR="00435410" w:rsidRPr="003A0C5C">
        <w:t>future structures</w:t>
      </w:r>
      <w:r w:rsidR="00E04343" w:rsidRPr="003A0C5C">
        <w:t xml:space="preserve">. Furthermore, </w:t>
      </w:r>
      <w:r w:rsidR="00DB5F04" w:rsidRPr="003A0C5C">
        <w:t xml:space="preserve">all </w:t>
      </w:r>
      <w:r w:rsidR="00DB5F04" w:rsidRPr="003A0C5C">
        <w:rPr>
          <w:rFonts w:eastAsia="Times New Roman"/>
        </w:rPr>
        <w:t xml:space="preserve">future storage tenants would be required to sign a rental agreement </w:t>
      </w:r>
      <w:r w:rsidR="0022082A" w:rsidRPr="003A0C5C">
        <w:rPr>
          <w:rFonts w:eastAsia="Times New Roman"/>
        </w:rPr>
        <w:t xml:space="preserve">that </w:t>
      </w:r>
      <w:r w:rsidR="00DB5F04" w:rsidRPr="003A0C5C">
        <w:rPr>
          <w:rFonts w:eastAsia="Times New Roman"/>
        </w:rPr>
        <w:t xml:space="preserve">prohibits the storage of hazardous materials and chemicals. </w:t>
      </w:r>
      <w:r w:rsidRPr="003A0C5C">
        <w:t xml:space="preserve">As such, </w:t>
      </w:r>
      <w:r w:rsidR="00435410" w:rsidRPr="003A0C5C">
        <w:t>project operation</w:t>
      </w:r>
      <w:r w:rsidRPr="003A0C5C">
        <w:t xml:space="preserve"> would not result in </w:t>
      </w:r>
      <w:r w:rsidR="00897A71" w:rsidRPr="003A0C5C">
        <w:t xml:space="preserve">upset or accident </w:t>
      </w:r>
      <w:r w:rsidRPr="003A0C5C">
        <w:t xml:space="preserve">conditions involving existing on-site contamination. </w:t>
      </w:r>
      <w:r w:rsidR="0038283C" w:rsidRPr="003A0C5C">
        <w:t>Based on the above, impacts in regards to significant risk of upset or accidental release of hazardous materials during operation of the proposed project would be less than significant.</w:t>
      </w:r>
    </w:p>
    <w:p w14:paraId="5A3965A3" w14:textId="1E59151C" w:rsidR="00F92AE1" w:rsidRPr="003A0C5C" w:rsidRDefault="004F426E" w:rsidP="0039366F">
      <w:pPr>
        <w:pStyle w:val="12spaceindent"/>
        <w:rPr>
          <w:highlight w:val="yellow"/>
        </w:rPr>
      </w:pPr>
      <w:r w:rsidRPr="003A0C5C">
        <w:t>c)</w:t>
      </w:r>
      <w:r w:rsidRPr="003A0C5C">
        <w:tab/>
      </w:r>
      <w:r w:rsidR="00703416" w:rsidRPr="003A0C5C">
        <w:t xml:space="preserve">The nearest school to the project site is the </w:t>
      </w:r>
      <w:r w:rsidR="00CD315B" w:rsidRPr="003A0C5C">
        <w:t>Carnegie Middle</w:t>
      </w:r>
      <w:r w:rsidR="00593A4D" w:rsidRPr="003A0C5C">
        <w:t xml:space="preserve"> School</w:t>
      </w:r>
      <w:r w:rsidR="00703416" w:rsidRPr="003A0C5C">
        <w:t>, located approximately 0.</w:t>
      </w:r>
      <w:r w:rsidR="00CD315B" w:rsidRPr="003A0C5C">
        <w:t>37</w:t>
      </w:r>
      <w:r w:rsidR="00CD41F9" w:rsidRPr="003A0C5C">
        <w:t> mile</w:t>
      </w:r>
      <w:r w:rsidR="00703416" w:rsidRPr="003A0C5C">
        <w:t>s</w:t>
      </w:r>
      <w:r w:rsidR="00593A4D" w:rsidRPr="003A0C5C">
        <w:t xml:space="preserve"> </w:t>
      </w:r>
      <w:r w:rsidR="00CD315B" w:rsidRPr="003A0C5C">
        <w:t>southwest</w:t>
      </w:r>
      <w:r w:rsidR="00703416" w:rsidRPr="003A0C5C">
        <w:t xml:space="preserve">. </w:t>
      </w:r>
      <w:r w:rsidR="00487F19" w:rsidRPr="003A0C5C">
        <w:t>As such, the</w:t>
      </w:r>
      <w:r w:rsidRPr="003A0C5C">
        <w:t xml:space="preserve"> </w:t>
      </w:r>
      <w:r w:rsidR="00CD315B" w:rsidRPr="003A0C5C">
        <w:t xml:space="preserve">project </w:t>
      </w:r>
      <w:r w:rsidR="00487F19" w:rsidRPr="003A0C5C">
        <w:t xml:space="preserve">site </w:t>
      </w:r>
      <w:r w:rsidR="00CD315B" w:rsidRPr="003A0C5C">
        <w:t>and</w:t>
      </w:r>
      <w:r w:rsidR="00D76DEC" w:rsidRPr="003A0C5C">
        <w:t xml:space="preserve"> would not be within </w:t>
      </w:r>
      <w:r w:rsidR="00487F19" w:rsidRPr="003A0C5C">
        <w:t>0.25 mile</w:t>
      </w:r>
      <w:r w:rsidR="008E551B" w:rsidRPr="003A0C5C">
        <w:t>s</w:t>
      </w:r>
      <w:r w:rsidR="00487F19" w:rsidRPr="003A0C5C">
        <w:t xml:space="preserve"> of a</w:t>
      </w:r>
      <w:r w:rsidR="00D76DEC" w:rsidRPr="003A0C5C">
        <w:t xml:space="preserve"> school. </w:t>
      </w:r>
      <w:r w:rsidRPr="003A0C5C">
        <w:t xml:space="preserve">Therefore, </w:t>
      </w:r>
      <w:r w:rsidR="007F5A5D" w:rsidRPr="003A0C5C">
        <w:t xml:space="preserve">no </w:t>
      </w:r>
      <w:r w:rsidRPr="003A0C5C">
        <w:t>impacts to existing school</w:t>
      </w:r>
      <w:r w:rsidR="007F5A5D" w:rsidRPr="003A0C5C">
        <w:t>s</w:t>
      </w:r>
      <w:r w:rsidRPr="003A0C5C">
        <w:t xml:space="preserve"> would </w:t>
      </w:r>
      <w:r w:rsidR="007F5A5D" w:rsidRPr="003A0C5C">
        <w:t>occur</w:t>
      </w:r>
      <w:r w:rsidRPr="003A0C5C">
        <w:t>.</w:t>
      </w:r>
    </w:p>
    <w:p w14:paraId="116B1DD6" w14:textId="719B847C" w:rsidR="004F426E" w:rsidRPr="003A0C5C" w:rsidRDefault="004F426E" w:rsidP="0039366F">
      <w:pPr>
        <w:pStyle w:val="12spaceindent"/>
        <w:rPr>
          <w:highlight w:val="yellow"/>
        </w:rPr>
      </w:pPr>
      <w:r w:rsidRPr="003A0C5C">
        <w:t>d)</w:t>
      </w:r>
      <w:r w:rsidRPr="003A0C5C">
        <w:tab/>
      </w:r>
      <w:r w:rsidR="00307A7A" w:rsidRPr="003A0C5C">
        <w:rPr>
          <w:rFonts w:cs="Times New Roman"/>
        </w:rPr>
        <w:t xml:space="preserve">Based on a review of the databases, as provided in the Phase I ESA, the </w:t>
      </w:r>
      <w:r w:rsidR="00137B17" w:rsidRPr="003A0C5C">
        <w:rPr>
          <w:rFonts w:cs="Times New Roman"/>
        </w:rPr>
        <w:t>p</w:t>
      </w:r>
      <w:r w:rsidR="00307A7A" w:rsidRPr="003A0C5C">
        <w:rPr>
          <w:rFonts w:cs="Times New Roman"/>
        </w:rPr>
        <w:t xml:space="preserve">roject </w:t>
      </w:r>
      <w:r w:rsidR="008052E9" w:rsidRPr="003A0C5C">
        <w:rPr>
          <w:rFonts w:cs="Times New Roman"/>
        </w:rPr>
        <w:t>site</w:t>
      </w:r>
      <w:r w:rsidR="00307A7A" w:rsidRPr="003A0C5C">
        <w:rPr>
          <w:rFonts w:cs="Times New Roman"/>
        </w:rPr>
        <w:t xml:space="preserve"> was identified in the RCRA SQG, CLEANUP SITES and DEED State regulatory databases. The project site is referenced with a closed regulatory status as of October 23, </w:t>
      </w:r>
      <w:r w:rsidR="000436BE" w:rsidRPr="003A0C5C">
        <w:rPr>
          <w:rFonts w:cs="Times New Roman"/>
        </w:rPr>
        <w:t>2015,</w:t>
      </w:r>
      <w:r w:rsidR="00307A7A" w:rsidRPr="003A0C5C">
        <w:rPr>
          <w:rFonts w:cs="Times New Roman"/>
        </w:rPr>
        <w:t xml:space="preserve"> and with a Covenant and Environmental Restriction recorded on the project site. The project site is also listed on the local LA County CUPA and LA HMS regulatory databases. </w:t>
      </w:r>
      <w:r w:rsidR="007E66CF" w:rsidRPr="003A0C5C">
        <w:t xml:space="preserve">No details are provided in the LA County CUPA database listing. </w:t>
      </w:r>
      <w:r w:rsidR="00307A7A" w:rsidRPr="003A0C5C">
        <w:rPr>
          <w:rFonts w:cs="Times New Roman"/>
        </w:rPr>
        <w:t xml:space="preserve">The LA HMA database listing pertains to closed permits pertaining to waste generation and stormwater. In addition, the project site is listed on the non-ASTM FINDS/FRS, HAZNET and HIST MANIFEST regulatory databases. The listings pertain to the manifesting and removal of various wastes. As discussed above, contaminated soils were removed and </w:t>
      </w:r>
      <w:r w:rsidR="00307A7A" w:rsidRPr="003A0C5C">
        <w:t xml:space="preserve">LARWQCB issued a no further action letter for vadose zone soils at the project site. In addition, as it relates to the petroleum hydrocarbon-impacted groundwater, as noted above, concentrations in existing monitoring wells generally appeared to be stable or decreasing, with a few instances of fluctuation. </w:t>
      </w:r>
      <w:r w:rsidR="0049216C" w:rsidRPr="003A0C5C">
        <w:t xml:space="preserve">The </w:t>
      </w:r>
      <w:r w:rsidR="00FD79EE" w:rsidRPr="003A0C5C">
        <w:t xml:space="preserve">site is also subject to a SMP and environmental deed restriction. </w:t>
      </w:r>
      <w:r w:rsidR="0018209F" w:rsidRPr="003A0C5C">
        <w:t xml:space="preserve">Furthermore, groundwater monitoring would continue during operation of the proposed project. </w:t>
      </w:r>
      <w:r w:rsidR="00307A7A" w:rsidRPr="003A0C5C">
        <w:rPr>
          <w:rFonts w:cs="Times New Roman"/>
        </w:rPr>
        <w:t xml:space="preserve">Therefore, the </w:t>
      </w:r>
      <w:r w:rsidR="008052E9" w:rsidRPr="003A0C5C">
        <w:rPr>
          <w:rFonts w:cs="Times New Roman"/>
        </w:rPr>
        <w:t xml:space="preserve">proposed </w:t>
      </w:r>
      <w:r w:rsidR="00137B17" w:rsidRPr="003A0C5C">
        <w:rPr>
          <w:rFonts w:cs="Times New Roman"/>
        </w:rPr>
        <w:t>p</w:t>
      </w:r>
      <w:r w:rsidR="00307A7A" w:rsidRPr="003A0C5C">
        <w:rPr>
          <w:rFonts w:cs="Times New Roman"/>
        </w:rPr>
        <w:t xml:space="preserve">roject would not create a significant hazard to the public or the environment, and impacts would be less than significant. </w:t>
      </w:r>
    </w:p>
    <w:p w14:paraId="55644A8C" w14:textId="382D2CA5" w:rsidR="004F426E" w:rsidRPr="003A0C5C" w:rsidRDefault="004F426E" w:rsidP="0039366F">
      <w:pPr>
        <w:pStyle w:val="12spaceindent"/>
      </w:pPr>
      <w:r w:rsidRPr="003A0C5C">
        <w:t>e)</w:t>
      </w:r>
      <w:r w:rsidRPr="003A0C5C">
        <w:tab/>
        <w:t xml:space="preserve">The project site is approximately </w:t>
      </w:r>
      <w:r w:rsidR="00B11F30" w:rsidRPr="003A0C5C">
        <w:t>3.3 miles from the Compton/Woodley Airport, 4 miles from Long Beach International Airport and Torrance/Zamperini Field.</w:t>
      </w:r>
      <w:r w:rsidRPr="003A0C5C">
        <w:t xml:space="preserve">. </w:t>
      </w:r>
      <w:r w:rsidR="00FC00A3" w:rsidRPr="003A0C5C">
        <w:t xml:space="preserve">Based on the Los Angeles County Airport Land Use Plan, the project site is located outside of the Airport Influence Area for the </w:t>
      </w:r>
      <w:r w:rsidR="00B11F30" w:rsidRPr="003A0C5C">
        <w:t xml:space="preserve">Compton/Woodley </w:t>
      </w:r>
      <w:r w:rsidR="00FC00A3" w:rsidRPr="003A0C5C">
        <w:t>Airport</w:t>
      </w:r>
      <w:r w:rsidR="00507893" w:rsidRPr="003A0C5C">
        <w:t xml:space="preserve"> and the </w:t>
      </w:r>
      <w:r w:rsidR="00B11F30" w:rsidRPr="003A0C5C">
        <w:t>Long Beach International Airport and Torrance/Zamperini Field</w:t>
      </w:r>
      <w:r w:rsidR="00B11F30" w:rsidRPr="003A0C5C" w:rsidDel="00B11F30">
        <w:t xml:space="preserve"> </w:t>
      </w:r>
      <w:r w:rsidRPr="003A0C5C">
        <w:t xml:space="preserve">(Los Angeles County </w:t>
      </w:r>
      <w:r w:rsidR="00A3464F" w:rsidRPr="003A0C5C">
        <w:t>Airport Land Use Commission 2004</w:t>
      </w:r>
      <w:r w:rsidRPr="003A0C5C">
        <w:t>). Therefore, the proposed project would not pose any airport safety hazards for people residing or working in the project area, and no impacts would occur.</w:t>
      </w:r>
    </w:p>
    <w:p w14:paraId="038CC95C" w14:textId="54715F02" w:rsidR="004F426E" w:rsidRPr="003A0C5C" w:rsidRDefault="004F426E" w:rsidP="0039366F">
      <w:pPr>
        <w:pStyle w:val="12spaceindent"/>
      </w:pPr>
      <w:r w:rsidRPr="003A0C5C">
        <w:lastRenderedPageBreak/>
        <w:t>f)</w:t>
      </w:r>
      <w:r w:rsidRPr="003A0C5C">
        <w:tab/>
        <w:t xml:space="preserve">The City has prepared a Multi-Hazard Functional Plan (1996) for emergency response within the </w:t>
      </w:r>
      <w:r w:rsidR="00E51793" w:rsidRPr="003A0C5C">
        <w:t>City</w:t>
      </w:r>
      <w:r w:rsidR="00A75349" w:rsidRPr="003A0C5C">
        <w:t xml:space="preserve"> </w:t>
      </w:r>
      <w:r w:rsidR="00852967" w:rsidRPr="003A0C5C">
        <w:t>(City of Carson</w:t>
      </w:r>
      <w:r w:rsidR="00D84FA9" w:rsidRPr="003A0C5C">
        <w:t xml:space="preserve"> 2004)</w:t>
      </w:r>
      <w:r w:rsidRPr="003A0C5C">
        <w:t>. The plan identifies emergency protocol, critical meeting areas, an</w:t>
      </w:r>
      <w:r w:rsidR="00A3464F" w:rsidRPr="003A0C5C">
        <w:t xml:space="preserve">d emergency evacuation routes. </w:t>
      </w:r>
      <w:r w:rsidRPr="003A0C5C">
        <w:t xml:space="preserve">The four major freeways (I-405, </w:t>
      </w:r>
      <w:r w:rsidR="000B225C" w:rsidRPr="003A0C5C">
        <w:t>State Route [</w:t>
      </w:r>
      <w:r w:rsidR="00852967" w:rsidRPr="003A0C5C">
        <w:t>SR</w:t>
      </w:r>
      <w:r w:rsidR="000B225C" w:rsidRPr="003A0C5C">
        <w:t>]</w:t>
      </w:r>
      <w:r w:rsidR="00852967" w:rsidRPr="003A0C5C">
        <w:noBreakHyphen/>
      </w:r>
      <w:r w:rsidRPr="003A0C5C">
        <w:t xml:space="preserve">91, </w:t>
      </w:r>
      <w:r w:rsidR="00852967" w:rsidRPr="003A0C5C">
        <w:t>I</w:t>
      </w:r>
      <w:r w:rsidR="00852967" w:rsidRPr="003A0C5C">
        <w:noBreakHyphen/>
      </w:r>
      <w:r w:rsidRPr="003A0C5C">
        <w:t xml:space="preserve">110, and </w:t>
      </w:r>
      <w:r w:rsidR="00852967" w:rsidRPr="003A0C5C">
        <w:t>I</w:t>
      </w:r>
      <w:r w:rsidR="00852967" w:rsidRPr="003A0C5C">
        <w:noBreakHyphen/>
      </w:r>
      <w:r w:rsidRPr="003A0C5C">
        <w:t>710) as well as arterial streets with right-of-way widths from 80 to 100</w:t>
      </w:r>
      <w:r w:rsidR="00CD41F9" w:rsidRPr="003A0C5C">
        <w:t> feet</w:t>
      </w:r>
      <w:r w:rsidRPr="003A0C5C">
        <w:t xml:space="preserve"> at </w:t>
      </w:r>
      <w:r w:rsidR="00CD41F9" w:rsidRPr="003A0C5C">
        <w:t>0.5-</w:t>
      </w:r>
      <w:r w:rsidRPr="003A0C5C">
        <w:t>mile intervals would serve as potential evacuation routes during a disaster.</w:t>
      </w:r>
      <w:r w:rsidR="00470C54" w:rsidRPr="003A0C5C">
        <w:t xml:space="preserve"> </w:t>
      </w:r>
      <w:r w:rsidRPr="003A0C5C">
        <w:t xml:space="preserve">Potential evacuation routes that occur near the </w:t>
      </w:r>
      <w:r w:rsidR="00133623" w:rsidRPr="003A0C5C">
        <w:t xml:space="preserve">project </w:t>
      </w:r>
      <w:r w:rsidRPr="003A0C5C">
        <w:t xml:space="preserve">site </w:t>
      </w:r>
      <w:r w:rsidR="000436BE" w:rsidRPr="003A0C5C">
        <w:t>include</w:t>
      </w:r>
      <w:r w:rsidRPr="003A0C5C">
        <w:t xml:space="preserve"> </w:t>
      </w:r>
      <w:r w:rsidR="00972D37" w:rsidRPr="003A0C5C">
        <w:t>Carson Street</w:t>
      </w:r>
      <w:r w:rsidRPr="003A0C5C">
        <w:t xml:space="preserve">, </w:t>
      </w:r>
      <w:r w:rsidR="00972D37" w:rsidRPr="003A0C5C">
        <w:t xml:space="preserve">Wilmington Street, </w:t>
      </w:r>
      <w:r w:rsidR="00D84FA9" w:rsidRPr="003A0C5C">
        <w:t>Avalon Boulevard</w:t>
      </w:r>
      <w:r w:rsidRPr="003A0C5C">
        <w:t xml:space="preserve">, </w:t>
      </w:r>
      <w:r w:rsidR="00972D37" w:rsidRPr="003A0C5C">
        <w:t>and 223rd Street</w:t>
      </w:r>
      <w:r w:rsidRPr="003A0C5C">
        <w:t xml:space="preserve">. </w:t>
      </w:r>
      <w:r w:rsidR="000C503C" w:rsidRPr="003A0C5C">
        <w:t xml:space="preserve">While primary access to the project site would be provided from </w:t>
      </w:r>
      <w:r w:rsidR="0030445A" w:rsidRPr="003A0C5C">
        <w:t xml:space="preserve">South </w:t>
      </w:r>
      <w:r w:rsidR="000C503C" w:rsidRPr="003A0C5C">
        <w:t xml:space="preserve">Perry Street, vehicles travelling to the project site during construction or operation would do so via </w:t>
      </w:r>
      <w:r w:rsidR="005F23E3" w:rsidRPr="003A0C5C">
        <w:t xml:space="preserve">East </w:t>
      </w:r>
      <w:r w:rsidR="000C503C" w:rsidRPr="003A0C5C">
        <w:t xml:space="preserve">Carson Street. During construction, </w:t>
      </w:r>
      <w:r w:rsidR="005F23E3" w:rsidRPr="003A0C5C">
        <w:t xml:space="preserve">East </w:t>
      </w:r>
      <w:r w:rsidR="000C503C" w:rsidRPr="003A0C5C">
        <w:t xml:space="preserve">Carson Street may require temporary partial lane closures. The Applicant would be required to implement a traffic management plan </w:t>
      </w:r>
      <w:r w:rsidR="0022082A" w:rsidRPr="003A0C5C">
        <w:t xml:space="preserve">that </w:t>
      </w:r>
      <w:r w:rsidR="000C503C" w:rsidRPr="003A0C5C">
        <w:t xml:space="preserve">would ensure that at least one lane remains open and emergency access is maintained during construction. In addition, the vehicle trips generated is not anticipated to impact emergency access provided from </w:t>
      </w:r>
      <w:r w:rsidR="005F23E3" w:rsidRPr="003A0C5C">
        <w:t xml:space="preserve">East </w:t>
      </w:r>
      <w:r w:rsidR="000C503C" w:rsidRPr="003A0C5C">
        <w:t>Carson Street and</w:t>
      </w:r>
      <w:r w:rsidRPr="003A0C5C">
        <w:t xml:space="preserve"> operations </w:t>
      </w:r>
      <w:r w:rsidR="00133623" w:rsidRPr="003A0C5C">
        <w:t>are not likely to</w:t>
      </w:r>
      <w:r w:rsidRPr="003A0C5C">
        <w:t xml:space="preserve"> interfere with an adopted emergency response plan or emergency evacuation plan.</w:t>
      </w:r>
      <w:r w:rsidR="00470C54" w:rsidRPr="003A0C5C">
        <w:t xml:space="preserve"> </w:t>
      </w:r>
      <w:r w:rsidRPr="003A0C5C">
        <w:t xml:space="preserve">Therefore, </w:t>
      </w:r>
      <w:r w:rsidR="007E3AB1" w:rsidRPr="003A0C5C">
        <w:t xml:space="preserve">impacts </w:t>
      </w:r>
      <w:r w:rsidRPr="003A0C5C">
        <w:t>regarding impairing an emergency response or evacuation plan</w:t>
      </w:r>
      <w:r w:rsidR="007E3AB1" w:rsidRPr="003A0C5C">
        <w:t xml:space="preserve"> would be less than significant</w:t>
      </w:r>
      <w:r w:rsidRPr="003A0C5C">
        <w:t>.</w:t>
      </w:r>
    </w:p>
    <w:p w14:paraId="5776A55D" w14:textId="1C56B854" w:rsidR="00151E3A" w:rsidRPr="003A0C5C" w:rsidRDefault="004F426E" w:rsidP="00854FD3">
      <w:pPr>
        <w:pStyle w:val="12spaceindent"/>
      </w:pPr>
      <w:r w:rsidRPr="003A0C5C">
        <w:t>g)</w:t>
      </w:r>
      <w:r w:rsidRPr="003A0C5C">
        <w:tab/>
        <w:t>The project site is located in a</w:t>
      </w:r>
      <w:r w:rsidR="00CD3F27" w:rsidRPr="003A0C5C">
        <w:t>n</w:t>
      </w:r>
      <w:r w:rsidRPr="003A0C5C">
        <w:t xml:space="preserve"> urbanized area and would continue to be served by the </w:t>
      </w:r>
      <w:r w:rsidR="003E0335" w:rsidRPr="003A0C5C">
        <w:t>Los Angeles County Fire Department (</w:t>
      </w:r>
      <w:r w:rsidRPr="003A0C5C">
        <w:t>LACFD</w:t>
      </w:r>
      <w:r w:rsidR="003E0335" w:rsidRPr="003A0C5C">
        <w:t>)</w:t>
      </w:r>
      <w:r w:rsidRPr="003A0C5C">
        <w:t xml:space="preserve">. According to the </w:t>
      </w:r>
      <w:bookmarkStart w:id="73" w:name="_Hlk98156078"/>
      <w:r w:rsidRPr="003A0C5C">
        <w:t>California Department of Forestry and Fire Protection (CAL FIRE)</w:t>
      </w:r>
      <w:bookmarkEnd w:id="73"/>
      <w:r w:rsidRPr="003A0C5C">
        <w:t xml:space="preserve">, the proposed project is not located within a Very High Fire Hazard Severity Zone (CAL FIRE </w:t>
      </w:r>
      <w:r w:rsidR="002D78A5" w:rsidRPr="003A0C5C">
        <w:t>2022</w:t>
      </w:r>
      <w:r w:rsidRPr="003A0C5C">
        <w:t>).</w:t>
      </w:r>
      <w:r w:rsidR="00A75349" w:rsidRPr="003A0C5C">
        <w:t xml:space="preserve"> Construction of the </w:t>
      </w:r>
      <w:r w:rsidR="008052E9" w:rsidRPr="003A0C5C">
        <w:t xml:space="preserve">proposed </w:t>
      </w:r>
      <w:r w:rsidR="00A75349" w:rsidRPr="003A0C5C">
        <w:t xml:space="preserve">project would be in accordance with the 2019 CBC, 2019 California Fire Code (CFC), which include mandatory measures for fire prevention and emergency access. </w:t>
      </w:r>
      <w:r w:rsidRPr="003A0C5C">
        <w:t>Therefore, the proposed project would not expose people or structures to a significant risk of loss, injury, or death involving wildland fires, and no impact</w:t>
      </w:r>
      <w:r w:rsidR="0014361E" w:rsidRPr="003A0C5C">
        <w:t>s</w:t>
      </w:r>
      <w:r w:rsidRPr="003A0C5C">
        <w:t xml:space="preserve"> would occur.</w:t>
      </w:r>
    </w:p>
    <w:p w14:paraId="7DB2D572" w14:textId="77777777" w:rsidR="00151E3A" w:rsidRPr="003A0C5C" w:rsidRDefault="00151E3A" w:rsidP="00151E3A">
      <w:pPr>
        <w:pStyle w:val="12spaceindent"/>
        <w:keepNext/>
        <w:spacing w:after="120"/>
        <w:ind w:left="0" w:firstLine="0"/>
        <w:rPr>
          <w:highlight w:val="yellow"/>
        </w:rPr>
      </w:pPr>
    </w:p>
    <w:p w14:paraId="63244D65" w14:textId="77777777" w:rsidR="002B6967" w:rsidRPr="003A0C5C" w:rsidRDefault="002B6967" w:rsidP="002B6967">
      <w:pPr>
        <w:pStyle w:val="ImpactSectionEnd"/>
        <w:rPr>
          <w:highlight w:val="yellow"/>
        </w:rPr>
      </w:pPr>
    </w:p>
    <w:p w14:paraId="02B9F4EF" w14:textId="77777777" w:rsidR="002B6967" w:rsidRPr="003A0C5C" w:rsidRDefault="002B6967" w:rsidP="002B6967">
      <w:pPr>
        <w:rPr>
          <w:highlight w:val="yellow"/>
        </w:rPr>
      </w:pPr>
      <w:r w:rsidRPr="003A0C5C">
        <w:rPr>
          <w:highlight w:val="yellow"/>
        </w:rPr>
        <w:br w:type="page"/>
      </w:r>
    </w:p>
    <w:p w14:paraId="76F4D634" w14:textId="2C188B32" w:rsidR="004F426E" w:rsidRPr="003A0C5C" w:rsidRDefault="008B0DDC" w:rsidP="008B0DDC">
      <w:pPr>
        <w:pStyle w:val="Heading4"/>
      </w:pPr>
      <w:bookmarkStart w:id="74" w:name="_Toc101791989"/>
      <w:r w:rsidRPr="003A0C5C">
        <w:lastRenderedPageBreak/>
        <w:t>X.</w:t>
      </w:r>
      <w:r w:rsidRPr="003A0C5C">
        <w:tab/>
      </w:r>
      <w:r w:rsidR="004F426E" w:rsidRPr="003A0C5C">
        <w:t>Hydrology and Water Quality</w:t>
      </w:r>
      <w:bookmarkEnd w:id="74"/>
    </w:p>
    <w:tbl>
      <w:tblPr>
        <w:tblW w:w="0" w:type="auto"/>
        <w:tblCellMar>
          <w:left w:w="86" w:type="dxa"/>
          <w:right w:w="86" w:type="dxa"/>
        </w:tblCellMar>
        <w:tblLook w:val="0000" w:firstRow="0" w:lastRow="0" w:firstColumn="0" w:lastColumn="0" w:noHBand="0" w:noVBand="0"/>
      </w:tblPr>
      <w:tblGrid>
        <w:gridCol w:w="5088"/>
        <w:gridCol w:w="888"/>
        <w:gridCol w:w="1152"/>
        <w:gridCol w:w="888"/>
        <w:gridCol w:w="624"/>
      </w:tblGrid>
      <w:tr w:rsidR="003A0C5C" w:rsidRPr="003A0C5C" w14:paraId="14914F29" w14:textId="77777777" w:rsidTr="00F07065">
        <w:trPr>
          <w:cantSplit/>
          <w:tblHeader/>
        </w:trPr>
        <w:tc>
          <w:tcPr>
            <w:tcW w:w="0" w:type="auto"/>
            <w:vAlign w:val="bottom"/>
          </w:tcPr>
          <w:p w14:paraId="6BBBA457" w14:textId="77777777" w:rsidR="00AF3003" w:rsidRPr="003A0C5C" w:rsidRDefault="00AF3003" w:rsidP="00F07065">
            <w:pPr>
              <w:keepNext/>
              <w:pBdr>
                <w:bottom w:val="single" w:sz="4" w:space="1" w:color="auto"/>
              </w:pBdr>
              <w:spacing w:before="60" w:after="60"/>
              <w:ind w:left="540" w:hanging="540"/>
              <w:rPr>
                <w:rFonts w:ascii="Arial" w:hAnsi="Arial" w:cs="Arial"/>
                <w:b/>
                <w:i/>
                <w:sz w:val="14"/>
                <w:szCs w:val="16"/>
              </w:rPr>
            </w:pPr>
            <w:r w:rsidRPr="003A0C5C">
              <w:rPr>
                <w:rFonts w:ascii="Arial" w:hAnsi="Arial" w:cs="Arial"/>
                <w:b/>
                <w:i/>
                <w:sz w:val="14"/>
                <w:szCs w:val="16"/>
              </w:rPr>
              <w:t>Issues (and Supporting Information Sources)</w:t>
            </w:r>
          </w:p>
        </w:tc>
        <w:tc>
          <w:tcPr>
            <w:tcW w:w="0" w:type="auto"/>
            <w:vAlign w:val="bottom"/>
          </w:tcPr>
          <w:p w14:paraId="189C9EA2" w14:textId="77777777" w:rsidR="00AF3003" w:rsidRPr="003A0C5C" w:rsidRDefault="00AF3003" w:rsidP="00F07065">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Potentially</w:t>
            </w:r>
            <w:r w:rsidRPr="003A0C5C">
              <w:rPr>
                <w:rFonts w:ascii="Arial" w:hAnsi="Arial" w:cs="Arial"/>
                <w:b/>
                <w:i/>
                <w:sz w:val="14"/>
                <w:szCs w:val="16"/>
              </w:rPr>
              <w:br/>
              <w:t>Significant</w:t>
            </w:r>
            <w:r w:rsidRPr="003A0C5C">
              <w:rPr>
                <w:rFonts w:ascii="Arial" w:hAnsi="Arial" w:cs="Arial"/>
                <w:b/>
                <w:i/>
                <w:sz w:val="14"/>
                <w:szCs w:val="16"/>
              </w:rPr>
              <w:br/>
              <w:t>Impact</w:t>
            </w:r>
          </w:p>
        </w:tc>
        <w:tc>
          <w:tcPr>
            <w:tcW w:w="0" w:type="auto"/>
            <w:vAlign w:val="bottom"/>
          </w:tcPr>
          <w:p w14:paraId="4B7E7E99" w14:textId="77777777" w:rsidR="00AF3003" w:rsidRPr="003A0C5C" w:rsidRDefault="00AF3003" w:rsidP="00F07065">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Less than</w:t>
            </w:r>
            <w:r w:rsidRPr="003A0C5C">
              <w:rPr>
                <w:rFonts w:ascii="Arial" w:hAnsi="Arial" w:cs="Arial"/>
                <w:b/>
                <w:i/>
                <w:sz w:val="14"/>
                <w:szCs w:val="16"/>
              </w:rPr>
              <w:br/>
              <w:t>Significant</w:t>
            </w:r>
            <w:r w:rsidRPr="003A0C5C">
              <w:rPr>
                <w:rFonts w:ascii="Arial" w:hAnsi="Arial" w:cs="Arial"/>
                <w:b/>
                <w:i/>
                <w:sz w:val="14"/>
                <w:szCs w:val="16"/>
              </w:rPr>
              <w:br/>
              <w:t>with Mitigation</w:t>
            </w:r>
            <w:r w:rsidRPr="003A0C5C">
              <w:rPr>
                <w:rFonts w:ascii="Arial" w:hAnsi="Arial" w:cs="Arial"/>
                <w:b/>
                <w:i/>
                <w:sz w:val="14"/>
                <w:szCs w:val="16"/>
              </w:rPr>
              <w:br/>
              <w:t>Incorporated</w:t>
            </w:r>
          </w:p>
        </w:tc>
        <w:tc>
          <w:tcPr>
            <w:tcW w:w="0" w:type="auto"/>
            <w:vAlign w:val="bottom"/>
          </w:tcPr>
          <w:p w14:paraId="4ECB93F0" w14:textId="77777777" w:rsidR="00AF3003" w:rsidRPr="003A0C5C" w:rsidRDefault="00AF3003" w:rsidP="00F07065">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Less-than-</w:t>
            </w:r>
            <w:r w:rsidRPr="003A0C5C">
              <w:rPr>
                <w:rFonts w:ascii="Arial" w:hAnsi="Arial" w:cs="Arial"/>
                <w:b/>
                <w:i/>
                <w:sz w:val="14"/>
                <w:szCs w:val="16"/>
              </w:rPr>
              <w:br/>
              <w:t>Significant</w:t>
            </w:r>
            <w:r w:rsidRPr="003A0C5C">
              <w:rPr>
                <w:rFonts w:ascii="Arial" w:hAnsi="Arial" w:cs="Arial"/>
                <w:b/>
                <w:i/>
                <w:sz w:val="14"/>
                <w:szCs w:val="16"/>
              </w:rPr>
              <w:br/>
              <w:t>Impact</w:t>
            </w:r>
          </w:p>
        </w:tc>
        <w:tc>
          <w:tcPr>
            <w:tcW w:w="0" w:type="auto"/>
            <w:vAlign w:val="bottom"/>
          </w:tcPr>
          <w:p w14:paraId="72F74EA7" w14:textId="77777777" w:rsidR="00AF3003" w:rsidRPr="003A0C5C" w:rsidRDefault="00AF3003" w:rsidP="00F07065">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No</w:t>
            </w:r>
            <w:r w:rsidRPr="003A0C5C">
              <w:rPr>
                <w:rFonts w:ascii="Arial" w:hAnsi="Arial" w:cs="Arial"/>
                <w:b/>
                <w:i/>
                <w:sz w:val="14"/>
                <w:szCs w:val="16"/>
              </w:rPr>
              <w:br/>
              <w:t>Impact</w:t>
            </w:r>
          </w:p>
        </w:tc>
      </w:tr>
      <w:tr w:rsidR="003A0C5C" w:rsidRPr="003A0C5C" w14:paraId="417FEDC2" w14:textId="77777777" w:rsidTr="00F07065">
        <w:trPr>
          <w:cantSplit/>
        </w:trPr>
        <w:tc>
          <w:tcPr>
            <w:tcW w:w="0" w:type="auto"/>
          </w:tcPr>
          <w:p w14:paraId="2596A05A" w14:textId="25C0547C" w:rsidR="00AF3003" w:rsidRPr="003A0C5C" w:rsidRDefault="00AF3003" w:rsidP="00F07065">
            <w:pPr>
              <w:pStyle w:val="Tabletextnumber"/>
              <w:keepNext/>
              <w:ind w:left="504" w:hanging="504"/>
              <w:rPr>
                <w:rStyle w:val="Bold"/>
              </w:rPr>
            </w:pPr>
            <w:r w:rsidRPr="003A0C5C">
              <w:rPr>
                <w:rStyle w:val="Bold"/>
              </w:rPr>
              <w:t>X.</w:t>
            </w:r>
            <w:r w:rsidRPr="003A0C5C">
              <w:rPr>
                <w:rStyle w:val="Bold"/>
              </w:rPr>
              <w:tab/>
              <w:t>HYDROLOGY AND WATER QUALITY</w:t>
            </w:r>
            <w:r w:rsidRPr="003A0C5C">
              <w:t>—Would the project:</w:t>
            </w:r>
          </w:p>
        </w:tc>
        <w:tc>
          <w:tcPr>
            <w:tcW w:w="0" w:type="auto"/>
          </w:tcPr>
          <w:p w14:paraId="1E9268FA" w14:textId="77777777" w:rsidR="00AF3003" w:rsidRPr="003A0C5C" w:rsidRDefault="00AF3003" w:rsidP="00F07065">
            <w:pPr>
              <w:pStyle w:val="Checklist"/>
              <w:rPr>
                <w:highlight w:val="yellow"/>
              </w:rPr>
            </w:pPr>
          </w:p>
        </w:tc>
        <w:tc>
          <w:tcPr>
            <w:tcW w:w="0" w:type="auto"/>
          </w:tcPr>
          <w:p w14:paraId="71D1EED9" w14:textId="77777777" w:rsidR="00AF3003" w:rsidRPr="003A0C5C" w:rsidRDefault="00AF3003" w:rsidP="00F07065">
            <w:pPr>
              <w:pStyle w:val="Checklist"/>
              <w:rPr>
                <w:highlight w:val="yellow"/>
              </w:rPr>
            </w:pPr>
          </w:p>
        </w:tc>
        <w:tc>
          <w:tcPr>
            <w:tcW w:w="0" w:type="auto"/>
          </w:tcPr>
          <w:p w14:paraId="1DC4E53C" w14:textId="77777777" w:rsidR="00AF3003" w:rsidRPr="003A0C5C" w:rsidRDefault="00AF3003" w:rsidP="00F07065">
            <w:pPr>
              <w:pStyle w:val="Checklist"/>
              <w:rPr>
                <w:highlight w:val="yellow"/>
              </w:rPr>
            </w:pPr>
          </w:p>
        </w:tc>
        <w:tc>
          <w:tcPr>
            <w:tcW w:w="0" w:type="auto"/>
          </w:tcPr>
          <w:p w14:paraId="259ADF94" w14:textId="77777777" w:rsidR="00AF3003" w:rsidRPr="003A0C5C" w:rsidRDefault="00AF3003" w:rsidP="00F07065">
            <w:pPr>
              <w:pStyle w:val="Checklist"/>
              <w:rPr>
                <w:highlight w:val="yellow"/>
              </w:rPr>
            </w:pPr>
          </w:p>
        </w:tc>
      </w:tr>
      <w:tr w:rsidR="003A0C5C" w:rsidRPr="003A0C5C" w14:paraId="5A4AA300" w14:textId="77777777" w:rsidTr="00F07065">
        <w:trPr>
          <w:cantSplit/>
        </w:trPr>
        <w:tc>
          <w:tcPr>
            <w:tcW w:w="0" w:type="auto"/>
          </w:tcPr>
          <w:p w14:paraId="36202B8A" w14:textId="30DEEDBA" w:rsidR="00AF3003" w:rsidRPr="003A0C5C" w:rsidRDefault="00AF3003" w:rsidP="00AF3003">
            <w:pPr>
              <w:pStyle w:val="Tabletextnumber"/>
            </w:pPr>
            <w:r w:rsidRPr="003A0C5C">
              <w:rPr>
                <w:rFonts w:cs="Arial"/>
                <w:szCs w:val="16"/>
              </w:rPr>
              <w:t>a)</w:t>
            </w:r>
            <w:r w:rsidRPr="003A0C5C">
              <w:rPr>
                <w:rFonts w:cs="Arial"/>
                <w:szCs w:val="16"/>
              </w:rPr>
              <w:tab/>
            </w:r>
            <w:bookmarkStart w:id="75" w:name="_Hlk98083560"/>
            <w:r w:rsidRPr="003A0C5C">
              <w:rPr>
                <w:rFonts w:cs="Arial"/>
                <w:szCs w:val="16"/>
              </w:rPr>
              <w:t>Violate any water quality standards or waste discharge requirements or otherwise substantially degrade surface or ground water quality?</w:t>
            </w:r>
            <w:bookmarkEnd w:id="75"/>
          </w:p>
        </w:tc>
        <w:tc>
          <w:tcPr>
            <w:tcW w:w="0" w:type="auto"/>
          </w:tcPr>
          <w:p w14:paraId="0B330DCD" w14:textId="77777777" w:rsidR="00AF3003" w:rsidRPr="003A0C5C" w:rsidRDefault="002348BC" w:rsidP="00AF3003">
            <w:pPr>
              <w:pStyle w:val="Checklist"/>
              <w:rPr>
                <w:sz w:val="20"/>
              </w:rPr>
            </w:pPr>
            <w:sdt>
              <w:sdtPr>
                <w:id w:val="-1068952906"/>
                <w14:checkbox>
                  <w14:checked w14:val="0"/>
                  <w14:checkedState w14:val="2612" w14:font="MS Gothic"/>
                  <w14:uncheckedState w14:val="2610" w14:font="MS Gothic"/>
                </w14:checkbox>
              </w:sdtPr>
              <w:sdtEndPr/>
              <w:sdtContent>
                <w:r w:rsidR="00AF3003" w:rsidRPr="003A0C5C">
                  <w:t>☐</w:t>
                </w:r>
              </w:sdtContent>
            </w:sdt>
          </w:p>
        </w:tc>
        <w:tc>
          <w:tcPr>
            <w:tcW w:w="0" w:type="auto"/>
          </w:tcPr>
          <w:p w14:paraId="40A51B95" w14:textId="77777777" w:rsidR="00AF3003" w:rsidRPr="003A0C5C" w:rsidRDefault="002348BC" w:rsidP="00AF3003">
            <w:pPr>
              <w:pStyle w:val="Checklist"/>
              <w:rPr>
                <w:sz w:val="20"/>
              </w:rPr>
            </w:pPr>
            <w:sdt>
              <w:sdtPr>
                <w:id w:val="193118404"/>
                <w14:checkbox>
                  <w14:checked w14:val="0"/>
                  <w14:checkedState w14:val="2612" w14:font="MS Gothic"/>
                  <w14:uncheckedState w14:val="2610" w14:font="MS Gothic"/>
                </w14:checkbox>
              </w:sdtPr>
              <w:sdtEndPr/>
              <w:sdtContent>
                <w:r w:rsidR="00AF3003" w:rsidRPr="003A0C5C">
                  <w:t>☐</w:t>
                </w:r>
              </w:sdtContent>
            </w:sdt>
          </w:p>
        </w:tc>
        <w:tc>
          <w:tcPr>
            <w:tcW w:w="0" w:type="auto"/>
          </w:tcPr>
          <w:p w14:paraId="1920001E" w14:textId="77777777" w:rsidR="00AF3003" w:rsidRPr="003A0C5C" w:rsidRDefault="002348BC" w:rsidP="00AF3003">
            <w:pPr>
              <w:pStyle w:val="Checklist"/>
              <w:rPr>
                <w:sz w:val="20"/>
              </w:rPr>
            </w:pPr>
            <w:sdt>
              <w:sdtPr>
                <w:id w:val="-1905903515"/>
                <w14:checkbox>
                  <w14:checked w14:val="1"/>
                  <w14:checkedState w14:val="2612" w14:font="MS Gothic"/>
                  <w14:uncheckedState w14:val="2610" w14:font="MS Gothic"/>
                </w14:checkbox>
              </w:sdtPr>
              <w:sdtEndPr/>
              <w:sdtContent>
                <w:r w:rsidR="00AF3003" w:rsidRPr="003A0C5C">
                  <w:rPr>
                    <w:rFonts w:hint="eastAsia"/>
                  </w:rPr>
                  <w:t>☒</w:t>
                </w:r>
              </w:sdtContent>
            </w:sdt>
          </w:p>
        </w:tc>
        <w:tc>
          <w:tcPr>
            <w:tcW w:w="0" w:type="auto"/>
          </w:tcPr>
          <w:p w14:paraId="7BB14255" w14:textId="7DE41B5A" w:rsidR="00AF3003" w:rsidRPr="003A0C5C" w:rsidRDefault="002348BC" w:rsidP="00AF3003">
            <w:pPr>
              <w:pStyle w:val="Checklist"/>
              <w:rPr>
                <w:sz w:val="20"/>
              </w:rPr>
            </w:pPr>
            <w:sdt>
              <w:sdtPr>
                <w:id w:val="-689993799"/>
                <w14:checkbox>
                  <w14:checked w14:val="0"/>
                  <w14:checkedState w14:val="2612" w14:font="MS Gothic"/>
                  <w14:uncheckedState w14:val="2610" w14:font="MS Gothic"/>
                </w14:checkbox>
              </w:sdtPr>
              <w:sdtEndPr/>
              <w:sdtContent>
                <w:r w:rsidR="00F50464" w:rsidRPr="003A0C5C">
                  <w:rPr>
                    <w:rFonts w:hint="eastAsia"/>
                  </w:rPr>
                  <w:t>☐</w:t>
                </w:r>
              </w:sdtContent>
            </w:sdt>
          </w:p>
        </w:tc>
      </w:tr>
      <w:tr w:rsidR="003A0C5C" w:rsidRPr="003A0C5C" w14:paraId="6F551D1A" w14:textId="77777777" w:rsidTr="00F07065">
        <w:trPr>
          <w:cantSplit/>
        </w:trPr>
        <w:tc>
          <w:tcPr>
            <w:tcW w:w="0" w:type="auto"/>
          </w:tcPr>
          <w:p w14:paraId="7C5C1508" w14:textId="49C3CA4F" w:rsidR="00AF3003" w:rsidRPr="003A0C5C" w:rsidRDefault="00AF3003" w:rsidP="00AF3003">
            <w:pPr>
              <w:pStyle w:val="Tabletextnumber"/>
            </w:pPr>
            <w:r w:rsidRPr="003A0C5C">
              <w:rPr>
                <w:rFonts w:cs="Arial"/>
                <w:szCs w:val="16"/>
              </w:rPr>
              <w:t>b)</w:t>
            </w:r>
            <w:r w:rsidRPr="003A0C5C">
              <w:rPr>
                <w:rFonts w:cs="Arial"/>
                <w:szCs w:val="16"/>
              </w:rPr>
              <w:tab/>
              <w:t>Substantially decrease groundwater supplies or interfere substantially with groundwater recharge such that the project may impede sustainable groundwater management of the basin?</w:t>
            </w:r>
          </w:p>
        </w:tc>
        <w:tc>
          <w:tcPr>
            <w:tcW w:w="0" w:type="auto"/>
          </w:tcPr>
          <w:p w14:paraId="739FD288" w14:textId="2BA46803" w:rsidR="00AF3003" w:rsidRPr="003A0C5C" w:rsidRDefault="002348BC" w:rsidP="00AF3003">
            <w:pPr>
              <w:pStyle w:val="Checklist"/>
              <w:rPr>
                <w:sz w:val="20"/>
              </w:rPr>
            </w:pPr>
            <w:sdt>
              <w:sdtPr>
                <w:id w:val="803120519"/>
                <w14:checkbox>
                  <w14:checked w14:val="0"/>
                  <w14:checkedState w14:val="2612" w14:font="MS Gothic"/>
                  <w14:uncheckedState w14:val="2610" w14:font="MS Gothic"/>
                </w14:checkbox>
              </w:sdtPr>
              <w:sdtEndPr/>
              <w:sdtContent>
                <w:r w:rsidR="00481854" w:rsidRPr="003A0C5C">
                  <w:rPr>
                    <w:rFonts w:hint="eastAsia"/>
                  </w:rPr>
                  <w:t>☐</w:t>
                </w:r>
              </w:sdtContent>
            </w:sdt>
          </w:p>
        </w:tc>
        <w:tc>
          <w:tcPr>
            <w:tcW w:w="0" w:type="auto"/>
          </w:tcPr>
          <w:p w14:paraId="555CAAB5" w14:textId="77777777" w:rsidR="00AF3003" w:rsidRPr="003A0C5C" w:rsidRDefault="002348BC" w:rsidP="00AF3003">
            <w:pPr>
              <w:pStyle w:val="Checklist"/>
              <w:rPr>
                <w:sz w:val="20"/>
              </w:rPr>
            </w:pPr>
            <w:sdt>
              <w:sdtPr>
                <w:id w:val="-1982841843"/>
                <w14:checkbox>
                  <w14:checked w14:val="0"/>
                  <w14:checkedState w14:val="2612" w14:font="MS Gothic"/>
                  <w14:uncheckedState w14:val="2610" w14:font="MS Gothic"/>
                </w14:checkbox>
              </w:sdtPr>
              <w:sdtEndPr/>
              <w:sdtContent>
                <w:r w:rsidR="00AF3003" w:rsidRPr="003A0C5C">
                  <w:t>☐</w:t>
                </w:r>
              </w:sdtContent>
            </w:sdt>
          </w:p>
        </w:tc>
        <w:tc>
          <w:tcPr>
            <w:tcW w:w="0" w:type="auto"/>
          </w:tcPr>
          <w:p w14:paraId="5F0DD2F8" w14:textId="1E71184A" w:rsidR="00AF3003" w:rsidRPr="003A0C5C" w:rsidRDefault="002348BC" w:rsidP="00AF3003">
            <w:pPr>
              <w:pStyle w:val="Checklist"/>
              <w:rPr>
                <w:sz w:val="20"/>
              </w:rPr>
            </w:pPr>
            <w:sdt>
              <w:sdtPr>
                <w:id w:val="-6673160"/>
                <w14:checkbox>
                  <w14:checked w14:val="1"/>
                  <w14:checkedState w14:val="2612" w14:font="MS Gothic"/>
                  <w14:uncheckedState w14:val="2610" w14:font="MS Gothic"/>
                </w14:checkbox>
              </w:sdtPr>
              <w:sdtEndPr/>
              <w:sdtContent>
                <w:r w:rsidR="00AF3003" w:rsidRPr="003A0C5C">
                  <w:rPr>
                    <w:rFonts w:hint="eastAsia"/>
                  </w:rPr>
                  <w:t>☒</w:t>
                </w:r>
              </w:sdtContent>
            </w:sdt>
          </w:p>
        </w:tc>
        <w:tc>
          <w:tcPr>
            <w:tcW w:w="0" w:type="auto"/>
          </w:tcPr>
          <w:p w14:paraId="30635F8B" w14:textId="5CA6C805" w:rsidR="00AF3003" w:rsidRPr="003A0C5C" w:rsidRDefault="002348BC" w:rsidP="00AF3003">
            <w:pPr>
              <w:pStyle w:val="Checklist"/>
              <w:rPr>
                <w:sz w:val="20"/>
              </w:rPr>
            </w:pPr>
            <w:sdt>
              <w:sdtPr>
                <w:id w:val="1758394531"/>
                <w14:checkbox>
                  <w14:checked w14:val="0"/>
                  <w14:checkedState w14:val="2612" w14:font="MS Gothic"/>
                  <w14:uncheckedState w14:val="2610" w14:font="MS Gothic"/>
                </w14:checkbox>
              </w:sdtPr>
              <w:sdtEndPr/>
              <w:sdtContent>
                <w:r w:rsidR="00AF3003" w:rsidRPr="003A0C5C">
                  <w:rPr>
                    <w:rFonts w:hint="eastAsia"/>
                  </w:rPr>
                  <w:t>☐</w:t>
                </w:r>
              </w:sdtContent>
            </w:sdt>
          </w:p>
        </w:tc>
      </w:tr>
      <w:tr w:rsidR="003A0C5C" w:rsidRPr="003A0C5C" w14:paraId="064405EC" w14:textId="77777777" w:rsidTr="00F07065">
        <w:trPr>
          <w:cantSplit/>
        </w:trPr>
        <w:tc>
          <w:tcPr>
            <w:tcW w:w="0" w:type="auto"/>
          </w:tcPr>
          <w:p w14:paraId="63D0FFC5" w14:textId="4FEA50CF" w:rsidR="00AF3003" w:rsidRPr="003A0C5C" w:rsidRDefault="00AF3003" w:rsidP="00AF3003">
            <w:pPr>
              <w:pStyle w:val="Tabletextnumber"/>
              <w:keepNext/>
            </w:pPr>
            <w:r w:rsidRPr="003A0C5C">
              <w:rPr>
                <w:rFonts w:cs="Arial"/>
                <w:szCs w:val="16"/>
              </w:rPr>
              <w:t>c)</w:t>
            </w:r>
            <w:r w:rsidRPr="003A0C5C">
              <w:rPr>
                <w:rFonts w:cs="Arial"/>
                <w:szCs w:val="16"/>
              </w:rPr>
              <w:tab/>
              <w:t>Substantially alter the existing drainage pattern of the site or area, including through the alteration of the course of a stream or river or through the addition of imperious surfaces, in a manner which would:</w:t>
            </w:r>
          </w:p>
        </w:tc>
        <w:tc>
          <w:tcPr>
            <w:tcW w:w="0" w:type="auto"/>
          </w:tcPr>
          <w:p w14:paraId="63F10FAA" w14:textId="77777777" w:rsidR="00AF3003" w:rsidRPr="003A0C5C" w:rsidRDefault="00AF3003" w:rsidP="00AF3003">
            <w:pPr>
              <w:pStyle w:val="Checklist"/>
              <w:rPr>
                <w:highlight w:val="yellow"/>
              </w:rPr>
            </w:pPr>
          </w:p>
        </w:tc>
        <w:tc>
          <w:tcPr>
            <w:tcW w:w="0" w:type="auto"/>
          </w:tcPr>
          <w:p w14:paraId="31F2EA90" w14:textId="77777777" w:rsidR="00AF3003" w:rsidRPr="003A0C5C" w:rsidRDefault="00AF3003" w:rsidP="00AF3003">
            <w:pPr>
              <w:pStyle w:val="Checklist"/>
              <w:rPr>
                <w:sz w:val="20"/>
                <w:highlight w:val="yellow"/>
              </w:rPr>
            </w:pPr>
          </w:p>
        </w:tc>
        <w:tc>
          <w:tcPr>
            <w:tcW w:w="0" w:type="auto"/>
          </w:tcPr>
          <w:p w14:paraId="4F1D6F2D" w14:textId="77777777" w:rsidR="00AF3003" w:rsidRPr="003A0C5C" w:rsidRDefault="00AF3003" w:rsidP="00AF3003">
            <w:pPr>
              <w:pStyle w:val="Checklist"/>
              <w:rPr>
                <w:sz w:val="20"/>
                <w:highlight w:val="yellow"/>
              </w:rPr>
            </w:pPr>
          </w:p>
        </w:tc>
        <w:tc>
          <w:tcPr>
            <w:tcW w:w="0" w:type="auto"/>
          </w:tcPr>
          <w:p w14:paraId="373EFB86" w14:textId="77777777" w:rsidR="00AF3003" w:rsidRPr="003A0C5C" w:rsidRDefault="00AF3003" w:rsidP="00AF3003">
            <w:pPr>
              <w:pStyle w:val="Checklist"/>
              <w:rPr>
                <w:sz w:val="20"/>
                <w:highlight w:val="yellow"/>
              </w:rPr>
            </w:pPr>
          </w:p>
        </w:tc>
      </w:tr>
      <w:tr w:rsidR="003A0C5C" w:rsidRPr="003A0C5C" w14:paraId="74E593E0" w14:textId="77777777" w:rsidTr="00F07065">
        <w:trPr>
          <w:cantSplit/>
        </w:trPr>
        <w:tc>
          <w:tcPr>
            <w:tcW w:w="0" w:type="auto"/>
          </w:tcPr>
          <w:p w14:paraId="7AA3D1B9" w14:textId="321E8C89" w:rsidR="00AF3003" w:rsidRPr="003A0C5C" w:rsidRDefault="00AF3003" w:rsidP="00AF3003">
            <w:pPr>
              <w:pStyle w:val="Tabletextnumber2"/>
            </w:pPr>
            <w:proofErr w:type="spellStart"/>
            <w:r w:rsidRPr="003A0C5C">
              <w:t>i</w:t>
            </w:r>
            <w:proofErr w:type="spellEnd"/>
            <w:r w:rsidRPr="003A0C5C">
              <w:t>)</w:t>
            </w:r>
            <w:r w:rsidRPr="003A0C5C">
              <w:tab/>
              <w:t>result in substantial erosion or siltation on- or off-site;</w:t>
            </w:r>
          </w:p>
        </w:tc>
        <w:tc>
          <w:tcPr>
            <w:tcW w:w="0" w:type="auto"/>
          </w:tcPr>
          <w:p w14:paraId="79B19FBD" w14:textId="77777777" w:rsidR="00AF3003" w:rsidRPr="003A0C5C" w:rsidRDefault="002348BC" w:rsidP="00AF3003">
            <w:pPr>
              <w:pStyle w:val="Checklist"/>
            </w:pPr>
            <w:sdt>
              <w:sdtPr>
                <w:id w:val="-273403733"/>
                <w14:checkbox>
                  <w14:checked w14:val="0"/>
                  <w14:checkedState w14:val="2612" w14:font="MS Gothic"/>
                  <w14:uncheckedState w14:val="2610" w14:font="MS Gothic"/>
                </w14:checkbox>
              </w:sdtPr>
              <w:sdtEndPr/>
              <w:sdtContent>
                <w:r w:rsidR="00AF3003" w:rsidRPr="003A0C5C">
                  <w:t>☐</w:t>
                </w:r>
              </w:sdtContent>
            </w:sdt>
          </w:p>
        </w:tc>
        <w:tc>
          <w:tcPr>
            <w:tcW w:w="0" w:type="auto"/>
          </w:tcPr>
          <w:p w14:paraId="2E4A077A" w14:textId="77777777" w:rsidR="00AF3003" w:rsidRPr="003A0C5C" w:rsidRDefault="002348BC" w:rsidP="00AF3003">
            <w:pPr>
              <w:pStyle w:val="Checklist"/>
              <w:rPr>
                <w:sz w:val="20"/>
              </w:rPr>
            </w:pPr>
            <w:sdt>
              <w:sdtPr>
                <w:id w:val="1388072912"/>
                <w14:checkbox>
                  <w14:checked w14:val="0"/>
                  <w14:checkedState w14:val="2612" w14:font="MS Gothic"/>
                  <w14:uncheckedState w14:val="2610" w14:font="MS Gothic"/>
                </w14:checkbox>
              </w:sdtPr>
              <w:sdtEndPr/>
              <w:sdtContent>
                <w:r w:rsidR="00AF3003" w:rsidRPr="003A0C5C">
                  <w:t>☐</w:t>
                </w:r>
              </w:sdtContent>
            </w:sdt>
          </w:p>
        </w:tc>
        <w:tc>
          <w:tcPr>
            <w:tcW w:w="0" w:type="auto"/>
          </w:tcPr>
          <w:p w14:paraId="690DA9DC" w14:textId="77777777" w:rsidR="00AF3003" w:rsidRPr="003A0C5C" w:rsidRDefault="002348BC" w:rsidP="00AF3003">
            <w:pPr>
              <w:pStyle w:val="Checklist"/>
              <w:rPr>
                <w:sz w:val="20"/>
              </w:rPr>
            </w:pPr>
            <w:sdt>
              <w:sdtPr>
                <w:id w:val="1163655665"/>
                <w14:checkbox>
                  <w14:checked w14:val="1"/>
                  <w14:checkedState w14:val="2612" w14:font="MS Gothic"/>
                  <w14:uncheckedState w14:val="2610" w14:font="MS Gothic"/>
                </w14:checkbox>
              </w:sdtPr>
              <w:sdtEndPr/>
              <w:sdtContent>
                <w:r w:rsidR="00AF3003" w:rsidRPr="003A0C5C">
                  <w:rPr>
                    <w:rFonts w:hint="eastAsia"/>
                  </w:rPr>
                  <w:t>☒</w:t>
                </w:r>
              </w:sdtContent>
            </w:sdt>
          </w:p>
        </w:tc>
        <w:tc>
          <w:tcPr>
            <w:tcW w:w="0" w:type="auto"/>
          </w:tcPr>
          <w:p w14:paraId="4C3A5542" w14:textId="77777777" w:rsidR="00AF3003" w:rsidRPr="003A0C5C" w:rsidRDefault="002348BC" w:rsidP="00AF3003">
            <w:pPr>
              <w:pStyle w:val="Checklist"/>
              <w:rPr>
                <w:sz w:val="20"/>
              </w:rPr>
            </w:pPr>
            <w:sdt>
              <w:sdtPr>
                <w:id w:val="26529781"/>
                <w14:checkbox>
                  <w14:checked w14:val="0"/>
                  <w14:checkedState w14:val="2612" w14:font="MS Gothic"/>
                  <w14:uncheckedState w14:val="2610" w14:font="MS Gothic"/>
                </w14:checkbox>
              </w:sdtPr>
              <w:sdtEndPr/>
              <w:sdtContent>
                <w:r w:rsidR="00AF3003" w:rsidRPr="003A0C5C">
                  <w:rPr>
                    <w:rFonts w:hint="eastAsia"/>
                  </w:rPr>
                  <w:t>☐</w:t>
                </w:r>
              </w:sdtContent>
            </w:sdt>
          </w:p>
        </w:tc>
      </w:tr>
      <w:tr w:rsidR="003A0C5C" w:rsidRPr="003A0C5C" w14:paraId="0408C41C" w14:textId="77777777" w:rsidTr="00F07065">
        <w:trPr>
          <w:cantSplit/>
        </w:trPr>
        <w:tc>
          <w:tcPr>
            <w:tcW w:w="0" w:type="auto"/>
          </w:tcPr>
          <w:p w14:paraId="2666DC7B" w14:textId="45672254" w:rsidR="00AF3003" w:rsidRPr="003A0C5C" w:rsidRDefault="00AF3003" w:rsidP="00AF3003">
            <w:pPr>
              <w:pStyle w:val="Tabletextnumber2"/>
            </w:pPr>
            <w:r w:rsidRPr="003A0C5C">
              <w:t>ii)</w:t>
            </w:r>
            <w:r w:rsidRPr="003A0C5C">
              <w:tab/>
              <w:t>substantially increase the rate or amount of surface runoff in a manner which would result in flooding on- or offsite;</w:t>
            </w:r>
          </w:p>
        </w:tc>
        <w:tc>
          <w:tcPr>
            <w:tcW w:w="0" w:type="auto"/>
          </w:tcPr>
          <w:p w14:paraId="532527EF" w14:textId="77777777" w:rsidR="00AF3003" w:rsidRPr="003A0C5C" w:rsidRDefault="002348BC" w:rsidP="00AF3003">
            <w:pPr>
              <w:pStyle w:val="Checklist"/>
            </w:pPr>
            <w:sdt>
              <w:sdtPr>
                <w:id w:val="1579636566"/>
                <w14:checkbox>
                  <w14:checked w14:val="0"/>
                  <w14:checkedState w14:val="2612" w14:font="MS Gothic"/>
                  <w14:uncheckedState w14:val="2610" w14:font="MS Gothic"/>
                </w14:checkbox>
              </w:sdtPr>
              <w:sdtEndPr/>
              <w:sdtContent>
                <w:r w:rsidR="00AF3003" w:rsidRPr="003A0C5C">
                  <w:t>☐</w:t>
                </w:r>
              </w:sdtContent>
            </w:sdt>
          </w:p>
        </w:tc>
        <w:tc>
          <w:tcPr>
            <w:tcW w:w="0" w:type="auto"/>
          </w:tcPr>
          <w:p w14:paraId="5379E014" w14:textId="77777777" w:rsidR="00AF3003" w:rsidRPr="003A0C5C" w:rsidRDefault="002348BC" w:rsidP="00AF3003">
            <w:pPr>
              <w:pStyle w:val="Checklist"/>
              <w:rPr>
                <w:sz w:val="20"/>
              </w:rPr>
            </w:pPr>
            <w:sdt>
              <w:sdtPr>
                <w:id w:val="-446857821"/>
                <w14:checkbox>
                  <w14:checked w14:val="0"/>
                  <w14:checkedState w14:val="2612" w14:font="MS Gothic"/>
                  <w14:uncheckedState w14:val="2610" w14:font="MS Gothic"/>
                </w14:checkbox>
              </w:sdtPr>
              <w:sdtEndPr/>
              <w:sdtContent>
                <w:r w:rsidR="00AF3003" w:rsidRPr="003A0C5C">
                  <w:t>☐</w:t>
                </w:r>
              </w:sdtContent>
            </w:sdt>
          </w:p>
        </w:tc>
        <w:tc>
          <w:tcPr>
            <w:tcW w:w="0" w:type="auto"/>
          </w:tcPr>
          <w:p w14:paraId="05963A75" w14:textId="77777777" w:rsidR="00AF3003" w:rsidRPr="003A0C5C" w:rsidRDefault="002348BC" w:rsidP="00AF3003">
            <w:pPr>
              <w:pStyle w:val="Checklist"/>
              <w:rPr>
                <w:sz w:val="20"/>
              </w:rPr>
            </w:pPr>
            <w:sdt>
              <w:sdtPr>
                <w:id w:val="1150787797"/>
                <w14:checkbox>
                  <w14:checked w14:val="1"/>
                  <w14:checkedState w14:val="2612" w14:font="MS Gothic"/>
                  <w14:uncheckedState w14:val="2610" w14:font="MS Gothic"/>
                </w14:checkbox>
              </w:sdtPr>
              <w:sdtEndPr/>
              <w:sdtContent>
                <w:r w:rsidR="00AF3003" w:rsidRPr="003A0C5C">
                  <w:rPr>
                    <w:rFonts w:hint="eastAsia"/>
                  </w:rPr>
                  <w:t>☒</w:t>
                </w:r>
              </w:sdtContent>
            </w:sdt>
          </w:p>
        </w:tc>
        <w:tc>
          <w:tcPr>
            <w:tcW w:w="0" w:type="auto"/>
          </w:tcPr>
          <w:p w14:paraId="6F4D5026" w14:textId="25B799CC" w:rsidR="00AF3003" w:rsidRPr="003A0C5C" w:rsidRDefault="002348BC" w:rsidP="00AF3003">
            <w:pPr>
              <w:pStyle w:val="Checklist"/>
              <w:rPr>
                <w:sz w:val="20"/>
              </w:rPr>
            </w:pPr>
            <w:sdt>
              <w:sdtPr>
                <w:id w:val="2097977941"/>
                <w14:checkbox>
                  <w14:checked w14:val="0"/>
                  <w14:checkedState w14:val="2612" w14:font="MS Gothic"/>
                  <w14:uncheckedState w14:val="2610" w14:font="MS Gothic"/>
                </w14:checkbox>
              </w:sdtPr>
              <w:sdtEndPr/>
              <w:sdtContent>
                <w:r w:rsidR="00481854" w:rsidRPr="003A0C5C">
                  <w:rPr>
                    <w:rFonts w:hint="eastAsia"/>
                  </w:rPr>
                  <w:t>☐</w:t>
                </w:r>
              </w:sdtContent>
            </w:sdt>
          </w:p>
        </w:tc>
      </w:tr>
      <w:tr w:rsidR="003A0C5C" w:rsidRPr="003A0C5C" w14:paraId="5004E1AC" w14:textId="77777777" w:rsidTr="00F07065">
        <w:trPr>
          <w:cantSplit/>
        </w:trPr>
        <w:tc>
          <w:tcPr>
            <w:tcW w:w="0" w:type="auto"/>
          </w:tcPr>
          <w:p w14:paraId="5F5814DA" w14:textId="38D564B3" w:rsidR="00AF3003" w:rsidRPr="003A0C5C" w:rsidRDefault="00AF3003" w:rsidP="00AF3003">
            <w:pPr>
              <w:pStyle w:val="Tabletextnumber2"/>
            </w:pPr>
            <w:r w:rsidRPr="003A0C5C">
              <w:t>iii)</w:t>
            </w:r>
            <w:r w:rsidRPr="003A0C5C">
              <w:tab/>
              <w:t>create or contribute runoff water that would exceed the capacity of existing or planned stormwater drainage systems or provide substantial additional sources of polluted runoff; or</w:t>
            </w:r>
          </w:p>
        </w:tc>
        <w:tc>
          <w:tcPr>
            <w:tcW w:w="0" w:type="auto"/>
          </w:tcPr>
          <w:p w14:paraId="5124CF41" w14:textId="77777777" w:rsidR="00AF3003" w:rsidRPr="003A0C5C" w:rsidRDefault="002348BC" w:rsidP="00AF3003">
            <w:pPr>
              <w:pStyle w:val="Checklist"/>
            </w:pPr>
            <w:sdt>
              <w:sdtPr>
                <w:id w:val="135151126"/>
                <w14:checkbox>
                  <w14:checked w14:val="0"/>
                  <w14:checkedState w14:val="2612" w14:font="MS Gothic"/>
                  <w14:uncheckedState w14:val="2610" w14:font="MS Gothic"/>
                </w14:checkbox>
              </w:sdtPr>
              <w:sdtEndPr/>
              <w:sdtContent>
                <w:r w:rsidR="00AF3003" w:rsidRPr="003A0C5C">
                  <w:t>☐</w:t>
                </w:r>
              </w:sdtContent>
            </w:sdt>
          </w:p>
        </w:tc>
        <w:tc>
          <w:tcPr>
            <w:tcW w:w="0" w:type="auto"/>
          </w:tcPr>
          <w:p w14:paraId="0C2FC536" w14:textId="77777777" w:rsidR="00AF3003" w:rsidRPr="003A0C5C" w:rsidRDefault="002348BC" w:rsidP="00AF3003">
            <w:pPr>
              <w:pStyle w:val="Checklist"/>
              <w:rPr>
                <w:sz w:val="20"/>
              </w:rPr>
            </w:pPr>
            <w:sdt>
              <w:sdtPr>
                <w:id w:val="910269666"/>
                <w14:checkbox>
                  <w14:checked w14:val="0"/>
                  <w14:checkedState w14:val="2612" w14:font="MS Gothic"/>
                  <w14:uncheckedState w14:val="2610" w14:font="MS Gothic"/>
                </w14:checkbox>
              </w:sdtPr>
              <w:sdtEndPr/>
              <w:sdtContent>
                <w:r w:rsidR="00AF3003" w:rsidRPr="003A0C5C">
                  <w:t>☐</w:t>
                </w:r>
              </w:sdtContent>
            </w:sdt>
          </w:p>
        </w:tc>
        <w:tc>
          <w:tcPr>
            <w:tcW w:w="0" w:type="auto"/>
          </w:tcPr>
          <w:p w14:paraId="1FAD5EDE" w14:textId="77777777" w:rsidR="00AF3003" w:rsidRPr="003A0C5C" w:rsidRDefault="002348BC" w:rsidP="00AF3003">
            <w:pPr>
              <w:pStyle w:val="Checklist"/>
              <w:rPr>
                <w:sz w:val="20"/>
              </w:rPr>
            </w:pPr>
            <w:sdt>
              <w:sdtPr>
                <w:id w:val="-338928468"/>
                <w14:checkbox>
                  <w14:checked w14:val="1"/>
                  <w14:checkedState w14:val="2612" w14:font="MS Gothic"/>
                  <w14:uncheckedState w14:val="2610" w14:font="MS Gothic"/>
                </w14:checkbox>
              </w:sdtPr>
              <w:sdtEndPr/>
              <w:sdtContent>
                <w:r w:rsidR="00AF3003" w:rsidRPr="003A0C5C">
                  <w:rPr>
                    <w:rFonts w:hint="eastAsia"/>
                  </w:rPr>
                  <w:t>☒</w:t>
                </w:r>
              </w:sdtContent>
            </w:sdt>
          </w:p>
        </w:tc>
        <w:tc>
          <w:tcPr>
            <w:tcW w:w="0" w:type="auto"/>
          </w:tcPr>
          <w:p w14:paraId="591D319B" w14:textId="77777777" w:rsidR="00AF3003" w:rsidRPr="003A0C5C" w:rsidRDefault="002348BC" w:rsidP="00AF3003">
            <w:pPr>
              <w:pStyle w:val="Checklist"/>
              <w:rPr>
                <w:sz w:val="20"/>
              </w:rPr>
            </w:pPr>
            <w:sdt>
              <w:sdtPr>
                <w:id w:val="-2081662017"/>
                <w14:checkbox>
                  <w14:checked w14:val="0"/>
                  <w14:checkedState w14:val="2612" w14:font="MS Gothic"/>
                  <w14:uncheckedState w14:val="2610" w14:font="MS Gothic"/>
                </w14:checkbox>
              </w:sdtPr>
              <w:sdtEndPr/>
              <w:sdtContent>
                <w:r w:rsidR="00AF3003" w:rsidRPr="003A0C5C">
                  <w:rPr>
                    <w:rFonts w:hint="eastAsia"/>
                  </w:rPr>
                  <w:t>☐</w:t>
                </w:r>
              </w:sdtContent>
            </w:sdt>
          </w:p>
        </w:tc>
      </w:tr>
      <w:tr w:rsidR="003A0C5C" w:rsidRPr="003A0C5C" w14:paraId="1344623A" w14:textId="77777777" w:rsidTr="00F07065">
        <w:trPr>
          <w:cantSplit/>
        </w:trPr>
        <w:tc>
          <w:tcPr>
            <w:tcW w:w="0" w:type="auto"/>
          </w:tcPr>
          <w:p w14:paraId="66525F92" w14:textId="2023717B" w:rsidR="00AF3003" w:rsidRPr="003A0C5C" w:rsidRDefault="00AF3003" w:rsidP="00AF3003">
            <w:pPr>
              <w:pStyle w:val="Tabletextnumber2"/>
            </w:pPr>
            <w:r w:rsidRPr="003A0C5C">
              <w:t>iv)</w:t>
            </w:r>
            <w:r w:rsidRPr="003A0C5C">
              <w:tab/>
              <w:t>impede or redirect flood flows?</w:t>
            </w:r>
          </w:p>
        </w:tc>
        <w:tc>
          <w:tcPr>
            <w:tcW w:w="0" w:type="auto"/>
          </w:tcPr>
          <w:p w14:paraId="012946F3" w14:textId="77777777" w:rsidR="00AF3003" w:rsidRPr="003A0C5C" w:rsidRDefault="002348BC" w:rsidP="00AF3003">
            <w:pPr>
              <w:pStyle w:val="Checklist"/>
            </w:pPr>
            <w:sdt>
              <w:sdtPr>
                <w:id w:val="-133410693"/>
                <w14:checkbox>
                  <w14:checked w14:val="0"/>
                  <w14:checkedState w14:val="2612" w14:font="MS Gothic"/>
                  <w14:uncheckedState w14:val="2610" w14:font="MS Gothic"/>
                </w14:checkbox>
              </w:sdtPr>
              <w:sdtEndPr/>
              <w:sdtContent>
                <w:r w:rsidR="00AF3003" w:rsidRPr="003A0C5C">
                  <w:t>☐</w:t>
                </w:r>
              </w:sdtContent>
            </w:sdt>
          </w:p>
        </w:tc>
        <w:tc>
          <w:tcPr>
            <w:tcW w:w="0" w:type="auto"/>
          </w:tcPr>
          <w:p w14:paraId="279382C3" w14:textId="77777777" w:rsidR="00AF3003" w:rsidRPr="003A0C5C" w:rsidRDefault="002348BC" w:rsidP="00AF3003">
            <w:pPr>
              <w:pStyle w:val="Checklist"/>
              <w:rPr>
                <w:sz w:val="20"/>
              </w:rPr>
            </w:pPr>
            <w:sdt>
              <w:sdtPr>
                <w:id w:val="-465978069"/>
                <w14:checkbox>
                  <w14:checked w14:val="0"/>
                  <w14:checkedState w14:val="2612" w14:font="MS Gothic"/>
                  <w14:uncheckedState w14:val="2610" w14:font="MS Gothic"/>
                </w14:checkbox>
              </w:sdtPr>
              <w:sdtEndPr/>
              <w:sdtContent>
                <w:r w:rsidR="00AF3003" w:rsidRPr="003A0C5C">
                  <w:t>☐</w:t>
                </w:r>
              </w:sdtContent>
            </w:sdt>
          </w:p>
        </w:tc>
        <w:tc>
          <w:tcPr>
            <w:tcW w:w="0" w:type="auto"/>
          </w:tcPr>
          <w:p w14:paraId="610C4C4E" w14:textId="77777777" w:rsidR="00AF3003" w:rsidRPr="003A0C5C" w:rsidRDefault="002348BC" w:rsidP="00AF3003">
            <w:pPr>
              <w:pStyle w:val="Checklist"/>
              <w:rPr>
                <w:sz w:val="20"/>
              </w:rPr>
            </w:pPr>
            <w:sdt>
              <w:sdtPr>
                <w:id w:val="1948187533"/>
                <w14:checkbox>
                  <w14:checked w14:val="1"/>
                  <w14:checkedState w14:val="2612" w14:font="MS Gothic"/>
                  <w14:uncheckedState w14:val="2610" w14:font="MS Gothic"/>
                </w14:checkbox>
              </w:sdtPr>
              <w:sdtEndPr/>
              <w:sdtContent>
                <w:r w:rsidR="00AF3003" w:rsidRPr="003A0C5C">
                  <w:rPr>
                    <w:rFonts w:hint="eastAsia"/>
                  </w:rPr>
                  <w:t>☒</w:t>
                </w:r>
              </w:sdtContent>
            </w:sdt>
          </w:p>
        </w:tc>
        <w:tc>
          <w:tcPr>
            <w:tcW w:w="0" w:type="auto"/>
          </w:tcPr>
          <w:p w14:paraId="2FD82D08" w14:textId="77777777" w:rsidR="00AF3003" w:rsidRPr="003A0C5C" w:rsidRDefault="002348BC" w:rsidP="00AF3003">
            <w:pPr>
              <w:pStyle w:val="Checklist"/>
              <w:rPr>
                <w:sz w:val="20"/>
              </w:rPr>
            </w:pPr>
            <w:sdt>
              <w:sdtPr>
                <w:id w:val="-1122680456"/>
                <w14:checkbox>
                  <w14:checked w14:val="0"/>
                  <w14:checkedState w14:val="2612" w14:font="MS Gothic"/>
                  <w14:uncheckedState w14:val="2610" w14:font="MS Gothic"/>
                </w14:checkbox>
              </w:sdtPr>
              <w:sdtEndPr/>
              <w:sdtContent>
                <w:r w:rsidR="00AF3003" w:rsidRPr="003A0C5C">
                  <w:rPr>
                    <w:rFonts w:hint="eastAsia"/>
                  </w:rPr>
                  <w:t>☐</w:t>
                </w:r>
              </w:sdtContent>
            </w:sdt>
          </w:p>
        </w:tc>
      </w:tr>
      <w:tr w:rsidR="003A0C5C" w:rsidRPr="003A0C5C" w14:paraId="1797E0A4" w14:textId="77777777" w:rsidTr="00F07065">
        <w:trPr>
          <w:cantSplit/>
        </w:trPr>
        <w:tc>
          <w:tcPr>
            <w:tcW w:w="0" w:type="auto"/>
          </w:tcPr>
          <w:p w14:paraId="41790823" w14:textId="4CD3E55B" w:rsidR="00AF3003" w:rsidRPr="003A0C5C" w:rsidRDefault="00AF3003" w:rsidP="00AF3003">
            <w:pPr>
              <w:pStyle w:val="Tabletextnumber"/>
            </w:pPr>
            <w:r w:rsidRPr="003A0C5C">
              <w:rPr>
                <w:rFonts w:cs="Arial"/>
                <w:szCs w:val="16"/>
              </w:rPr>
              <w:t>d)</w:t>
            </w:r>
            <w:r w:rsidRPr="003A0C5C">
              <w:rPr>
                <w:rFonts w:cs="Arial"/>
                <w:szCs w:val="16"/>
              </w:rPr>
              <w:tab/>
            </w:r>
            <w:r w:rsidRPr="003A0C5C">
              <w:rPr>
                <w:rFonts w:cs="Arial"/>
                <w:spacing w:val="-2"/>
                <w:szCs w:val="16"/>
              </w:rPr>
              <w:t>In flood hazard, tsunami, or seiche zones, risk or release of pollutants due to project inundation?</w:t>
            </w:r>
          </w:p>
        </w:tc>
        <w:tc>
          <w:tcPr>
            <w:tcW w:w="0" w:type="auto"/>
          </w:tcPr>
          <w:p w14:paraId="5B3A01FA" w14:textId="77777777" w:rsidR="00AF3003" w:rsidRPr="003A0C5C" w:rsidRDefault="002348BC" w:rsidP="00AF3003">
            <w:pPr>
              <w:pStyle w:val="Checklist"/>
              <w:rPr>
                <w:sz w:val="20"/>
              </w:rPr>
            </w:pPr>
            <w:sdt>
              <w:sdtPr>
                <w:id w:val="-189300569"/>
                <w14:checkbox>
                  <w14:checked w14:val="0"/>
                  <w14:checkedState w14:val="2612" w14:font="MS Gothic"/>
                  <w14:uncheckedState w14:val="2610" w14:font="MS Gothic"/>
                </w14:checkbox>
              </w:sdtPr>
              <w:sdtEndPr/>
              <w:sdtContent>
                <w:r w:rsidR="00AF3003" w:rsidRPr="003A0C5C">
                  <w:t>☐</w:t>
                </w:r>
              </w:sdtContent>
            </w:sdt>
          </w:p>
        </w:tc>
        <w:tc>
          <w:tcPr>
            <w:tcW w:w="0" w:type="auto"/>
          </w:tcPr>
          <w:p w14:paraId="5B6AB6CD" w14:textId="77777777" w:rsidR="00AF3003" w:rsidRPr="003A0C5C" w:rsidRDefault="002348BC" w:rsidP="00AF3003">
            <w:pPr>
              <w:pStyle w:val="Checklist"/>
              <w:rPr>
                <w:sz w:val="20"/>
              </w:rPr>
            </w:pPr>
            <w:sdt>
              <w:sdtPr>
                <w:id w:val="-323126452"/>
                <w14:checkbox>
                  <w14:checked w14:val="0"/>
                  <w14:checkedState w14:val="2612" w14:font="MS Gothic"/>
                  <w14:uncheckedState w14:val="2610" w14:font="MS Gothic"/>
                </w14:checkbox>
              </w:sdtPr>
              <w:sdtEndPr/>
              <w:sdtContent>
                <w:r w:rsidR="00AF3003" w:rsidRPr="003A0C5C">
                  <w:t>☐</w:t>
                </w:r>
              </w:sdtContent>
            </w:sdt>
          </w:p>
        </w:tc>
        <w:tc>
          <w:tcPr>
            <w:tcW w:w="0" w:type="auto"/>
          </w:tcPr>
          <w:p w14:paraId="27F3AE4A" w14:textId="51F1975F" w:rsidR="00AF3003" w:rsidRPr="003A0C5C" w:rsidRDefault="002348BC" w:rsidP="00AF3003">
            <w:pPr>
              <w:pStyle w:val="Checklist"/>
              <w:rPr>
                <w:sz w:val="20"/>
              </w:rPr>
            </w:pPr>
            <w:sdt>
              <w:sdtPr>
                <w:id w:val="1573621162"/>
                <w14:checkbox>
                  <w14:checked w14:val="0"/>
                  <w14:checkedState w14:val="2612" w14:font="MS Gothic"/>
                  <w14:uncheckedState w14:val="2610" w14:font="MS Gothic"/>
                </w14:checkbox>
              </w:sdtPr>
              <w:sdtEndPr/>
              <w:sdtContent>
                <w:r w:rsidR="00AF3003" w:rsidRPr="003A0C5C">
                  <w:rPr>
                    <w:rFonts w:hint="eastAsia"/>
                  </w:rPr>
                  <w:t>☐</w:t>
                </w:r>
              </w:sdtContent>
            </w:sdt>
          </w:p>
        </w:tc>
        <w:tc>
          <w:tcPr>
            <w:tcW w:w="0" w:type="auto"/>
          </w:tcPr>
          <w:p w14:paraId="4A72223A" w14:textId="15E76DE1" w:rsidR="00AF3003" w:rsidRPr="003A0C5C" w:rsidRDefault="002348BC" w:rsidP="00AF3003">
            <w:pPr>
              <w:pStyle w:val="Checklist"/>
              <w:rPr>
                <w:sz w:val="20"/>
              </w:rPr>
            </w:pPr>
            <w:sdt>
              <w:sdtPr>
                <w:id w:val="553040237"/>
                <w14:checkbox>
                  <w14:checked w14:val="1"/>
                  <w14:checkedState w14:val="2612" w14:font="MS Gothic"/>
                  <w14:uncheckedState w14:val="2610" w14:font="MS Gothic"/>
                </w14:checkbox>
              </w:sdtPr>
              <w:sdtEndPr/>
              <w:sdtContent>
                <w:r w:rsidR="00AF3003" w:rsidRPr="003A0C5C">
                  <w:rPr>
                    <w:rFonts w:hint="eastAsia"/>
                  </w:rPr>
                  <w:t>☒</w:t>
                </w:r>
              </w:sdtContent>
            </w:sdt>
          </w:p>
        </w:tc>
      </w:tr>
      <w:tr w:rsidR="00AF3003" w:rsidRPr="003A0C5C" w14:paraId="6B8002D3" w14:textId="77777777" w:rsidTr="00F07065">
        <w:trPr>
          <w:cantSplit/>
        </w:trPr>
        <w:tc>
          <w:tcPr>
            <w:tcW w:w="0" w:type="auto"/>
          </w:tcPr>
          <w:p w14:paraId="6447330E" w14:textId="7F21E82C" w:rsidR="00AF3003" w:rsidRPr="003A0C5C" w:rsidRDefault="00AF3003" w:rsidP="00AF3003">
            <w:pPr>
              <w:pStyle w:val="Tabletextnumber"/>
            </w:pPr>
            <w:r w:rsidRPr="003A0C5C">
              <w:rPr>
                <w:rFonts w:cs="Arial"/>
                <w:szCs w:val="16"/>
              </w:rPr>
              <w:t>e)</w:t>
            </w:r>
            <w:r w:rsidRPr="003A0C5C">
              <w:rPr>
                <w:rFonts w:cs="Arial"/>
                <w:szCs w:val="16"/>
              </w:rPr>
              <w:tab/>
              <w:t xml:space="preserve">Conflict with or obstruct implementation of a water quality control plan or sustainable groundwater management plan? </w:t>
            </w:r>
          </w:p>
        </w:tc>
        <w:tc>
          <w:tcPr>
            <w:tcW w:w="0" w:type="auto"/>
          </w:tcPr>
          <w:p w14:paraId="1A7E7C66" w14:textId="77777777" w:rsidR="00AF3003" w:rsidRPr="003A0C5C" w:rsidRDefault="002348BC" w:rsidP="00AF3003">
            <w:pPr>
              <w:pStyle w:val="Checklist"/>
              <w:rPr>
                <w:sz w:val="20"/>
              </w:rPr>
            </w:pPr>
            <w:sdt>
              <w:sdtPr>
                <w:id w:val="-208568033"/>
                <w14:checkbox>
                  <w14:checked w14:val="0"/>
                  <w14:checkedState w14:val="2612" w14:font="MS Gothic"/>
                  <w14:uncheckedState w14:val="2610" w14:font="MS Gothic"/>
                </w14:checkbox>
              </w:sdtPr>
              <w:sdtEndPr/>
              <w:sdtContent>
                <w:r w:rsidR="00AF3003" w:rsidRPr="003A0C5C">
                  <w:t>☐</w:t>
                </w:r>
              </w:sdtContent>
            </w:sdt>
          </w:p>
        </w:tc>
        <w:tc>
          <w:tcPr>
            <w:tcW w:w="0" w:type="auto"/>
          </w:tcPr>
          <w:p w14:paraId="01772682" w14:textId="3FC2F1F9" w:rsidR="00AF3003" w:rsidRPr="003A0C5C" w:rsidRDefault="002348BC" w:rsidP="00AF3003">
            <w:pPr>
              <w:pStyle w:val="Checklist"/>
              <w:rPr>
                <w:sz w:val="20"/>
              </w:rPr>
            </w:pPr>
            <w:sdt>
              <w:sdtPr>
                <w:id w:val="-497887907"/>
                <w14:checkbox>
                  <w14:checked w14:val="0"/>
                  <w14:checkedState w14:val="2612" w14:font="MS Gothic"/>
                  <w14:uncheckedState w14:val="2610" w14:font="MS Gothic"/>
                </w14:checkbox>
              </w:sdtPr>
              <w:sdtEndPr/>
              <w:sdtContent>
                <w:r w:rsidR="00AF3003" w:rsidRPr="003A0C5C">
                  <w:rPr>
                    <w:rFonts w:hint="eastAsia"/>
                  </w:rPr>
                  <w:t>☐</w:t>
                </w:r>
              </w:sdtContent>
            </w:sdt>
          </w:p>
        </w:tc>
        <w:tc>
          <w:tcPr>
            <w:tcW w:w="0" w:type="auto"/>
          </w:tcPr>
          <w:p w14:paraId="530CE759" w14:textId="77777777" w:rsidR="00AF3003" w:rsidRPr="003A0C5C" w:rsidRDefault="002348BC" w:rsidP="00AF3003">
            <w:pPr>
              <w:pStyle w:val="Checklist"/>
              <w:rPr>
                <w:sz w:val="20"/>
              </w:rPr>
            </w:pPr>
            <w:sdt>
              <w:sdtPr>
                <w:id w:val="-1301995735"/>
                <w14:checkbox>
                  <w14:checked w14:val="0"/>
                  <w14:checkedState w14:val="2612" w14:font="MS Gothic"/>
                  <w14:uncheckedState w14:val="2610" w14:font="MS Gothic"/>
                </w14:checkbox>
              </w:sdtPr>
              <w:sdtEndPr/>
              <w:sdtContent>
                <w:r w:rsidR="00AF3003" w:rsidRPr="003A0C5C">
                  <w:rPr>
                    <w:rFonts w:hint="eastAsia"/>
                  </w:rPr>
                  <w:t>☐</w:t>
                </w:r>
              </w:sdtContent>
            </w:sdt>
          </w:p>
        </w:tc>
        <w:tc>
          <w:tcPr>
            <w:tcW w:w="0" w:type="auto"/>
          </w:tcPr>
          <w:p w14:paraId="31141BEC" w14:textId="54459FB4" w:rsidR="00AF3003" w:rsidRPr="003A0C5C" w:rsidRDefault="002348BC" w:rsidP="00AF3003">
            <w:pPr>
              <w:pStyle w:val="Checklist"/>
              <w:rPr>
                <w:sz w:val="20"/>
              </w:rPr>
            </w:pPr>
            <w:sdt>
              <w:sdtPr>
                <w:id w:val="-1120613307"/>
                <w14:checkbox>
                  <w14:checked w14:val="1"/>
                  <w14:checkedState w14:val="2612" w14:font="MS Gothic"/>
                  <w14:uncheckedState w14:val="2610" w14:font="MS Gothic"/>
                </w14:checkbox>
              </w:sdtPr>
              <w:sdtEndPr/>
              <w:sdtContent>
                <w:r w:rsidR="00F321D1" w:rsidRPr="003A0C5C">
                  <w:rPr>
                    <w:rFonts w:hint="eastAsia"/>
                  </w:rPr>
                  <w:t>☒</w:t>
                </w:r>
              </w:sdtContent>
            </w:sdt>
          </w:p>
        </w:tc>
      </w:tr>
    </w:tbl>
    <w:p w14:paraId="1EB9D9D1" w14:textId="77777777" w:rsidR="00957C8B" w:rsidRPr="003A0C5C" w:rsidRDefault="00957C8B" w:rsidP="00957C8B">
      <w:pPr>
        <w:pStyle w:val="TableNotes"/>
        <w:rPr>
          <w:highlight w:val="yellow"/>
        </w:rPr>
      </w:pPr>
    </w:p>
    <w:p w14:paraId="267F766B" w14:textId="2C9FEE2C" w:rsidR="00443DD6" w:rsidRPr="003A0C5C" w:rsidRDefault="00087279" w:rsidP="00087279">
      <w:pPr>
        <w:pStyle w:val="12space"/>
        <w:keepNext/>
        <w:spacing w:after="180"/>
      </w:pPr>
      <w:r w:rsidRPr="003A0C5C">
        <w:t xml:space="preserve">This section is based in part on the </w:t>
      </w:r>
      <w:r w:rsidR="00E654DD" w:rsidRPr="003A0C5C">
        <w:t>Carson Self-Storage Preliminary Utilities Technical Memorandum</w:t>
      </w:r>
      <w:r w:rsidRPr="003A0C5C">
        <w:t xml:space="preserve"> (</w:t>
      </w:r>
      <w:bookmarkStart w:id="76" w:name="_Hlk98834617"/>
      <w:r w:rsidR="00E654DD" w:rsidRPr="003A0C5C">
        <w:t>Utilities Memorandum</w:t>
      </w:r>
      <w:bookmarkEnd w:id="76"/>
      <w:r w:rsidRPr="003A0C5C">
        <w:t xml:space="preserve">), prepared by Omega Engineering Consultants, dated </w:t>
      </w:r>
      <w:r w:rsidR="00E654DD" w:rsidRPr="003A0C5C">
        <w:t>March</w:t>
      </w:r>
      <w:r w:rsidR="001F1237" w:rsidRPr="003A0C5C">
        <w:t> </w:t>
      </w:r>
      <w:r w:rsidR="00E654DD" w:rsidRPr="003A0C5C">
        <w:t>9, 2022</w:t>
      </w:r>
      <w:r w:rsidRPr="003A0C5C">
        <w:t xml:space="preserve"> (refer to </w:t>
      </w:r>
      <w:r w:rsidR="007654F1" w:rsidRPr="003A0C5C">
        <w:rPr>
          <w:b/>
          <w:bCs/>
        </w:rPr>
        <w:t>Appendix</w:t>
      </w:r>
      <w:r w:rsidRPr="003A0C5C">
        <w:rPr>
          <w:b/>
          <w:bCs/>
        </w:rPr>
        <w:t xml:space="preserve"> </w:t>
      </w:r>
      <w:r w:rsidR="0050211E" w:rsidRPr="003A0C5C">
        <w:rPr>
          <w:b/>
          <w:bCs/>
        </w:rPr>
        <w:t>I</w:t>
      </w:r>
      <w:r w:rsidRPr="003A0C5C">
        <w:t xml:space="preserve"> of this IS/MND) and Low Impact Development Plan (LID</w:t>
      </w:r>
      <w:r w:rsidR="001F1237" w:rsidRPr="003A0C5C">
        <w:t> </w:t>
      </w:r>
      <w:r w:rsidRPr="003A0C5C">
        <w:t xml:space="preserve">Plan), also prepared by Omega Engineering Consultants, dated October 5, 2021 (refer to </w:t>
      </w:r>
      <w:r w:rsidR="007654F1" w:rsidRPr="003A0C5C">
        <w:rPr>
          <w:b/>
          <w:bCs/>
        </w:rPr>
        <w:t>Appendix</w:t>
      </w:r>
      <w:r w:rsidRPr="003A0C5C">
        <w:rPr>
          <w:b/>
          <w:bCs/>
        </w:rPr>
        <w:t xml:space="preserve"> </w:t>
      </w:r>
      <w:r w:rsidR="0050211E" w:rsidRPr="003A0C5C">
        <w:rPr>
          <w:b/>
          <w:bCs/>
        </w:rPr>
        <w:t>J</w:t>
      </w:r>
      <w:r w:rsidR="0050211E" w:rsidRPr="003A0C5C">
        <w:t xml:space="preserve"> </w:t>
      </w:r>
      <w:r w:rsidRPr="003A0C5C">
        <w:t>of this IS/MND).</w:t>
      </w:r>
    </w:p>
    <w:p w14:paraId="5AE5DA2D" w14:textId="77777777" w:rsidR="00957C8B" w:rsidRPr="003A0C5C" w:rsidRDefault="00957C8B" w:rsidP="00957C8B">
      <w:pPr>
        <w:pStyle w:val="Heading5"/>
      </w:pPr>
      <w:r w:rsidRPr="003A0C5C">
        <w:t>Discussion</w:t>
      </w:r>
    </w:p>
    <w:p w14:paraId="74382AFA" w14:textId="264B6A0A" w:rsidR="00535906" w:rsidRPr="003A0C5C" w:rsidRDefault="004F426E" w:rsidP="00EF711A">
      <w:pPr>
        <w:pStyle w:val="12spaceindent"/>
      </w:pPr>
      <w:r w:rsidRPr="003A0C5C">
        <w:t>a)</w:t>
      </w:r>
      <w:r w:rsidRPr="003A0C5C">
        <w:tab/>
      </w:r>
      <w:r w:rsidR="004A783F" w:rsidRPr="003A0C5C">
        <w:t xml:space="preserve">The project site is located in an urbanized area of the City of Carson and is currently </w:t>
      </w:r>
      <w:r w:rsidR="00C62EF0" w:rsidRPr="003A0C5C">
        <w:t xml:space="preserve">two </w:t>
      </w:r>
      <w:r w:rsidR="004A783F" w:rsidRPr="003A0C5C">
        <w:t xml:space="preserve">vacant undeveloped </w:t>
      </w:r>
      <w:r w:rsidR="00163D2A" w:rsidRPr="003A0C5C">
        <w:t>parcels</w:t>
      </w:r>
      <w:r w:rsidR="004A783F" w:rsidRPr="003A0C5C">
        <w:t xml:space="preserve">. </w:t>
      </w:r>
      <w:r w:rsidR="00CD2E2E" w:rsidRPr="003A0C5C">
        <w:t xml:space="preserve">As part of Clean Water Act </w:t>
      </w:r>
      <w:r w:rsidR="00356D58" w:rsidRPr="003A0C5C">
        <w:t>Section </w:t>
      </w:r>
      <w:r w:rsidR="00CD2E2E" w:rsidRPr="003A0C5C">
        <w:t>402</w:t>
      </w:r>
      <w:r w:rsidR="00535906" w:rsidRPr="003A0C5C">
        <w:t>, the Environmental Protection Agency</w:t>
      </w:r>
      <w:r w:rsidR="00470C54" w:rsidRPr="003A0C5C">
        <w:t xml:space="preserve"> </w:t>
      </w:r>
      <w:r w:rsidR="00535906" w:rsidRPr="003A0C5C">
        <w:t>has established regulations under the NPDES program to control direct stormwater discharges. In California, the State Water Regional Control Board (SWRCB) administers the NPDES permitting program and is responsible for developing NPDES permitting requirements. The NPDES program regulates industrial pollutant discharges, which include construction activities. The SWRCB works in coordination with the nine Regional Water Quality Control Boards (RWQCB</w:t>
      </w:r>
      <w:r w:rsidR="0029555A" w:rsidRPr="003A0C5C">
        <w:t>s</w:t>
      </w:r>
      <w:r w:rsidR="00535906" w:rsidRPr="003A0C5C">
        <w:t xml:space="preserve">) to preserve, protect, enhance, and restore water quality. The project site is within the jurisdiction of the Los Angeles RWQCB. Impacts related to water quality typically range over three different periods: </w:t>
      </w:r>
      <w:r w:rsidR="00D20510" w:rsidRPr="003A0C5C">
        <w:t>(</w:t>
      </w:r>
      <w:r w:rsidR="00535906" w:rsidRPr="003A0C5C">
        <w:t>1)</w:t>
      </w:r>
      <w:r w:rsidR="00D20510" w:rsidRPr="003A0C5C">
        <w:t> </w:t>
      </w:r>
      <w:r w:rsidR="00535906" w:rsidRPr="003A0C5C">
        <w:t xml:space="preserve">during the earthwork and construction phase, when the potential for erosion, siltation, and sedimentation would be the greatest; </w:t>
      </w:r>
      <w:r w:rsidR="00D20510" w:rsidRPr="003A0C5C">
        <w:t>(</w:t>
      </w:r>
      <w:r w:rsidR="00535906" w:rsidRPr="003A0C5C">
        <w:t xml:space="preserve">2) following construction, prior to the establishment of ground cover, when the erosion potential may remain relatively high; </w:t>
      </w:r>
      <w:r w:rsidR="00535906" w:rsidRPr="003A0C5C">
        <w:lastRenderedPageBreak/>
        <w:t>and</w:t>
      </w:r>
      <w:r w:rsidR="00D20510" w:rsidRPr="003A0C5C">
        <w:t> (</w:t>
      </w:r>
      <w:r w:rsidR="00535906" w:rsidRPr="003A0C5C">
        <w:t xml:space="preserve">3) following completion of </w:t>
      </w:r>
      <w:r w:rsidR="008052E9" w:rsidRPr="003A0C5C">
        <w:t xml:space="preserve">a </w:t>
      </w:r>
      <w:r w:rsidR="00535906" w:rsidRPr="003A0C5C">
        <w:t>project, when impacts related to sedimentation would decrease markedly, but those associated with urban runoff would increase.</w:t>
      </w:r>
    </w:p>
    <w:p w14:paraId="6FCDDE07" w14:textId="403060E3" w:rsidR="009F0EA0" w:rsidRPr="003A0C5C" w:rsidRDefault="009F0EA0" w:rsidP="00957C8B">
      <w:pPr>
        <w:pStyle w:val="Heading6"/>
        <w:ind w:left="720"/>
        <w:rPr>
          <w:bCs/>
        </w:rPr>
      </w:pPr>
      <w:r w:rsidRPr="003A0C5C">
        <w:rPr>
          <w:bCs/>
        </w:rPr>
        <w:t>Construction</w:t>
      </w:r>
    </w:p>
    <w:p w14:paraId="3D324100" w14:textId="5FAB4030" w:rsidR="00F92AE1" w:rsidRPr="003A0C5C" w:rsidRDefault="00535906" w:rsidP="0039366F">
      <w:pPr>
        <w:pStyle w:val="12spaceindentcontinue"/>
      </w:pPr>
      <w:r w:rsidRPr="003A0C5C">
        <w:t xml:space="preserve">Project construction could result in short-term impacts to water quality due to the handling, storage, and disposal of construction materials, maintenance and operation of construction equipment, and earthmoving activities. Potential pollutants associated with these activities could damage downstream waterbodies. Dischargers whose projects disturb </w:t>
      </w:r>
      <w:r w:rsidR="003226C5" w:rsidRPr="003A0C5C">
        <w:t>1</w:t>
      </w:r>
      <w:r w:rsidR="00C62EF0" w:rsidRPr="003A0C5C">
        <w:t> </w:t>
      </w:r>
      <w:r w:rsidR="00CD2E2E" w:rsidRPr="003A0C5C">
        <w:t>acre</w:t>
      </w:r>
      <w:r w:rsidRPr="003A0C5C">
        <w:t xml:space="preserve"> or more of soil or whose projects disturb less than </w:t>
      </w:r>
      <w:r w:rsidR="003226C5" w:rsidRPr="003A0C5C">
        <w:t>1</w:t>
      </w:r>
      <w:r w:rsidR="00C62EF0" w:rsidRPr="003A0C5C">
        <w:t> </w:t>
      </w:r>
      <w:r w:rsidRPr="003A0C5C">
        <w:t>acre but are part of a larger common plan of development tha</w:t>
      </w:r>
      <w:r w:rsidR="00CD2E2E" w:rsidRPr="003A0C5C">
        <w:t xml:space="preserve">t in total disturbs </w:t>
      </w:r>
      <w:r w:rsidR="003226C5" w:rsidRPr="003A0C5C">
        <w:t>1</w:t>
      </w:r>
      <w:r w:rsidR="00C62EF0" w:rsidRPr="003A0C5C">
        <w:t> </w:t>
      </w:r>
      <w:r w:rsidR="00CD2E2E" w:rsidRPr="003A0C5C">
        <w:t>acre or more</w:t>
      </w:r>
      <w:r w:rsidRPr="003A0C5C">
        <w:t>, are required to obtain coverage under the SWRCB</w:t>
      </w:r>
      <w:r w:rsidR="00D678AB" w:rsidRPr="003A0C5C">
        <w:t>’</w:t>
      </w:r>
      <w:r w:rsidRPr="003A0C5C">
        <w:t xml:space="preserve">s General Permit for Discharges of Stormwater Associated with Construction Activity Construction General Permit Order 2009- 0009-DWQ (General Construction Permit). The General Construction Permit requires the Applicant to prepare and implement </w:t>
      </w:r>
      <w:r w:rsidR="000B1C6B" w:rsidRPr="003A0C5C">
        <w:t xml:space="preserve">a </w:t>
      </w:r>
      <w:r w:rsidRPr="003A0C5C">
        <w:t xml:space="preserve">SWPPP. The SWPPP would specify BMPs to be used during construction of the </w:t>
      </w:r>
      <w:r w:rsidR="008052E9" w:rsidRPr="003A0C5C">
        <w:t xml:space="preserve">proposed </w:t>
      </w:r>
      <w:r w:rsidRPr="003A0C5C">
        <w:t xml:space="preserve">project to minimize or avoid water pollution, thereby reducing potential short-term impacts to water quality. Upon completion of the </w:t>
      </w:r>
      <w:r w:rsidR="00C57B26" w:rsidRPr="003A0C5C">
        <w:t xml:space="preserve">proposed </w:t>
      </w:r>
      <w:r w:rsidRPr="003A0C5C">
        <w:t xml:space="preserve">project, the Applicant would be required to submit a Notice of Termination to the SWRCB to indicate that construction has been completed. Further, project construction activities would be required to comply with the water quality BMPs set forth in </w:t>
      </w:r>
      <w:r w:rsidR="007367E7" w:rsidRPr="003A0C5C">
        <w:t>CMC</w:t>
      </w:r>
      <w:r w:rsidRPr="003A0C5C">
        <w:t xml:space="preserve"> </w:t>
      </w:r>
      <w:r w:rsidR="00443DD6" w:rsidRPr="003A0C5C">
        <w:t>Chapter </w:t>
      </w:r>
      <w:r w:rsidRPr="003A0C5C">
        <w:t>8, Storm Water and Urban Runoff Pollution Control. This chapter contains the City</w:t>
      </w:r>
      <w:r w:rsidR="00D678AB" w:rsidRPr="003A0C5C">
        <w:t>’</w:t>
      </w:r>
      <w:r w:rsidRPr="003A0C5C">
        <w:t>s Storm Water Management and Discharge Control Ordinance and includes conditions and requirements established to control urban pollutant runoff into the City</w:t>
      </w:r>
      <w:r w:rsidR="00D678AB" w:rsidRPr="003A0C5C">
        <w:t>’</w:t>
      </w:r>
      <w:r w:rsidRPr="003A0C5C">
        <w:t xml:space="preserve">s stormwater system. Compliance with the General Construction Permit requirements and </w:t>
      </w:r>
      <w:r w:rsidR="00CD2E2E" w:rsidRPr="003A0C5C">
        <w:t xml:space="preserve">CMC </w:t>
      </w:r>
      <w:r w:rsidR="00C62EF0" w:rsidRPr="003A0C5C">
        <w:t>C</w:t>
      </w:r>
      <w:r w:rsidR="00CD2E2E" w:rsidRPr="003A0C5C">
        <w:t>hapter </w:t>
      </w:r>
      <w:r w:rsidR="00B862F8" w:rsidRPr="003A0C5C">
        <w:t xml:space="preserve">8, Storm Water and Urban Runoff Pollution Control, </w:t>
      </w:r>
      <w:r w:rsidRPr="003A0C5C">
        <w:t xml:space="preserve">would reduce the </w:t>
      </w:r>
      <w:r w:rsidR="008052E9" w:rsidRPr="003A0C5C">
        <w:t xml:space="preserve">proposed </w:t>
      </w:r>
      <w:r w:rsidRPr="003A0C5C">
        <w:t>project</w:t>
      </w:r>
      <w:r w:rsidR="00D678AB" w:rsidRPr="003A0C5C">
        <w:t>’</w:t>
      </w:r>
      <w:r w:rsidRPr="003A0C5C">
        <w:t xml:space="preserve">s short-term impacts to </w:t>
      </w:r>
      <w:r w:rsidR="003830B6" w:rsidRPr="003A0C5C">
        <w:t xml:space="preserve">surface </w:t>
      </w:r>
      <w:r w:rsidRPr="003A0C5C">
        <w:t>water quality to less</w:t>
      </w:r>
      <w:r w:rsidR="00193A9D" w:rsidRPr="003A0C5C">
        <w:t>-</w:t>
      </w:r>
      <w:r w:rsidRPr="003A0C5C">
        <w:t>than</w:t>
      </w:r>
      <w:r w:rsidR="00193A9D" w:rsidRPr="003A0C5C">
        <w:t>-</w:t>
      </w:r>
      <w:r w:rsidRPr="003A0C5C">
        <w:t>significant levels.</w:t>
      </w:r>
    </w:p>
    <w:p w14:paraId="7DC2EA8F" w14:textId="2FEA3956" w:rsidR="003830B6" w:rsidRPr="003A0C5C" w:rsidRDefault="003830B6" w:rsidP="0039366F">
      <w:pPr>
        <w:pStyle w:val="12spaceindentcontinue"/>
      </w:pPr>
      <w:r w:rsidRPr="003A0C5C">
        <w:t>As it relates to groundwater quality, as noted above, there are known groundwater impacts at the project site. Concentrations of petroleum hydrocarbon in the groundwater,</w:t>
      </w:r>
      <w:r w:rsidR="00D753F5" w:rsidRPr="003A0C5C">
        <w:t xml:space="preserve"> as monitored</w:t>
      </w:r>
      <w:r w:rsidRPr="003A0C5C">
        <w:t xml:space="preserve"> in existing monitoring wells </w:t>
      </w:r>
      <w:r w:rsidR="00D753F5" w:rsidRPr="003A0C5C">
        <w:t xml:space="preserve">on the project site, </w:t>
      </w:r>
      <w:r w:rsidRPr="003A0C5C">
        <w:t>generally appeared to be stable or decreasing, with a few instances of fluctuation.</w:t>
      </w:r>
      <w:r w:rsidR="00D753F5" w:rsidRPr="003A0C5C">
        <w:t xml:space="preserve"> As groundwater was encountered at depths of 12.5 and 17.6 feet beneath the existing ground surface, the proposed excavation of a maximum of 6 feet would not impact the petroleum hydrocarbon-impacted groundwater. Therefore, the proposed project’s short-term impacts to groundwater quality would be less</w:t>
      </w:r>
      <w:r w:rsidR="00602FDF" w:rsidRPr="003A0C5C">
        <w:t xml:space="preserve"> </w:t>
      </w:r>
      <w:r w:rsidR="00D753F5" w:rsidRPr="003A0C5C">
        <w:t>than</w:t>
      </w:r>
      <w:r w:rsidR="00602FDF" w:rsidRPr="003A0C5C">
        <w:t xml:space="preserve"> </w:t>
      </w:r>
      <w:r w:rsidR="00D753F5" w:rsidRPr="003A0C5C">
        <w:t xml:space="preserve">significant. </w:t>
      </w:r>
    </w:p>
    <w:p w14:paraId="6B71E756" w14:textId="7EF94E00" w:rsidR="005C3417" w:rsidRPr="003A0C5C" w:rsidRDefault="005C3417" w:rsidP="00957C8B">
      <w:pPr>
        <w:pStyle w:val="Heading6"/>
        <w:ind w:left="720"/>
        <w:rPr>
          <w:bCs/>
        </w:rPr>
      </w:pPr>
      <w:r w:rsidRPr="003A0C5C">
        <w:rPr>
          <w:bCs/>
        </w:rPr>
        <w:t>Operation</w:t>
      </w:r>
    </w:p>
    <w:p w14:paraId="78F390A4" w14:textId="47CA4FEC" w:rsidR="00F92AE1" w:rsidRPr="003A0C5C" w:rsidRDefault="005C3417" w:rsidP="0039366F">
      <w:pPr>
        <w:pStyle w:val="12spaceindentcontinue"/>
      </w:pPr>
      <w:r w:rsidRPr="003A0C5C">
        <w:t xml:space="preserve">The primary constituents of concern during the operational phase </w:t>
      </w:r>
      <w:r w:rsidR="00322BDD" w:rsidRPr="003A0C5C">
        <w:t xml:space="preserve">of the </w:t>
      </w:r>
      <w:r w:rsidR="008052E9" w:rsidRPr="003A0C5C">
        <w:t xml:space="preserve">proposed </w:t>
      </w:r>
      <w:r w:rsidR="00322BDD" w:rsidRPr="003A0C5C">
        <w:t xml:space="preserve">project </w:t>
      </w:r>
      <w:r w:rsidRPr="003A0C5C">
        <w:t>would be solids, oils, and greases from parking areas, driveways, and truck loading bays that could be carried off</w:t>
      </w:r>
      <w:r w:rsidR="00832857" w:rsidRPr="003A0C5C">
        <w:t>-</w:t>
      </w:r>
      <w:r w:rsidRPr="003A0C5C">
        <w:t xml:space="preserve">site. Project design features would address the anticipated and expected pollutants of concern during the </w:t>
      </w:r>
      <w:r w:rsidR="008052E9" w:rsidRPr="003A0C5C">
        <w:t xml:space="preserve">proposed </w:t>
      </w:r>
      <w:r w:rsidRPr="003A0C5C">
        <w:t>project</w:t>
      </w:r>
      <w:r w:rsidR="00D678AB" w:rsidRPr="003A0C5C">
        <w:t>’</w:t>
      </w:r>
      <w:r w:rsidRPr="003A0C5C">
        <w:t xml:space="preserve">s operational phase. On-site landscaping, which </w:t>
      </w:r>
      <w:r w:rsidR="00A305AE" w:rsidRPr="003A0C5C">
        <w:t xml:space="preserve">would comprise </w:t>
      </w:r>
      <w:r w:rsidRPr="003A0C5C">
        <w:t xml:space="preserve">approximately </w:t>
      </w:r>
      <w:r w:rsidR="006B1732" w:rsidRPr="003A0C5C">
        <w:t>10.2</w:t>
      </w:r>
      <w:r w:rsidR="00CD2E2E" w:rsidRPr="003A0C5C">
        <w:t> percent</w:t>
      </w:r>
      <w:r w:rsidRPr="003A0C5C">
        <w:t xml:space="preserve"> of the total project site</w:t>
      </w:r>
      <w:r w:rsidR="00A305AE" w:rsidRPr="003A0C5C">
        <w:t xml:space="preserve"> after construction of the proposed project</w:t>
      </w:r>
      <w:r w:rsidRPr="003A0C5C">
        <w:t xml:space="preserve">, would </w:t>
      </w:r>
      <w:r w:rsidR="009F0EA0" w:rsidRPr="003A0C5C">
        <w:t>assist</w:t>
      </w:r>
      <w:r w:rsidRPr="003A0C5C">
        <w:t xml:space="preserve"> in minim</w:t>
      </w:r>
      <w:r w:rsidR="00DA2EF6" w:rsidRPr="003A0C5C">
        <w:t xml:space="preserve">izing the amount of </w:t>
      </w:r>
      <w:r w:rsidR="009F0EA0" w:rsidRPr="003A0C5C">
        <w:t>runoff</w:t>
      </w:r>
      <w:r w:rsidR="00DA2EF6" w:rsidRPr="003A0C5C">
        <w:t xml:space="preserve"> from the</w:t>
      </w:r>
      <w:r w:rsidR="000B225C" w:rsidRPr="003A0C5C">
        <w:t xml:space="preserve"> project</w:t>
      </w:r>
      <w:r w:rsidR="00DA2EF6" w:rsidRPr="003A0C5C">
        <w:t xml:space="preserve"> site by providing permeable areas for water infiltration and decreasing runoff volume. Infiltration through landscaped areas would also serve as a water treatment function. </w:t>
      </w:r>
    </w:p>
    <w:p w14:paraId="1185CAA6" w14:textId="3768EC73" w:rsidR="00A305AE" w:rsidRPr="003A0C5C" w:rsidRDefault="00DA2EF6" w:rsidP="0039366F">
      <w:pPr>
        <w:pStyle w:val="12spaceindentcontinue"/>
      </w:pPr>
      <w:r w:rsidRPr="003A0C5C">
        <w:lastRenderedPageBreak/>
        <w:t>Requirements for waste discharges potentially affecting stormwater from project operations are set forth in C</w:t>
      </w:r>
      <w:r w:rsidR="00CD2E2E" w:rsidRPr="003A0C5C">
        <w:t xml:space="preserve">MC </w:t>
      </w:r>
      <w:r w:rsidR="00001A2E" w:rsidRPr="003A0C5C">
        <w:t>C</w:t>
      </w:r>
      <w:r w:rsidRPr="003A0C5C">
        <w:t>hapter</w:t>
      </w:r>
      <w:r w:rsidR="00CD2E2E" w:rsidRPr="003A0C5C">
        <w:t> </w:t>
      </w:r>
      <w:r w:rsidRPr="003A0C5C">
        <w:t>8</w:t>
      </w:r>
      <w:r w:rsidR="00B862F8" w:rsidRPr="003A0C5C">
        <w:t>,</w:t>
      </w:r>
      <w:r w:rsidRPr="003A0C5C">
        <w:t xml:space="preserve"> Storm Water and Urban Runoff Pollution Control. Standard Urban Stormwater Mitigation Plan (SUSMP) requirements include minimizing stormwater pollutants and limiting peak post-project stormwater runoff rates to no greater than predevelopment rates where increased runoff could increase downstream erosion.</w:t>
      </w:r>
      <w:r w:rsidR="00A305AE" w:rsidRPr="003A0C5C">
        <w:t xml:space="preserve"> </w:t>
      </w:r>
    </w:p>
    <w:p w14:paraId="43CD85CD" w14:textId="00CA7E4D" w:rsidR="00F92AE1" w:rsidRPr="003A0C5C" w:rsidRDefault="00A305AE" w:rsidP="0039366F">
      <w:pPr>
        <w:pStyle w:val="12spaceindentcontinue"/>
      </w:pPr>
      <w:r w:rsidRPr="003A0C5C">
        <w:t xml:space="preserve">As described in the LID Plan, </w:t>
      </w:r>
      <w:r w:rsidR="002B2D25" w:rsidRPr="003A0C5C">
        <w:t xml:space="preserve">as </w:t>
      </w:r>
      <w:r w:rsidR="00443DD6" w:rsidRPr="003A0C5C">
        <w:t xml:space="preserve">provided in </w:t>
      </w:r>
      <w:r w:rsidR="00443DD6" w:rsidRPr="003A0C5C">
        <w:rPr>
          <w:b/>
          <w:bCs/>
        </w:rPr>
        <w:t>Appendix J</w:t>
      </w:r>
      <w:r w:rsidR="002B2D25" w:rsidRPr="003A0C5C">
        <w:t xml:space="preserve"> of this IS/MND</w:t>
      </w:r>
      <w:r w:rsidR="00443DD6" w:rsidRPr="003A0C5C">
        <w:t xml:space="preserve">, </w:t>
      </w:r>
      <w:r w:rsidRPr="003A0C5C">
        <w:t xml:space="preserve">the project site is relatively level with drainage consisting of surface flow. The project site drains towards the west to an existing </w:t>
      </w:r>
      <w:r w:rsidR="0041090F" w:rsidRPr="003A0C5C">
        <w:t>5-foot</w:t>
      </w:r>
      <w:r w:rsidRPr="003A0C5C">
        <w:t xml:space="preserve"> storm drain inlet that outlets directly to the Dominguez Channel. Under the proposed project, the project site would drain from east to west via gutters that wrap around the proposed buildings. The runoff generated would be treated by a 10</w:t>
      </w:r>
      <w:r w:rsidR="0041090F" w:rsidRPr="003A0C5C">
        <w:t>-</w:t>
      </w:r>
      <w:r w:rsidRPr="003A0C5C">
        <w:t>foot by 20</w:t>
      </w:r>
      <w:r w:rsidR="0041090F" w:rsidRPr="003A0C5C">
        <w:t>-</w:t>
      </w:r>
      <w:r w:rsidRPr="003A0C5C">
        <w:t>foot Modular Wetland System that would discharge via an 18-inch pipe to the existing 5</w:t>
      </w:r>
      <w:r w:rsidR="0041090F" w:rsidRPr="003A0C5C">
        <w:t>-</w:t>
      </w:r>
      <w:r w:rsidRPr="003A0C5C">
        <w:t>foot storm drain inlet, as under existing conditions. As such, surface water quality would not be degraded.</w:t>
      </w:r>
    </w:p>
    <w:p w14:paraId="2EA77658" w14:textId="56C40930" w:rsidR="00A305AE" w:rsidRPr="003A0C5C" w:rsidRDefault="00A305AE" w:rsidP="0039366F">
      <w:pPr>
        <w:pStyle w:val="12spaceindentcontinue"/>
      </w:pPr>
      <w:r w:rsidRPr="003A0C5C">
        <w:t xml:space="preserve">As noted above in Section IX, </w:t>
      </w:r>
      <w:r w:rsidRPr="003A0C5C">
        <w:rPr>
          <w:rStyle w:val="Italic"/>
        </w:rPr>
        <w:t>Hazards and Hazardous Materials</w:t>
      </w:r>
      <w:r w:rsidRPr="003A0C5C">
        <w:t xml:space="preserve">, there are known groundwater impacts at the </w:t>
      </w:r>
      <w:r w:rsidR="00137B17" w:rsidRPr="003A0C5C">
        <w:t>p</w:t>
      </w:r>
      <w:r w:rsidRPr="003A0C5C">
        <w:t xml:space="preserve">roject </w:t>
      </w:r>
      <w:r w:rsidR="00322BDD" w:rsidRPr="003A0C5C">
        <w:t>site</w:t>
      </w:r>
      <w:r w:rsidRPr="003A0C5C">
        <w:t xml:space="preserve">. There are 16 groundwater monitoring wells present at the project site that are used as part of the groundwater monitoring program. Primary groundwater contaminants of concern identified in these wells included total petroleum hydrocarbons in the gasoline range, benzene and </w:t>
      </w:r>
      <w:proofErr w:type="spellStart"/>
      <w:r w:rsidRPr="003A0C5C">
        <w:t>diisopropyl</w:t>
      </w:r>
      <w:proofErr w:type="spellEnd"/>
      <w:r w:rsidRPr="003A0C5C">
        <w:t xml:space="preserve"> ether. It was noted that concentrations in existing monitoring wells generally appeared to be stable or decreasing, with a few instances of fluctuation. </w:t>
      </w:r>
      <w:bookmarkStart w:id="77" w:name="_Hlk93050480"/>
      <w:r w:rsidR="000940B0" w:rsidRPr="003A0C5C">
        <w:t xml:space="preserve">Groundwater monitoring would continue during operation of the proposed project. </w:t>
      </w:r>
      <w:bookmarkEnd w:id="77"/>
    </w:p>
    <w:p w14:paraId="2321B181" w14:textId="1E89E8A6" w:rsidR="00F92AE1" w:rsidRPr="003A0C5C" w:rsidRDefault="00DA2EF6" w:rsidP="0039366F">
      <w:pPr>
        <w:pStyle w:val="12spaceindentcontinue"/>
      </w:pPr>
      <w:r w:rsidRPr="003A0C5C">
        <w:t xml:space="preserve">In general, projects control pollutants, pollutant loads, and runoff volume from the project site by minimizing the impervious surface area and controlling runoff through infiltration, bioretention, or rainfall harvest and use. </w:t>
      </w:r>
      <w:r w:rsidR="00B862F8" w:rsidRPr="003A0C5C">
        <w:t>Additionally, p</w:t>
      </w:r>
      <w:r w:rsidRPr="003A0C5C">
        <w:t xml:space="preserve">rojects </w:t>
      </w:r>
      <w:r w:rsidR="00B862F8" w:rsidRPr="003A0C5C">
        <w:t xml:space="preserve">are required to </w:t>
      </w:r>
      <w:r w:rsidRPr="003A0C5C">
        <w:t>incorporate BMPs</w:t>
      </w:r>
      <w:r w:rsidR="00527B10" w:rsidRPr="003A0C5C">
        <w:t xml:space="preserve"> as outlined in the SWPPP and</w:t>
      </w:r>
      <w:r w:rsidRPr="003A0C5C">
        <w:t xml:space="preserve"> in accordance with the requirements of the municipal NPDES permit. </w:t>
      </w:r>
      <w:r w:rsidR="00527B10" w:rsidRPr="003A0C5C">
        <w:t xml:space="preserve">Compliance with these water quality and water discharge standards would ensure that the </w:t>
      </w:r>
      <w:r w:rsidR="008052E9" w:rsidRPr="003A0C5C">
        <w:t xml:space="preserve">proposed </w:t>
      </w:r>
      <w:r w:rsidR="00527B10" w:rsidRPr="003A0C5C">
        <w:t>project would not</w:t>
      </w:r>
      <w:r w:rsidRPr="003A0C5C">
        <w:t xml:space="preserve"> </w:t>
      </w:r>
      <w:r w:rsidR="00527B10" w:rsidRPr="003A0C5C">
        <w:t xml:space="preserve">degrade surface or </w:t>
      </w:r>
      <w:r w:rsidR="006D3B1C" w:rsidRPr="003A0C5C">
        <w:t>ground</w:t>
      </w:r>
      <w:r w:rsidRPr="003A0C5C">
        <w:t xml:space="preserve"> water quality, and impacts would be less than significant.</w:t>
      </w:r>
    </w:p>
    <w:p w14:paraId="3F71A9B6" w14:textId="0AAA7BB4" w:rsidR="00F92AE1" w:rsidRPr="003A0C5C" w:rsidRDefault="004F426E" w:rsidP="00737FA5">
      <w:pPr>
        <w:pStyle w:val="12spaceindent"/>
      </w:pPr>
      <w:r w:rsidRPr="003A0C5C">
        <w:t>b)</w:t>
      </w:r>
      <w:r w:rsidRPr="003A0C5C">
        <w:tab/>
      </w:r>
      <w:r w:rsidR="006F427C" w:rsidRPr="003A0C5C">
        <w:t xml:space="preserve">The project site is located in an urbanized area of the City of Carson and is currently </w:t>
      </w:r>
      <w:r w:rsidR="008E60A2" w:rsidRPr="003A0C5C">
        <w:t xml:space="preserve">two </w:t>
      </w:r>
      <w:r w:rsidR="006F427C" w:rsidRPr="003A0C5C">
        <w:t xml:space="preserve">vacant undeveloped </w:t>
      </w:r>
      <w:r w:rsidR="005B5C42" w:rsidRPr="003A0C5C">
        <w:t>parcels</w:t>
      </w:r>
      <w:r w:rsidR="006F427C" w:rsidRPr="003A0C5C">
        <w:t xml:space="preserve">. </w:t>
      </w:r>
      <w:r w:rsidRPr="003A0C5C">
        <w:t xml:space="preserve">The project site </w:t>
      </w:r>
      <w:r w:rsidR="00141B0D" w:rsidRPr="003A0C5C">
        <w:t>consists</w:t>
      </w:r>
      <w:r w:rsidR="006D3B1C" w:rsidRPr="003A0C5C">
        <w:t xml:space="preserve"> of mostly pervious surfaces</w:t>
      </w:r>
      <w:r w:rsidRPr="003A0C5C">
        <w:t>.</w:t>
      </w:r>
      <w:r w:rsidR="00562233" w:rsidRPr="003A0C5C">
        <w:t xml:space="preserve"> As described in the </w:t>
      </w:r>
      <w:r w:rsidR="0065640E" w:rsidRPr="003A0C5C">
        <w:t>Utilities Memorandum</w:t>
      </w:r>
      <w:r w:rsidR="00562233" w:rsidRPr="003A0C5C">
        <w:t xml:space="preserve">, </w:t>
      </w:r>
      <w:r w:rsidR="002B2D25" w:rsidRPr="003A0C5C">
        <w:t xml:space="preserve">as provided in </w:t>
      </w:r>
      <w:r w:rsidR="002B2D25" w:rsidRPr="003A0C5C">
        <w:rPr>
          <w:b/>
          <w:bCs/>
        </w:rPr>
        <w:t>Appendix I</w:t>
      </w:r>
      <w:r w:rsidR="002B2D25" w:rsidRPr="003A0C5C">
        <w:t xml:space="preserve"> of this IS/MND, </w:t>
      </w:r>
      <w:r w:rsidR="00562233" w:rsidRPr="003A0C5C">
        <w:t xml:space="preserve">the project site is approximately </w:t>
      </w:r>
      <w:r w:rsidR="002B2D25" w:rsidRPr="003A0C5C">
        <w:t>3.5</w:t>
      </w:r>
      <w:r w:rsidR="00941848" w:rsidRPr="003A0C5C">
        <w:t xml:space="preserve"> percent</w:t>
      </w:r>
      <w:r w:rsidR="00562233" w:rsidRPr="003A0C5C">
        <w:t xml:space="preserve"> impervious. With development of the proposed project, as analyzed in the </w:t>
      </w:r>
      <w:r w:rsidR="000C3112" w:rsidRPr="003A0C5C">
        <w:t>Utilities Memorandum</w:t>
      </w:r>
      <w:r w:rsidR="00562233" w:rsidRPr="003A0C5C">
        <w:t xml:space="preserve">, the project site would be </w:t>
      </w:r>
      <w:r w:rsidR="006B1732" w:rsidRPr="003A0C5C">
        <w:t>89.8</w:t>
      </w:r>
      <w:r w:rsidR="00562233" w:rsidRPr="003A0C5C">
        <w:t xml:space="preserve"> </w:t>
      </w:r>
      <w:r w:rsidR="00941848" w:rsidRPr="003A0C5C">
        <w:t xml:space="preserve">percent </w:t>
      </w:r>
      <w:r w:rsidR="00562233" w:rsidRPr="003A0C5C">
        <w:t xml:space="preserve">impervious. </w:t>
      </w:r>
      <w:r w:rsidR="00307A08" w:rsidRPr="003A0C5C">
        <w:t xml:space="preserve">However, while under the proposed condition impervious surfaces would increase, the project site is not located near groundwater recharge wells and no groundwater recharge facilities exist downstream of the project site. </w:t>
      </w:r>
    </w:p>
    <w:p w14:paraId="0157DA18" w14:textId="608965A2" w:rsidR="004F426E" w:rsidRPr="003A0C5C" w:rsidRDefault="0039366F" w:rsidP="0039366F">
      <w:pPr>
        <w:pStyle w:val="12spaceindentcontinue"/>
        <w:rPr>
          <w:highlight w:val="yellow"/>
        </w:rPr>
      </w:pPr>
      <w:r w:rsidRPr="003A0C5C">
        <w:t>In addition</w:t>
      </w:r>
      <w:r w:rsidR="004F426E" w:rsidRPr="003A0C5C">
        <w:t xml:space="preserve">, </w:t>
      </w:r>
      <w:r w:rsidR="00C93036" w:rsidRPr="003A0C5C">
        <w:t>no new sources of water supply, such as groundwater, are required to meet the proposed project</w:t>
      </w:r>
      <w:r w:rsidR="00D678AB" w:rsidRPr="003A0C5C">
        <w:t>’</w:t>
      </w:r>
      <w:r w:rsidR="00C93036" w:rsidRPr="003A0C5C">
        <w:t xml:space="preserve">s water demand. Potable water would be supplied by the </w:t>
      </w:r>
      <w:r w:rsidR="00D76A01" w:rsidRPr="003A0C5C">
        <w:t xml:space="preserve">California Water Service (Cal Water) </w:t>
      </w:r>
      <w:r w:rsidR="00C93036" w:rsidRPr="003A0C5C">
        <w:t xml:space="preserve">Dominguez District. Based on the </w:t>
      </w:r>
      <w:r w:rsidR="00307A08" w:rsidRPr="003A0C5C">
        <w:t xml:space="preserve">2020 </w:t>
      </w:r>
      <w:r w:rsidR="00C93036" w:rsidRPr="003A0C5C">
        <w:t xml:space="preserve">Urban Water Management </w:t>
      </w:r>
      <w:r w:rsidR="00C93036" w:rsidRPr="003A0C5C">
        <w:lastRenderedPageBreak/>
        <w:t xml:space="preserve">Plan (UWMP), the </w:t>
      </w:r>
      <w:r w:rsidR="00D76A01" w:rsidRPr="003A0C5C">
        <w:t xml:space="preserve">Cal Water </w:t>
      </w:r>
      <w:r w:rsidR="00C93036" w:rsidRPr="003A0C5C">
        <w:t>Dominguez District receives its water from 17</w:t>
      </w:r>
      <w:r w:rsidR="00CD2E2E" w:rsidRPr="003A0C5C">
        <w:t> percent</w:t>
      </w:r>
      <w:r w:rsidR="00C93036" w:rsidRPr="003A0C5C">
        <w:t xml:space="preserve"> groundwater, 15</w:t>
      </w:r>
      <w:r w:rsidR="00CD2E2E" w:rsidRPr="003A0C5C">
        <w:t> percent</w:t>
      </w:r>
      <w:r w:rsidR="00C93036" w:rsidRPr="003A0C5C">
        <w:t xml:space="preserve"> recycled water, and 68</w:t>
      </w:r>
      <w:r w:rsidR="00CD2E2E" w:rsidRPr="003A0C5C">
        <w:t> percent</w:t>
      </w:r>
      <w:r w:rsidR="00C93036" w:rsidRPr="003A0C5C">
        <w:t xml:space="preserve"> purchased water</w:t>
      </w:r>
      <w:r w:rsidR="00257DDE" w:rsidRPr="003A0C5C">
        <w:t xml:space="preserve"> (</w:t>
      </w:r>
      <w:r w:rsidR="00257DDE" w:rsidRPr="003A0C5C">
        <w:rPr>
          <w:rFonts w:eastAsia="Times New Roman" w:cs="Times New Roman"/>
          <w:szCs w:val="22"/>
        </w:rPr>
        <w:t>California Water Service 2020)</w:t>
      </w:r>
      <w:r w:rsidR="00C93036" w:rsidRPr="003A0C5C">
        <w:t xml:space="preserve">. The </w:t>
      </w:r>
      <w:r w:rsidR="00562233" w:rsidRPr="003A0C5C">
        <w:t xml:space="preserve">proposed </w:t>
      </w:r>
      <w:r w:rsidR="00C93036" w:rsidRPr="003A0C5C">
        <w:t>project uses would not result in a substantial increase in demand</w:t>
      </w:r>
      <w:r w:rsidR="00562233" w:rsidRPr="003A0C5C">
        <w:t xml:space="preserve"> </w:t>
      </w:r>
      <w:r w:rsidRPr="003A0C5C">
        <w:t>as</w:t>
      </w:r>
      <w:r w:rsidR="00562233" w:rsidRPr="003A0C5C">
        <w:t xml:space="preserve"> the self-storage units would not generate a demand for </w:t>
      </w:r>
      <w:r w:rsidRPr="003A0C5C">
        <w:t>water and the proposed office and retail uses would generate minimal water use. Therefore</w:t>
      </w:r>
      <w:r w:rsidR="00C93036" w:rsidRPr="003A0C5C">
        <w:t xml:space="preserve">, </w:t>
      </w:r>
      <w:r w:rsidR="00316CBC" w:rsidRPr="003A0C5C">
        <w:t xml:space="preserve">implementation of the proposed project </w:t>
      </w:r>
      <w:r w:rsidR="00C93036" w:rsidRPr="003A0C5C">
        <w:t xml:space="preserve">would not significantly affect groundwater supplies. </w:t>
      </w:r>
      <w:r w:rsidRPr="003A0C5C">
        <w:t>Furthermore</w:t>
      </w:r>
      <w:r w:rsidR="004F426E" w:rsidRPr="003A0C5C">
        <w:t xml:space="preserve">, </w:t>
      </w:r>
      <w:r w:rsidRPr="003A0C5C">
        <w:t xml:space="preserve">as noted above, </w:t>
      </w:r>
      <w:r w:rsidR="00532F40" w:rsidRPr="003A0C5C">
        <w:t>the project site is not located near groundwater recharge wells and no groundwater recharge facilities exist downstream of the project site</w:t>
      </w:r>
      <w:r w:rsidR="00C93036" w:rsidRPr="003A0C5C">
        <w:t xml:space="preserve">. </w:t>
      </w:r>
      <w:r w:rsidR="004F426E" w:rsidRPr="003A0C5C">
        <w:t xml:space="preserve">Therefore, </w:t>
      </w:r>
      <w:r w:rsidR="006D3B1C" w:rsidRPr="003A0C5C">
        <w:t xml:space="preserve">the </w:t>
      </w:r>
      <w:r w:rsidR="00137B17" w:rsidRPr="003A0C5C">
        <w:t xml:space="preserve">proposed </w:t>
      </w:r>
      <w:r w:rsidR="006D3B1C" w:rsidRPr="003A0C5C">
        <w:t xml:space="preserve">project would not substantially deplete groundwater </w:t>
      </w:r>
      <w:r w:rsidR="00797202" w:rsidRPr="003A0C5C">
        <w:t xml:space="preserve">supplies </w:t>
      </w:r>
      <w:r w:rsidR="006D3B1C" w:rsidRPr="003A0C5C">
        <w:t>or interfere with groundwater recharge</w:t>
      </w:r>
      <w:r w:rsidR="00C93036" w:rsidRPr="003A0C5C">
        <w:t xml:space="preserve"> </w:t>
      </w:r>
      <w:r w:rsidR="00797202" w:rsidRPr="003A0C5C">
        <w:t>that may impede sustainable groundwater management of the basin</w:t>
      </w:r>
      <w:r w:rsidR="006D3B1C" w:rsidRPr="003A0C5C">
        <w:t xml:space="preserve"> and, thus, impacts would be less than significant</w:t>
      </w:r>
      <w:r w:rsidR="004F426E" w:rsidRPr="003A0C5C">
        <w:t>.</w:t>
      </w:r>
    </w:p>
    <w:p w14:paraId="3E4D5D95" w14:textId="211BBE59" w:rsidR="00F92AE1" w:rsidRPr="003A0C5C" w:rsidRDefault="004F426E" w:rsidP="0039366F">
      <w:pPr>
        <w:pStyle w:val="12spaceindent"/>
      </w:pPr>
      <w:proofErr w:type="spellStart"/>
      <w:r w:rsidRPr="003A0C5C">
        <w:t>c.i</w:t>
      </w:r>
      <w:proofErr w:type="spellEnd"/>
      <w:r w:rsidRPr="003A0C5C">
        <w:t>)</w:t>
      </w:r>
      <w:r w:rsidRPr="003A0C5C">
        <w:tab/>
      </w:r>
      <w:r w:rsidR="0039366F" w:rsidRPr="003A0C5C">
        <w:t xml:space="preserve">While no </w:t>
      </w:r>
      <w:r w:rsidR="00F96F70" w:rsidRPr="003A0C5C">
        <w:t>streams, rivers</w:t>
      </w:r>
      <w:r w:rsidR="0062248F" w:rsidRPr="003A0C5C">
        <w:t>,</w:t>
      </w:r>
      <w:r w:rsidR="00F96F70" w:rsidRPr="003A0C5C">
        <w:t xml:space="preserve"> or natural drainages occur on the project site</w:t>
      </w:r>
      <w:r w:rsidR="0039366F" w:rsidRPr="003A0C5C">
        <w:t>, the Dominguez Channel</w:t>
      </w:r>
      <w:r w:rsidR="003F7221" w:rsidRPr="003A0C5C">
        <w:t xml:space="preserve"> is located to the west of the project site</w:t>
      </w:r>
      <w:r w:rsidR="00094CEB" w:rsidRPr="003A0C5C">
        <w:t>;</w:t>
      </w:r>
      <w:r w:rsidR="003F7221" w:rsidRPr="003A0C5C">
        <w:t xml:space="preserve"> </w:t>
      </w:r>
      <w:r w:rsidR="00887AD6" w:rsidRPr="003A0C5C">
        <w:t>a</w:t>
      </w:r>
      <w:r w:rsidR="003F7221" w:rsidRPr="003A0C5C">
        <w:t xml:space="preserve"> flood control easement separates the Dominguez Channel from the project site</w:t>
      </w:r>
      <w:r w:rsidR="00F96F70" w:rsidRPr="003A0C5C">
        <w:t xml:space="preserve">. </w:t>
      </w:r>
      <w:r w:rsidRPr="003A0C5C">
        <w:t>The project site is located in a</w:t>
      </w:r>
      <w:r w:rsidR="00F96F70" w:rsidRPr="003A0C5C">
        <w:t>n</w:t>
      </w:r>
      <w:r w:rsidRPr="003A0C5C">
        <w:t xml:space="preserve"> urban area a</w:t>
      </w:r>
      <w:r w:rsidR="009F0EA0" w:rsidRPr="003A0C5C">
        <w:t xml:space="preserve">nd is currently </w:t>
      </w:r>
      <w:r w:rsidR="008E60A2" w:rsidRPr="003A0C5C">
        <w:t xml:space="preserve">two </w:t>
      </w:r>
      <w:r w:rsidR="00941848" w:rsidRPr="003A0C5C">
        <w:t xml:space="preserve">vacant undeveloped </w:t>
      </w:r>
      <w:r w:rsidR="005B5C42" w:rsidRPr="003A0C5C">
        <w:t>parcels</w:t>
      </w:r>
      <w:r w:rsidR="003C3501" w:rsidRPr="003A0C5C">
        <w:t>.</w:t>
      </w:r>
      <w:r w:rsidRPr="003A0C5C">
        <w:t xml:space="preserve"> </w:t>
      </w:r>
      <w:r w:rsidR="003C3501" w:rsidRPr="003A0C5C">
        <w:t>Existing</w:t>
      </w:r>
      <w:r w:rsidR="00941848" w:rsidRPr="003A0C5C">
        <w:t xml:space="preserve"> surface </w:t>
      </w:r>
      <w:r w:rsidRPr="003A0C5C">
        <w:t xml:space="preserve">runoff from the project site is currently directed to </w:t>
      </w:r>
      <w:r w:rsidR="00941848" w:rsidRPr="003A0C5C">
        <w:t xml:space="preserve">an existing </w:t>
      </w:r>
      <w:r w:rsidR="00EF711A" w:rsidRPr="003A0C5C">
        <w:t>5-foot</w:t>
      </w:r>
      <w:r w:rsidR="00941848" w:rsidRPr="003A0C5C">
        <w:t xml:space="preserve"> storm drain inlet that outlets directly to the Dominguez Channel. Under the proposed project, the project site would drain from east to west via gutters that wrap around the proposed buildings. The runoff generated would be treated by a 10</w:t>
      </w:r>
      <w:r w:rsidR="00602FDF" w:rsidRPr="003A0C5C">
        <w:t>-</w:t>
      </w:r>
      <w:r w:rsidR="00941848" w:rsidRPr="003A0C5C">
        <w:t xml:space="preserve">foot by </w:t>
      </w:r>
      <w:r w:rsidR="00EF711A" w:rsidRPr="003A0C5C">
        <w:t>20-foot</w:t>
      </w:r>
      <w:r w:rsidR="00941848" w:rsidRPr="003A0C5C">
        <w:t xml:space="preserve"> Modular Wetland System that would discharge via an 18-inch pipe to the existing </w:t>
      </w:r>
      <w:r w:rsidR="00F47C7B" w:rsidRPr="003A0C5C">
        <w:t>5-foot</w:t>
      </w:r>
      <w:r w:rsidR="00941848" w:rsidRPr="003A0C5C">
        <w:t xml:space="preserve"> storm drain inlet, as under existing conditions. </w:t>
      </w:r>
      <w:r w:rsidR="006E274F" w:rsidRPr="003A0C5C">
        <w:t>As described above, impervious surfaces</w:t>
      </w:r>
      <w:r w:rsidR="00941848" w:rsidRPr="003A0C5C">
        <w:t xml:space="preserve"> would </w:t>
      </w:r>
      <w:r w:rsidR="00094CEB" w:rsidRPr="003A0C5C">
        <w:t xml:space="preserve">increase </w:t>
      </w:r>
      <w:r w:rsidR="00941848" w:rsidRPr="003A0C5C">
        <w:t xml:space="preserve">from approximately </w:t>
      </w:r>
      <w:r w:rsidR="00094CEB" w:rsidRPr="003A0C5C">
        <w:t>3.5</w:t>
      </w:r>
      <w:r w:rsidR="00941848" w:rsidRPr="003A0C5C">
        <w:t xml:space="preserve"> percent impervious to </w:t>
      </w:r>
      <w:r w:rsidR="006B1732" w:rsidRPr="003A0C5C">
        <w:t>89.8</w:t>
      </w:r>
      <w:r w:rsidR="00941848" w:rsidRPr="003A0C5C">
        <w:t xml:space="preserve"> percent impervious in the proposed condition.</w:t>
      </w:r>
      <w:r w:rsidR="006E274F" w:rsidRPr="003A0C5C">
        <w:t xml:space="preserve"> </w:t>
      </w:r>
      <w:r w:rsidR="002A6570" w:rsidRPr="003A0C5C">
        <w:t>As</w:t>
      </w:r>
      <w:r w:rsidR="007B7CF6" w:rsidRPr="003A0C5C">
        <w:t xml:space="preserve"> discussed above, </w:t>
      </w:r>
      <w:r w:rsidR="00B2644B" w:rsidRPr="003A0C5C">
        <w:t>during construction</w:t>
      </w:r>
      <w:r w:rsidR="003C3501" w:rsidRPr="003A0C5C">
        <w:t>,</w:t>
      </w:r>
      <w:r w:rsidR="00B2644B" w:rsidRPr="003A0C5C">
        <w:t xml:space="preserve"> </w:t>
      </w:r>
      <w:r w:rsidR="007B7CF6" w:rsidRPr="003A0C5C">
        <w:t>the</w:t>
      </w:r>
      <w:r w:rsidR="00E46E7D" w:rsidRPr="003A0C5C">
        <w:t xml:space="preserve"> proposed</w:t>
      </w:r>
      <w:r w:rsidR="007B7CF6" w:rsidRPr="003A0C5C">
        <w:t xml:space="preserve"> project would</w:t>
      </w:r>
      <w:r w:rsidR="00316CBC" w:rsidRPr="003A0C5C">
        <w:t xml:space="preserve"> </w:t>
      </w:r>
      <w:r w:rsidR="000669A8" w:rsidRPr="003A0C5C">
        <w:t>be required to comply with BMP</w:t>
      </w:r>
      <w:r w:rsidR="00D678AB" w:rsidRPr="003A0C5C">
        <w:t>’</w:t>
      </w:r>
      <w:r w:rsidR="000669A8" w:rsidRPr="003A0C5C">
        <w:t>s</w:t>
      </w:r>
      <w:r w:rsidR="007B7CF6" w:rsidRPr="003A0C5C">
        <w:t xml:space="preserve"> identified in the </w:t>
      </w:r>
      <w:r w:rsidR="000669A8" w:rsidRPr="003A0C5C">
        <w:t xml:space="preserve">RWQCB issued </w:t>
      </w:r>
      <w:r w:rsidR="007B7CF6" w:rsidRPr="003A0C5C">
        <w:t>SWPPP, which would reduce the potential for erosion or siltation to occur.</w:t>
      </w:r>
      <w:r w:rsidR="00316CBC" w:rsidRPr="003A0C5C">
        <w:t xml:space="preserve"> During project operation, the project site would be fully developed </w:t>
      </w:r>
      <w:r w:rsidR="00E46E7D" w:rsidRPr="003A0C5C">
        <w:t xml:space="preserve">with buildings and landscaping </w:t>
      </w:r>
      <w:r w:rsidR="00316CBC" w:rsidRPr="003A0C5C">
        <w:t>and would not contain exposed soils.</w:t>
      </w:r>
      <w:r w:rsidR="00470C54" w:rsidRPr="003A0C5C">
        <w:t xml:space="preserve"> </w:t>
      </w:r>
      <w:r w:rsidR="00316CBC" w:rsidRPr="003A0C5C">
        <w:t>Therefore</w:t>
      </w:r>
      <w:r w:rsidR="0093158F" w:rsidRPr="003A0C5C">
        <w:t>,</w:t>
      </w:r>
      <w:r w:rsidR="00316CBC" w:rsidRPr="003A0C5C">
        <w:t xml:space="preserve"> compliance with BMPs would ensure that</w:t>
      </w:r>
      <w:r w:rsidR="0093158F" w:rsidRPr="003A0C5C">
        <w:t xml:space="preserve"> the </w:t>
      </w:r>
      <w:r w:rsidR="00137B17" w:rsidRPr="003A0C5C">
        <w:t xml:space="preserve">proposed </w:t>
      </w:r>
      <w:r w:rsidR="0093158F" w:rsidRPr="003A0C5C">
        <w:t>project would not substantially alter the drainage pattern of the project site in a manner that would result in the substantial erosion or siltation on- or off-site and impacts</w:t>
      </w:r>
      <w:r w:rsidR="007B7CF6" w:rsidRPr="003A0C5C">
        <w:t xml:space="preserve"> would be less than significant.</w:t>
      </w:r>
    </w:p>
    <w:p w14:paraId="19900AF8" w14:textId="0D33B08E" w:rsidR="00F92AE1" w:rsidRPr="003A0C5C" w:rsidRDefault="004F426E" w:rsidP="001A51C4">
      <w:pPr>
        <w:pStyle w:val="12spaceindent"/>
      </w:pPr>
      <w:proofErr w:type="spellStart"/>
      <w:r w:rsidRPr="003A0C5C">
        <w:t>c.ii</w:t>
      </w:r>
      <w:proofErr w:type="spellEnd"/>
      <w:r w:rsidRPr="003A0C5C">
        <w:t>)</w:t>
      </w:r>
      <w:r w:rsidRPr="003A0C5C">
        <w:tab/>
      </w:r>
      <w:r w:rsidR="00E46E7D" w:rsidRPr="003A0C5C">
        <w:t xml:space="preserve">While no </w:t>
      </w:r>
      <w:r w:rsidRPr="003A0C5C">
        <w:t>streams</w:t>
      </w:r>
      <w:r w:rsidR="0062248F" w:rsidRPr="003A0C5C">
        <w:t>,</w:t>
      </w:r>
      <w:r w:rsidRPr="003A0C5C">
        <w:t xml:space="preserve"> rivers</w:t>
      </w:r>
      <w:r w:rsidR="0062248F" w:rsidRPr="003A0C5C">
        <w:t>,</w:t>
      </w:r>
      <w:r w:rsidR="00470C54" w:rsidRPr="003A0C5C">
        <w:t xml:space="preserve"> </w:t>
      </w:r>
      <w:r w:rsidR="00887AD6" w:rsidRPr="003A0C5C">
        <w:t xml:space="preserve">or natural drainages </w:t>
      </w:r>
      <w:r w:rsidRPr="003A0C5C">
        <w:t>occur on the project site</w:t>
      </w:r>
      <w:r w:rsidR="00E46E7D" w:rsidRPr="003A0C5C">
        <w:t>, the Dominguez Channel is located to the west of the project site</w:t>
      </w:r>
      <w:r w:rsidRPr="003A0C5C">
        <w:t>. The project site is located in a</w:t>
      </w:r>
      <w:r w:rsidR="0062248F" w:rsidRPr="003A0C5C">
        <w:t>n</w:t>
      </w:r>
      <w:r w:rsidRPr="003A0C5C">
        <w:t xml:space="preserve"> urban area a</w:t>
      </w:r>
      <w:r w:rsidR="009F0EA0" w:rsidRPr="003A0C5C">
        <w:t xml:space="preserve">nd is currently </w:t>
      </w:r>
      <w:r w:rsidR="008E60A2" w:rsidRPr="003A0C5C">
        <w:t xml:space="preserve">two </w:t>
      </w:r>
      <w:r w:rsidR="00E46E7D" w:rsidRPr="003A0C5C">
        <w:t xml:space="preserve">vacant undeveloped </w:t>
      </w:r>
      <w:r w:rsidR="005B5C42" w:rsidRPr="003A0C5C">
        <w:t>parcels</w:t>
      </w:r>
      <w:r w:rsidR="00674A55" w:rsidRPr="003A0C5C">
        <w:t>.</w:t>
      </w:r>
      <w:r w:rsidRPr="003A0C5C">
        <w:t xml:space="preserve"> </w:t>
      </w:r>
      <w:r w:rsidR="00887AD6" w:rsidRPr="003A0C5C">
        <w:t xml:space="preserve">As described above, surface </w:t>
      </w:r>
      <w:r w:rsidRPr="003A0C5C">
        <w:t xml:space="preserve">runoff is currently directed to </w:t>
      </w:r>
      <w:r w:rsidR="001A51C4" w:rsidRPr="003A0C5C">
        <w:t xml:space="preserve">an existing </w:t>
      </w:r>
      <w:r w:rsidR="00EF711A" w:rsidRPr="003A0C5C">
        <w:t>5-foot</w:t>
      </w:r>
      <w:r w:rsidR="001A51C4" w:rsidRPr="003A0C5C">
        <w:t xml:space="preserve"> storm drain inlet that outlets directly to the Dominguez Channel. Under the proposed project, the project site would drain from east to west via gutters that wrap around the proposed buildings. The runoff generated would be treated by a 10 foot by </w:t>
      </w:r>
      <w:r w:rsidR="00EF711A" w:rsidRPr="003A0C5C">
        <w:t>20-foot</w:t>
      </w:r>
      <w:r w:rsidR="001A51C4" w:rsidRPr="003A0C5C">
        <w:t xml:space="preserve"> Modular Wetland System that would discharge via an 18</w:t>
      </w:r>
      <w:r w:rsidR="00B308F8" w:rsidRPr="003A0C5C">
        <w:noBreakHyphen/>
      </w:r>
      <w:r w:rsidR="001A51C4" w:rsidRPr="003A0C5C">
        <w:t xml:space="preserve">inch pipe to the existing </w:t>
      </w:r>
      <w:r w:rsidR="00F47C7B" w:rsidRPr="003A0C5C">
        <w:t>5-foot</w:t>
      </w:r>
      <w:r w:rsidR="001A51C4" w:rsidRPr="003A0C5C">
        <w:t xml:space="preserve"> storm drain inlet, as under existing conditions. As described above, impervious surfaces would </w:t>
      </w:r>
      <w:r w:rsidR="003C3501" w:rsidRPr="003A0C5C">
        <w:t xml:space="preserve">increase </w:t>
      </w:r>
      <w:r w:rsidR="001A51C4" w:rsidRPr="003A0C5C">
        <w:t xml:space="preserve">from approximately </w:t>
      </w:r>
      <w:r w:rsidR="003C3501" w:rsidRPr="003A0C5C">
        <w:t>3.5</w:t>
      </w:r>
      <w:r w:rsidR="001A51C4" w:rsidRPr="003A0C5C">
        <w:t xml:space="preserve"> percent impervious to </w:t>
      </w:r>
      <w:r w:rsidR="006B1732" w:rsidRPr="003A0C5C">
        <w:t>89.8</w:t>
      </w:r>
      <w:r w:rsidR="001A51C4" w:rsidRPr="003A0C5C">
        <w:t xml:space="preserve"> percent impervious in the proposed condition. </w:t>
      </w:r>
      <w:r w:rsidR="00524641" w:rsidRPr="003A0C5C">
        <w:t xml:space="preserve">As further analyzed in the drainage report, under the proposed project, peak flowrates would </w:t>
      </w:r>
      <w:r w:rsidR="00595A27" w:rsidRPr="003A0C5C">
        <w:t xml:space="preserve">increase </w:t>
      </w:r>
      <w:r w:rsidR="00524641" w:rsidRPr="003A0C5C">
        <w:t>from</w:t>
      </w:r>
      <w:r w:rsidR="008E60A2" w:rsidRPr="003A0C5C">
        <w:t xml:space="preserve"> </w:t>
      </w:r>
      <w:r w:rsidR="00595A27" w:rsidRPr="003A0C5C">
        <w:t>3.12</w:t>
      </w:r>
      <w:r w:rsidR="00B308F8" w:rsidRPr="003A0C5C">
        <w:t> </w:t>
      </w:r>
      <w:r w:rsidR="00524641" w:rsidRPr="003A0C5C">
        <w:t>cubic feet per second (</w:t>
      </w:r>
      <w:proofErr w:type="spellStart"/>
      <w:r w:rsidR="00524641" w:rsidRPr="003A0C5C">
        <w:t>cfs</w:t>
      </w:r>
      <w:proofErr w:type="spellEnd"/>
      <w:r w:rsidR="00524641" w:rsidRPr="003A0C5C">
        <w:t xml:space="preserve">) to 6.74 </w:t>
      </w:r>
      <w:proofErr w:type="spellStart"/>
      <w:r w:rsidR="00524641" w:rsidRPr="003A0C5C">
        <w:t>cfs</w:t>
      </w:r>
      <w:proofErr w:type="spellEnd"/>
      <w:r w:rsidR="00524641" w:rsidRPr="003A0C5C">
        <w:t xml:space="preserve">. </w:t>
      </w:r>
      <w:r w:rsidR="000F7C07" w:rsidRPr="003A0C5C">
        <w:t xml:space="preserve">As detailed in the Utilities Memorandum, all proposed on-site conveyances for the proposed project were designed to safely convey the </w:t>
      </w:r>
      <w:r w:rsidR="000F7C07" w:rsidRPr="003A0C5C">
        <w:lastRenderedPageBreak/>
        <w:t>flowrates generated by a 100-year storm and flooding on</w:t>
      </w:r>
      <w:r w:rsidR="00FD5F91" w:rsidRPr="003A0C5C">
        <w:t>-</w:t>
      </w:r>
      <w:r w:rsidR="000F7C07" w:rsidRPr="003A0C5C">
        <w:t>site is not anticipated</w:t>
      </w:r>
      <w:r w:rsidR="007B7CF6" w:rsidRPr="003A0C5C">
        <w:t>. Therefore, a less</w:t>
      </w:r>
      <w:r w:rsidR="0024520C" w:rsidRPr="003A0C5C">
        <w:t>-</w:t>
      </w:r>
      <w:r w:rsidR="007B7CF6" w:rsidRPr="003A0C5C">
        <w:t>than</w:t>
      </w:r>
      <w:r w:rsidR="0024520C" w:rsidRPr="003A0C5C">
        <w:t>-</w:t>
      </w:r>
      <w:r w:rsidR="007B7CF6" w:rsidRPr="003A0C5C">
        <w:t>significant impact resulting from flooding would occur.</w:t>
      </w:r>
    </w:p>
    <w:p w14:paraId="441D237A" w14:textId="56BBC72B" w:rsidR="00F92AE1" w:rsidRPr="003A0C5C" w:rsidRDefault="004F426E" w:rsidP="00286A93">
      <w:pPr>
        <w:pStyle w:val="12spaceindent"/>
      </w:pPr>
      <w:proofErr w:type="spellStart"/>
      <w:r w:rsidRPr="003A0C5C">
        <w:t>c.iii</w:t>
      </w:r>
      <w:proofErr w:type="spellEnd"/>
      <w:r w:rsidRPr="003A0C5C">
        <w:t>)</w:t>
      </w:r>
      <w:r w:rsidRPr="003A0C5C">
        <w:tab/>
      </w:r>
      <w:r w:rsidR="00CD3F27" w:rsidRPr="003A0C5C">
        <w:t xml:space="preserve">The project site is located in an urban area and is currently </w:t>
      </w:r>
      <w:r w:rsidR="008E60A2" w:rsidRPr="003A0C5C">
        <w:t xml:space="preserve">two </w:t>
      </w:r>
      <w:r w:rsidR="003B3D66" w:rsidRPr="003A0C5C">
        <w:t xml:space="preserve">vacant undeveloped </w:t>
      </w:r>
      <w:r w:rsidR="005B5C42" w:rsidRPr="003A0C5C">
        <w:t>parcels.</w:t>
      </w:r>
      <w:r w:rsidR="00CD3F27" w:rsidRPr="003A0C5C">
        <w:t xml:space="preserve"> </w:t>
      </w:r>
      <w:r w:rsidR="003B3D66" w:rsidRPr="003A0C5C">
        <w:t xml:space="preserve">As described above, surface </w:t>
      </w:r>
      <w:r w:rsidRPr="003A0C5C">
        <w:t xml:space="preserve">runoff is currently directed to </w:t>
      </w:r>
      <w:r w:rsidR="003B3D66" w:rsidRPr="003A0C5C">
        <w:t xml:space="preserve">an existing </w:t>
      </w:r>
      <w:r w:rsidR="00EF711A" w:rsidRPr="003A0C5C">
        <w:t>5-foot</w:t>
      </w:r>
      <w:r w:rsidR="003B3D66" w:rsidRPr="003A0C5C">
        <w:t xml:space="preserve"> storm drain inlet that outlets directly to the Dominguez Channel. Under the proposed project, the project site would drain from east to west via gutters that wrap around the proposed buildings. The runoff generated would be treated by a 10 foot by </w:t>
      </w:r>
      <w:r w:rsidR="00EF711A" w:rsidRPr="003A0C5C">
        <w:t>20-foot</w:t>
      </w:r>
      <w:r w:rsidR="003B3D66" w:rsidRPr="003A0C5C">
        <w:t xml:space="preserve"> Modular Wetland System that would discharge via an 18-inch pipe to the existing </w:t>
      </w:r>
      <w:r w:rsidR="00F47C7B" w:rsidRPr="003A0C5C">
        <w:t>5-foot</w:t>
      </w:r>
      <w:r w:rsidR="003B3D66" w:rsidRPr="003A0C5C">
        <w:t xml:space="preserve"> storm drain inlet, as under existing conditions.</w:t>
      </w:r>
      <w:r w:rsidR="007B7CF6" w:rsidRPr="003A0C5C">
        <w:t xml:space="preserve"> As discussed above, the </w:t>
      </w:r>
      <w:r w:rsidR="003F2030" w:rsidRPr="003A0C5C">
        <w:t>A</w:t>
      </w:r>
      <w:r w:rsidR="007B7CF6" w:rsidRPr="003A0C5C">
        <w:t>pplicant would be required to comply with the standard BMP</w:t>
      </w:r>
      <w:r w:rsidR="00CD3F27" w:rsidRPr="003A0C5C">
        <w:t>s</w:t>
      </w:r>
      <w:r w:rsidR="007B7CF6" w:rsidRPr="003A0C5C">
        <w:t xml:space="preserve"> in the SWPPP, as identified by the RWQCB. </w:t>
      </w:r>
      <w:r w:rsidR="00286A93" w:rsidRPr="003A0C5C">
        <w:t xml:space="preserve">Therefore, the </w:t>
      </w:r>
      <w:r w:rsidR="004D6AE2" w:rsidRPr="003A0C5C">
        <w:t>proposed project</w:t>
      </w:r>
      <w:r w:rsidR="00286A93" w:rsidRPr="003A0C5C">
        <w:t xml:space="preserve"> would not provide substantial additional sources of polluted runoff, and potential impacts to surface water quality would be less than significant. </w:t>
      </w:r>
      <w:r w:rsidR="00CD3F27" w:rsidRPr="003A0C5C">
        <w:t xml:space="preserve">Furthermore, the existing drainage pattern would remain largely the same under the proposed project, and thus, the </w:t>
      </w:r>
      <w:r w:rsidR="003B3D66" w:rsidRPr="003A0C5C">
        <w:t xml:space="preserve">proposed </w:t>
      </w:r>
      <w:r w:rsidR="00CD3F27" w:rsidRPr="003A0C5C">
        <w:t xml:space="preserve">project would be adequately served by the existing </w:t>
      </w:r>
      <w:r w:rsidR="00EF711A" w:rsidRPr="003A0C5C">
        <w:t>5-foot</w:t>
      </w:r>
      <w:r w:rsidR="003B3D66" w:rsidRPr="003A0C5C">
        <w:t xml:space="preserve"> storm drain inlet </w:t>
      </w:r>
      <w:r w:rsidR="00CD3F27" w:rsidRPr="003A0C5C">
        <w:t xml:space="preserve">during project operations. </w:t>
      </w:r>
      <w:r w:rsidR="007B7CF6" w:rsidRPr="003A0C5C">
        <w:t>Therefore,</w:t>
      </w:r>
      <w:r w:rsidR="00470C54" w:rsidRPr="003A0C5C">
        <w:t xml:space="preserve"> </w:t>
      </w:r>
      <w:r w:rsidR="00E96EEF" w:rsidRPr="003A0C5C">
        <w:t>the proposed project would not exceed</w:t>
      </w:r>
      <w:r w:rsidR="007B7CF6" w:rsidRPr="003A0C5C">
        <w:t xml:space="preserve"> the capacity of existing or planned storm drain systems</w:t>
      </w:r>
      <w:r w:rsidR="00E96EEF" w:rsidRPr="003A0C5C">
        <w:t xml:space="preserve"> and impacts would be less than significant</w:t>
      </w:r>
      <w:r w:rsidR="007B7CF6" w:rsidRPr="003A0C5C">
        <w:t>.</w:t>
      </w:r>
    </w:p>
    <w:p w14:paraId="01161F49" w14:textId="373A54E4" w:rsidR="004F426E" w:rsidRPr="003A0C5C" w:rsidRDefault="004F426E" w:rsidP="00DF53EB">
      <w:pPr>
        <w:pStyle w:val="12spaceindent"/>
      </w:pPr>
      <w:proofErr w:type="spellStart"/>
      <w:r w:rsidRPr="003A0C5C">
        <w:t>c.iv</w:t>
      </w:r>
      <w:proofErr w:type="spellEnd"/>
      <w:r w:rsidRPr="003A0C5C">
        <w:t>)</w:t>
      </w:r>
      <w:r w:rsidRPr="003A0C5C">
        <w:tab/>
      </w:r>
      <w:r w:rsidR="009F0EA0" w:rsidRPr="003A0C5C">
        <w:t>T</w:t>
      </w:r>
      <w:r w:rsidRPr="003A0C5C">
        <w:t>he project site is not within 100-year flood hazard area</w:t>
      </w:r>
      <w:r w:rsidR="002506EF" w:rsidRPr="003A0C5C">
        <w:t xml:space="preserve"> as indicated by the Federal Emergency Management Agency (FEMA 2020)</w:t>
      </w:r>
      <w:r w:rsidRPr="003A0C5C">
        <w:t>.</w:t>
      </w:r>
      <w:r w:rsidR="00470C54" w:rsidRPr="003A0C5C">
        <w:t xml:space="preserve"> </w:t>
      </w:r>
      <w:r w:rsidR="003B3D66" w:rsidRPr="003A0C5C">
        <w:t>In addition</w:t>
      </w:r>
      <w:r w:rsidR="007B7CF6" w:rsidRPr="003A0C5C">
        <w:t xml:space="preserve">, the proposed project would adhere to all standards and requirements identified in the </w:t>
      </w:r>
      <w:r w:rsidR="007367E7" w:rsidRPr="003A0C5C">
        <w:t>CMC</w:t>
      </w:r>
      <w:r w:rsidR="00D822AF" w:rsidRPr="003A0C5C">
        <w:t xml:space="preserve"> Chapter 8</w:t>
      </w:r>
      <w:r w:rsidR="007B7CF6" w:rsidRPr="003A0C5C">
        <w:t xml:space="preserve"> and </w:t>
      </w:r>
      <w:r w:rsidR="000436BE" w:rsidRPr="003A0C5C">
        <w:t>project specific</w:t>
      </w:r>
      <w:r w:rsidR="007B7CF6" w:rsidRPr="003A0C5C">
        <w:t xml:space="preserve"> SWPPP, which would</w:t>
      </w:r>
      <w:r w:rsidR="00C72DBF" w:rsidRPr="003A0C5C">
        <w:t xml:space="preserve"> require implementation of measures that</w:t>
      </w:r>
      <w:r w:rsidR="007B7CF6" w:rsidRPr="003A0C5C">
        <w:t xml:space="preserve"> reduce the potential for flooding on</w:t>
      </w:r>
      <w:r w:rsidR="00832857" w:rsidRPr="003A0C5C">
        <w:t>-</w:t>
      </w:r>
      <w:r w:rsidR="007B7CF6" w:rsidRPr="003A0C5C">
        <w:t xml:space="preserve"> or off</w:t>
      </w:r>
      <w:r w:rsidR="00832857" w:rsidRPr="003A0C5C">
        <w:t>-</w:t>
      </w:r>
      <w:r w:rsidR="007B7CF6" w:rsidRPr="003A0C5C">
        <w:t xml:space="preserve">site. </w:t>
      </w:r>
      <w:r w:rsidR="00C72DBF" w:rsidRPr="003A0C5C">
        <w:t>Thus, adherence with these measures would ensure that impacts are less than significant.</w:t>
      </w:r>
    </w:p>
    <w:p w14:paraId="2E3CF60B" w14:textId="39527586" w:rsidR="00F92AE1" w:rsidRPr="003A0C5C" w:rsidRDefault="004F426E" w:rsidP="00DF53EB">
      <w:pPr>
        <w:pStyle w:val="12spaceindent"/>
      </w:pPr>
      <w:r w:rsidRPr="003A0C5C">
        <w:t>d)</w:t>
      </w:r>
      <w:r w:rsidRPr="003A0C5C">
        <w:tab/>
      </w:r>
      <w:r w:rsidR="00A964A8" w:rsidRPr="003A0C5C">
        <w:t>As discussed above, the project site is not within 100-year flood hazard area as indicated by the Federal Emergency Management Agency (FEMA 2020).</w:t>
      </w:r>
      <w:r w:rsidR="00470C54" w:rsidRPr="003A0C5C">
        <w:t xml:space="preserve"> </w:t>
      </w:r>
      <w:r w:rsidR="003B3D66" w:rsidRPr="003A0C5C">
        <w:t>In addition</w:t>
      </w:r>
      <w:r w:rsidR="00A964A8" w:rsidRPr="003A0C5C">
        <w:t xml:space="preserve">, the proposed project would adhere to all standards and requirements identified in the CMC </w:t>
      </w:r>
      <w:r w:rsidR="00D822AF" w:rsidRPr="003A0C5C">
        <w:t xml:space="preserve">Chapter 8 </w:t>
      </w:r>
      <w:r w:rsidR="00A964A8" w:rsidRPr="003A0C5C">
        <w:t>and project</w:t>
      </w:r>
      <w:r w:rsidR="0024305C" w:rsidRPr="003A0C5C">
        <w:t xml:space="preserve"> </w:t>
      </w:r>
      <w:r w:rsidR="00A964A8" w:rsidRPr="003A0C5C">
        <w:t xml:space="preserve">specific SWPPP, which would require implementation of measures that reduce the potential for </w:t>
      </w:r>
      <w:r w:rsidR="003B3D66" w:rsidRPr="003A0C5C">
        <w:t>flood hazards</w:t>
      </w:r>
      <w:r w:rsidR="00A964A8" w:rsidRPr="003A0C5C">
        <w:t>.</w:t>
      </w:r>
    </w:p>
    <w:p w14:paraId="6DFD20F9" w14:textId="2F7CB436" w:rsidR="00F92AE1" w:rsidRPr="003A0C5C" w:rsidRDefault="000669A8" w:rsidP="00DF53EB">
      <w:pPr>
        <w:pStyle w:val="12spaceindentcontinue"/>
      </w:pPr>
      <w:r w:rsidRPr="003A0C5C">
        <w:t xml:space="preserve">Due to the distance of the City to the Pacific Ocean, </w:t>
      </w:r>
      <w:r w:rsidR="00A964A8" w:rsidRPr="003A0C5C">
        <w:t xml:space="preserve">located approximately </w:t>
      </w:r>
      <w:r w:rsidR="001146B8" w:rsidRPr="003A0C5C">
        <w:t>5.58</w:t>
      </w:r>
      <w:r w:rsidR="00CD41F9" w:rsidRPr="003A0C5C">
        <w:t> mile</w:t>
      </w:r>
      <w:r w:rsidR="00A964A8" w:rsidRPr="003A0C5C">
        <w:t xml:space="preserve">s west of the City, </w:t>
      </w:r>
      <w:r w:rsidRPr="003A0C5C">
        <w:t xml:space="preserve">the potential for tsunami effects within the City is negligible. </w:t>
      </w:r>
      <w:r w:rsidR="008C5444" w:rsidRPr="003A0C5C">
        <w:t>Furthermore, th</w:t>
      </w:r>
      <w:r w:rsidRPr="003A0C5C">
        <w:t xml:space="preserve">e absence of any large bodies of water within Carson preclude the possibility of damage from seiche effects on the project site </w:t>
      </w:r>
      <w:r w:rsidR="00852967" w:rsidRPr="003A0C5C">
        <w:t>(City of Carson</w:t>
      </w:r>
      <w:r w:rsidRPr="003A0C5C">
        <w:t xml:space="preserve"> 2004).</w:t>
      </w:r>
      <w:r w:rsidR="008C5444" w:rsidRPr="003A0C5C">
        <w:t xml:space="preserve"> </w:t>
      </w:r>
      <w:r w:rsidR="00275BD6" w:rsidRPr="003A0C5C">
        <w:t>Given the lack of flood hazard, tsunami, or seiche risk in the project area</w:t>
      </w:r>
      <w:r w:rsidR="004F426E" w:rsidRPr="003A0C5C">
        <w:t xml:space="preserve">, </w:t>
      </w:r>
      <w:r w:rsidR="00275BD6" w:rsidRPr="003A0C5C">
        <w:t>there would be no impact</w:t>
      </w:r>
      <w:r w:rsidR="003E58E2" w:rsidRPr="003A0C5C">
        <w:t>s anticipated</w:t>
      </w:r>
      <w:r w:rsidR="00275BD6" w:rsidRPr="003A0C5C">
        <w:t>.</w:t>
      </w:r>
    </w:p>
    <w:p w14:paraId="70140B12" w14:textId="01B9E8C3" w:rsidR="00486507" w:rsidRPr="003A0C5C" w:rsidRDefault="004F426E" w:rsidP="00486507">
      <w:pPr>
        <w:pStyle w:val="12spaceindent"/>
        <w:rPr>
          <w:highlight w:val="yellow"/>
        </w:rPr>
      </w:pPr>
      <w:r w:rsidRPr="003A0C5C">
        <w:t>e)</w:t>
      </w:r>
      <w:r w:rsidRPr="003A0C5C">
        <w:tab/>
      </w:r>
      <w:r w:rsidR="00A964A8" w:rsidRPr="003A0C5C">
        <w:t xml:space="preserve">There are no applicable water quality control plan or sustainable groundwater management plans </w:t>
      </w:r>
      <w:r w:rsidR="00D822AF" w:rsidRPr="003A0C5C">
        <w:t>for</w:t>
      </w:r>
      <w:r w:rsidR="00A964A8" w:rsidRPr="003A0C5C">
        <w:t xml:space="preserve"> the project site. </w:t>
      </w:r>
      <w:r w:rsidRPr="003A0C5C">
        <w:t>As stated above, the project site is located in a</w:t>
      </w:r>
      <w:r w:rsidR="00CD3F27" w:rsidRPr="003A0C5C">
        <w:t>n</w:t>
      </w:r>
      <w:r w:rsidRPr="003A0C5C">
        <w:t xml:space="preserve"> urbanized area an</w:t>
      </w:r>
      <w:r w:rsidR="009F0EA0" w:rsidRPr="003A0C5C">
        <w:t xml:space="preserve">d </w:t>
      </w:r>
      <w:r w:rsidR="006D194E" w:rsidRPr="003A0C5C">
        <w:t xml:space="preserve">is currently </w:t>
      </w:r>
      <w:r w:rsidR="008E60A2" w:rsidRPr="003A0C5C">
        <w:t xml:space="preserve">two </w:t>
      </w:r>
      <w:r w:rsidR="006D194E" w:rsidRPr="003A0C5C">
        <w:t xml:space="preserve">vacant undeveloped </w:t>
      </w:r>
      <w:r w:rsidR="005B5C42" w:rsidRPr="003A0C5C">
        <w:t>parcels</w:t>
      </w:r>
      <w:r w:rsidR="006D194E" w:rsidRPr="003A0C5C">
        <w:t>.</w:t>
      </w:r>
      <w:r w:rsidRPr="003A0C5C">
        <w:t xml:space="preserve"> The project site has been </w:t>
      </w:r>
      <w:bookmarkStart w:id="78" w:name="_BPDCD_34"/>
      <w:r w:rsidR="009F0EA0" w:rsidRPr="003A0C5C">
        <w:t>previously developed</w:t>
      </w:r>
      <w:r w:rsidRPr="003A0C5C">
        <w:t xml:space="preserve"> </w:t>
      </w:r>
      <w:bookmarkEnd w:id="78"/>
      <w:r w:rsidRPr="003A0C5C">
        <w:t>and does not serve as a source of groundwater. Therefore,</w:t>
      </w:r>
      <w:r w:rsidR="00470C54" w:rsidRPr="003A0C5C">
        <w:t xml:space="preserve"> </w:t>
      </w:r>
      <w:r w:rsidR="009F3609" w:rsidRPr="003A0C5C">
        <w:t xml:space="preserve">the </w:t>
      </w:r>
      <w:r w:rsidR="00137B17" w:rsidRPr="003A0C5C">
        <w:t xml:space="preserve">proposed </w:t>
      </w:r>
      <w:r w:rsidR="009F3609" w:rsidRPr="003A0C5C">
        <w:t>project would not conflict with or obstruct the implementation of</w:t>
      </w:r>
      <w:r w:rsidRPr="003A0C5C">
        <w:t xml:space="preserve"> a water quality control plan or sustainable groundwater management plan</w:t>
      </w:r>
      <w:r w:rsidR="009F3609" w:rsidRPr="003A0C5C">
        <w:t xml:space="preserve"> and there would be no impact</w:t>
      </w:r>
      <w:r w:rsidR="003E58E2" w:rsidRPr="003A0C5C">
        <w:t>s anticipated</w:t>
      </w:r>
      <w:r w:rsidRPr="003A0C5C">
        <w:t>.</w:t>
      </w:r>
    </w:p>
    <w:p w14:paraId="3C6B3379" w14:textId="77777777" w:rsidR="002B6967" w:rsidRPr="003A0C5C" w:rsidRDefault="002B6967" w:rsidP="002B6967">
      <w:pPr>
        <w:pStyle w:val="ImpactSectionEnd"/>
        <w:rPr>
          <w:highlight w:val="yellow"/>
        </w:rPr>
      </w:pPr>
    </w:p>
    <w:p w14:paraId="7A1A2922" w14:textId="3E04DDA5" w:rsidR="004F426E" w:rsidRPr="003A0C5C" w:rsidRDefault="008B0DDC" w:rsidP="008B0DDC">
      <w:pPr>
        <w:pStyle w:val="Heading4"/>
      </w:pPr>
      <w:bookmarkStart w:id="79" w:name="_Toc101791990"/>
      <w:r w:rsidRPr="003A0C5C">
        <w:lastRenderedPageBreak/>
        <w:t>XI.</w:t>
      </w:r>
      <w:r w:rsidRPr="003A0C5C">
        <w:tab/>
      </w:r>
      <w:r w:rsidR="004F426E" w:rsidRPr="003A0C5C">
        <w:t>Land Use and Planning</w:t>
      </w:r>
      <w:bookmarkEnd w:id="79"/>
    </w:p>
    <w:tbl>
      <w:tblPr>
        <w:tblW w:w="0" w:type="auto"/>
        <w:tblCellMar>
          <w:left w:w="86" w:type="dxa"/>
          <w:right w:w="86" w:type="dxa"/>
        </w:tblCellMar>
        <w:tblLook w:val="0000" w:firstRow="0" w:lastRow="0" w:firstColumn="0" w:lastColumn="0" w:noHBand="0" w:noVBand="0"/>
      </w:tblPr>
      <w:tblGrid>
        <w:gridCol w:w="5088"/>
        <w:gridCol w:w="888"/>
        <w:gridCol w:w="1152"/>
        <w:gridCol w:w="888"/>
        <w:gridCol w:w="624"/>
      </w:tblGrid>
      <w:tr w:rsidR="003A0C5C" w:rsidRPr="003A0C5C" w14:paraId="18B7343C" w14:textId="77777777" w:rsidTr="00F07065">
        <w:trPr>
          <w:cantSplit/>
          <w:tblHeader/>
        </w:trPr>
        <w:tc>
          <w:tcPr>
            <w:tcW w:w="0" w:type="auto"/>
            <w:vAlign w:val="bottom"/>
          </w:tcPr>
          <w:p w14:paraId="4497A0B1" w14:textId="77777777" w:rsidR="00AF3003" w:rsidRPr="003A0C5C" w:rsidRDefault="00AF3003" w:rsidP="00F07065">
            <w:pPr>
              <w:keepNext/>
              <w:pBdr>
                <w:bottom w:val="single" w:sz="4" w:space="1" w:color="auto"/>
              </w:pBdr>
              <w:spacing w:before="60" w:after="60"/>
              <w:ind w:left="540" w:hanging="540"/>
              <w:rPr>
                <w:rFonts w:ascii="Arial" w:hAnsi="Arial" w:cs="Arial"/>
                <w:b/>
                <w:i/>
                <w:sz w:val="14"/>
                <w:szCs w:val="16"/>
              </w:rPr>
            </w:pPr>
            <w:r w:rsidRPr="003A0C5C">
              <w:rPr>
                <w:rFonts w:ascii="Arial" w:hAnsi="Arial" w:cs="Arial"/>
                <w:b/>
                <w:i/>
                <w:sz w:val="14"/>
                <w:szCs w:val="16"/>
              </w:rPr>
              <w:t>Issues (and Supporting Information Sources)</w:t>
            </w:r>
          </w:p>
        </w:tc>
        <w:tc>
          <w:tcPr>
            <w:tcW w:w="0" w:type="auto"/>
            <w:vAlign w:val="bottom"/>
          </w:tcPr>
          <w:p w14:paraId="07FC92A7" w14:textId="77777777" w:rsidR="00AF3003" w:rsidRPr="003A0C5C" w:rsidRDefault="00AF3003" w:rsidP="00F07065">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Potentially</w:t>
            </w:r>
            <w:r w:rsidRPr="003A0C5C">
              <w:rPr>
                <w:rFonts w:ascii="Arial" w:hAnsi="Arial" w:cs="Arial"/>
                <w:b/>
                <w:i/>
                <w:sz w:val="14"/>
                <w:szCs w:val="16"/>
              </w:rPr>
              <w:br/>
              <w:t>Significant</w:t>
            </w:r>
            <w:r w:rsidRPr="003A0C5C">
              <w:rPr>
                <w:rFonts w:ascii="Arial" w:hAnsi="Arial" w:cs="Arial"/>
                <w:b/>
                <w:i/>
                <w:sz w:val="14"/>
                <w:szCs w:val="16"/>
              </w:rPr>
              <w:br/>
              <w:t>Impact</w:t>
            </w:r>
          </w:p>
        </w:tc>
        <w:tc>
          <w:tcPr>
            <w:tcW w:w="0" w:type="auto"/>
            <w:vAlign w:val="bottom"/>
          </w:tcPr>
          <w:p w14:paraId="7F92B6CE" w14:textId="77777777" w:rsidR="00AF3003" w:rsidRPr="003A0C5C" w:rsidRDefault="00AF3003" w:rsidP="00F07065">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Less than</w:t>
            </w:r>
            <w:r w:rsidRPr="003A0C5C">
              <w:rPr>
                <w:rFonts w:ascii="Arial" w:hAnsi="Arial" w:cs="Arial"/>
                <w:b/>
                <w:i/>
                <w:sz w:val="14"/>
                <w:szCs w:val="16"/>
              </w:rPr>
              <w:br/>
              <w:t>Significant</w:t>
            </w:r>
            <w:r w:rsidRPr="003A0C5C">
              <w:rPr>
                <w:rFonts w:ascii="Arial" w:hAnsi="Arial" w:cs="Arial"/>
                <w:b/>
                <w:i/>
                <w:sz w:val="14"/>
                <w:szCs w:val="16"/>
              </w:rPr>
              <w:br/>
              <w:t>with Mitigation</w:t>
            </w:r>
            <w:r w:rsidRPr="003A0C5C">
              <w:rPr>
                <w:rFonts w:ascii="Arial" w:hAnsi="Arial" w:cs="Arial"/>
                <w:b/>
                <w:i/>
                <w:sz w:val="14"/>
                <w:szCs w:val="16"/>
              </w:rPr>
              <w:br/>
              <w:t>Incorporated</w:t>
            </w:r>
          </w:p>
        </w:tc>
        <w:tc>
          <w:tcPr>
            <w:tcW w:w="0" w:type="auto"/>
            <w:vAlign w:val="bottom"/>
          </w:tcPr>
          <w:p w14:paraId="3A7BE822" w14:textId="77777777" w:rsidR="00AF3003" w:rsidRPr="003A0C5C" w:rsidRDefault="00AF3003" w:rsidP="00F07065">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Less-than-</w:t>
            </w:r>
            <w:r w:rsidRPr="003A0C5C">
              <w:rPr>
                <w:rFonts w:ascii="Arial" w:hAnsi="Arial" w:cs="Arial"/>
                <w:b/>
                <w:i/>
                <w:sz w:val="14"/>
                <w:szCs w:val="16"/>
              </w:rPr>
              <w:br/>
              <w:t>Significant</w:t>
            </w:r>
            <w:r w:rsidRPr="003A0C5C">
              <w:rPr>
                <w:rFonts w:ascii="Arial" w:hAnsi="Arial" w:cs="Arial"/>
                <w:b/>
                <w:i/>
                <w:sz w:val="14"/>
                <w:szCs w:val="16"/>
              </w:rPr>
              <w:br/>
              <w:t>Impact</w:t>
            </w:r>
          </w:p>
        </w:tc>
        <w:tc>
          <w:tcPr>
            <w:tcW w:w="0" w:type="auto"/>
            <w:vAlign w:val="bottom"/>
          </w:tcPr>
          <w:p w14:paraId="3E853E63" w14:textId="77777777" w:rsidR="00AF3003" w:rsidRPr="003A0C5C" w:rsidRDefault="00AF3003" w:rsidP="00F07065">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No</w:t>
            </w:r>
            <w:r w:rsidRPr="003A0C5C">
              <w:rPr>
                <w:rFonts w:ascii="Arial" w:hAnsi="Arial" w:cs="Arial"/>
                <w:b/>
                <w:i/>
                <w:sz w:val="14"/>
                <w:szCs w:val="16"/>
              </w:rPr>
              <w:br/>
              <w:t>Impact</w:t>
            </w:r>
          </w:p>
        </w:tc>
      </w:tr>
      <w:tr w:rsidR="003A0C5C" w:rsidRPr="003A0C5C" w14:paraId="74C0E61E" w14:textId="77777777" w:rsidTr="00F07065">
        <w:trPr>
          <w:cantSplit/>
        </w:trPr>
        <w:tc>
          <w:tcPr>
            <w:tcW w:w="0" w:type="auto"/>
          </w:tcPr>
          <w:p w14:paraId="475B9439" w14:textId="60A93A8F" w:rsidR="00AF3003" w:rsidRPr="003A0C5C" w:rsidRDefault="00AF3003" w:rsidP="00F07065">
            <w:pPr>
              <w:pStyle w:val="Tabletextnumber"/>
              <w:keepNext/>
              <w:ind w:left="504" w:hanging="504"/>
              <w:rPr>
                <w:rStyle w:val="Bold"/>
              </w:rPr>
            </w:pPr>
            <w:r w:rsidRPr="003A0C5C">
              <w:rPr>
                <w:rStyle w:val="Bold"/>
              </w:rPr>
              <w:t>XI.</w:t>
            </w:r>
            <w:r w:rsidRPr="003A0C5C">
              <w:rPr>
                <w:rStyle w:val="Bold"/>
              </w:rPr>
              <w:tab/>
              <w:t>LAND USE AND PLANNING</w:t>
            </w:r>
            <w:r w:rsidRPr="003A0C5C">
              <w:t>—Would the project:</w:t>
            </w:r>
          </w:p>
        </w:tc>
        <w:tc>
          <w:tcPr>
            <w:tcW w:w="0" w:type="auto"/>
          </w:tcPr>
          <w:p w14:paraId="1F5231EA" w14:textId="77777777" w:rsidR="00AF3003" w:rsidRPr="003A0C5C" w:rsidRDefault="00AF3003" w:rsidP="00F07065">
            <w:pPr>
              <w:pStyle w:val="Checklist"/>
              <w:rPr>
                <w:highlight w:val="yellow"/>
              </w:rPr>
            </w:pPr>
          </w:p>
        </w:tc>
        <w:tc>
          <w:tcPr>
            <w:tcW w:w="0" w:type="auto"/>
          </w:tcPr>
          <w:p w14:paraId="2F51A45E" w14:textId="77777777" w:rsidR="00AF3003" w:rsidRPr="003A0C5C" w:rsidRDefault="00AF3003" w:rsidP="00F07065">
            <w:pPr>
              <w:pStyle w:val="Checklist"/>
              <w:rPr>
                <w:highlight w:val="yellow"/>
              </w:rPr>
            </w:pPr>
          </w:p>
        </w:tc>
        <w:tc>
          <w:tcPr>
            <w:tcW w:w="0" w:type="auto"/>
          </w:tcPr>
          <w:p w14:paraId="6A1B7320" w14:textId="77777777" w:rsidR="00AF3003" w:rsidRPr="003A0C5C" w:rsidRDefault="00AF3003" w:rsidP="00F07065">
            <w:pPr>
              <w:pStyle w:val="Checklist"/>
              <w:rPr>
                <w:highlight w:val="yellow"/>
              </w:rPr>
            </w:pPr>
          </w:p>
        </w:tc>
        <w:tc>
          <w:tcPr>
            <w:tcW w:w="0" w:type="auto"/>
          </w:tcPr>
          <w:p w14:paraId="3A1C8FAE" w14:textId="77777777" w:rsidR="00AF3003" w:rsidRPr="003A0C5C" w:rsidRDefault="00AF3003" w:rsidP="00F07065">
            <w:pPr>
              <w:pStyle w:val="Checklist"/>
              <w:rPr>
                <w:highlight w:val="yellow"/>
              </w:rPr>
            </w:pPr>
          </w:p>
        </w:tc>
      </w:tr>
      <w:tr w:rsidR="003A0C5C" w:rsidRPr="003A0C5C" w14:paraId="03A61D66" w14:textId="77777777" w:rsidTr="00F07065">
        <w:trPr>
          <w:cantSplit/>
        </w:trPr>
        <w:tc>
          <w:tcPr>
            <w:tcW w:w="0" w:type="auto"/>
          </w:tcPr>
          <w:p w14:paraId="2748F9EC" w14:textId="69230AFC" w:rsidR="00AF3003" w:rsidRPr="003A0C5C" w:rsidRDefault="00AF3003" w:rsidP="00AF3003">
            <w:pPr>
              <w:pStyle w:val="Tabletextnumber"/>
            </w:pPr>
            <w:r w:rsidRPr="003A0C5C">
              <w:rPr>
                <w:rFonts w:cs="Arial"/>
                <w:szCs w:val="16"/>
              </w:rPr>
              <w:t>a)</w:t>
            </w:r>
            <w:r w:rsidRPr="003A0C5C">
              <w:rPr>
                <w:rFonts w:cs="Arial"/>
                <w:szCs w:val="16"/>
              </w:rPr>
              <w:tab/>
              <w:t>Physically divide an established community?</w:t>
            </w:r>
          </w:p>
        </w:tc>
        <w:tc>
          <w:tcPr>
            <w:tcW w:w="0" w:type="auto"/>
          </w:tcPr>
          <w:p w14:paraId="35A8914D" w14:textId="77777777" w:rsidR="00AF3003" w:rsidRPr="003A0C5C" w:rsidRDefault="002348BC" w:rsidP="00AF3003">
            <w:pPr>
              <w:pStyle w:val="Checklist"/>
            </w:pPr>
            <w:sdt>
              <w:sdtPr>
                <w:id w:val="-1882241605"/>
                <w14:checkbox>
                  <w14:checked w14:val="0"/>
                  <w14:checkedState w14:val="2612" w14:font="MS Gothic"/>
                  <w14:uncheckedState w14:val="2610" w14:font="MS Gothic"/>
                </w14:checkbox>
              </w:sdtPr>
              <w:sdtEndPr/>
              <w:sdtContent>
                <w:r w:rsidR="00AF3003" w:rsidRPr="003A0C5C">
                  <w:t>☐</w:t>
                </w:r>
              </w:sdtContent>
            </w:sdt>
          </w:p>
        </w:tc>
        <w:tc>
          <w:tcPr>
            <w:tcW w:w="0" w:type="auto"/>
          </w:tcPr>
          <w:p w14:paraId="1EDB0427" w14:textId="77777777" w:rsidR="00AF3003" w:rsidRPr="003A0C5C" w:rsidRDefault="002348BC" w:rsidP="00AF3003">
            <w:pPr>
              <w:pStyle w:val="Checklist"/>
              <w:rPr>
                <w:sz w:val="20"/>
              </w:rPr>
            </w:pPr>
            <w:sdt>
              <w:sdtPr>
                <w:id w:val="1489905377"/>
                <w14:checkbox>
                  <w14:checked w14:val="0"/>
                  <w14:checkedState w14:val="2612" w14:font="MS Gothic"/>
                  <w14:uncheckedState w14:val="2610" w14:font="MS Gothic"/>
                </w14:checkbox>
              </w:sdtPr>
              <w:sdtEndPr/>
              <w:sdtContent>
                <w:r w:rsidR="00AF3003" w:rsidRPr="003A0C5C">
                  <w:t>☐</w:t>
                </w:r>
              </w:sdtContent>
            </w:sdt>
          </w:p>
        </w:tc>
        <w:tc>
          <w:tcPr>
            <w:tcW w:w="0" w:type="auto"/>
          </w:tcPr>
          <w:p w14:paraId="533B0317" w14:textId="51E0D2A8" w:rsidR="00AF3003" w:rsidRPr="003A0C5C" w:rsidRDefault="002348BC" w:rsidP="00AF3003">
            <w:pPr>
              <w:pStyle w:val="Checklist"/>
              <w:rPr>
                <w:sz w:val="20"/>
              </w:rPr>
            </w:pPr>
            <w:sdt>
              <w:sdtPr>
                <w:id w:val="-895971742"/>
                <w14:checkbox>
                  <w14:checked w14:val="0"/>
                  <w14:checkedState w14:val="2612" w14:font="MS Gothic"/>
                  <w14:uncheckedState w14:val="2610" w14:font="MS Gothic"/>
                </w14:checkbox>
              </w:sdtPr>
              <w:sdtEndPr/>
              <w:sdtContent>
                <w:r w:rsidR="00AF3003" w:rsidRPr="003A0C5C">
                  <w:rPr>
                    <w:rFonts w:hint="eastAsia"/>
                  </w:rPr>
                  <w:t>☐</w:t>
                </w:r>
              </w:sdtContent>
            </w:sdt>
          </w:p>
        </w:tc>
        <w:tc>
          <w:tcPr>
            <w:tcW w:w="0" w:type="auto"/>
          </w:tcPr>
          <w:p w14:paraId="19F268AB" w14:textId="2D49FC20" w:rsidR="00AF3003" w:rsidRPr="003A0C5C" w:rsidRDefault="002348BC" w:rsidP="00AF3003">
            <w:pPr>
              <w:pStyle w:val="Checklist"/>
              <w:rPr>
                <w:sz w:val="20"/>
              </w:rPr>
            </w:pPr>
            <w:sdt>
              <w:sdtPr>
                <w:id w:val="-1399672998"/>
                <w14:checkbox>
                  <w14:checked w14:val="1"/>
                  <w14:checkedState w14:val="2612" w14:font="MS Gothic"/>
                  <w14:uncheckedState w14:val="2610" w14:font="MS Gothic"/>
                </w14:checkbox>
              </w:sdtPr>
              <w:sdtEndPr/>
              <w:sdtContent>
                <w:r w:rsidR="00AF3003" w:rsidRPr="003A0C5C">
                  <w:rPr>
                    <w:rFonts w:hint="eastAsia"/>
                  </w:rPr>
                  <w:t>☒</w:t>
                </w:r>
              </w:sdtContent>
            </w:sdt>
          </w:p>
        </w:tc>
      </w:tr>
      <w:tr w:rsidR="00AF3003" w:rsidRPr="003A0C5C" w14:paraId="49E70DE5" w14:textId="77777777" w:rsidTr="00F07065">
        <w:trPr>
          <w:cantSplit/>
        </w:trPr>
        <w:tc>
          <w:tcPr>
            <w:tcW w:w="0" w:type="auto"/>
          </w:tcPr>
          <w:p w14:paraId="16C28B27" w14:textId="64AB1CDA" w:rsidR="00AF3003" w:rsidRPr="003A0C5C" w:rsidRDefault="00AF3003" w:rsidP="00AF3003">
            <w:pPr>
              <w:pStyle w:val="Tabletextnumber"/>
            </w:pPr>
            <w:r w:rsidRPr="003A0C5C">
              <w:rPr>
                <w:rFonts w:cs="Arial"/>
                <w:szCs w:val="16"/>
              </w:rPr>
              <w:t>b)</w:t>
            </w:r>
            <w:r w:rsidRPr="003A0C5C">
              <w:rPr>
                <w:rFonts w:cs="Arial"/>
                <w:szCs w:val="16"/>
              </w:rPr>
              <w:tab/>
              <w:t>Cause a significant environmental impact due to a conflict with any land use plan, policy, or regulation adopted for the purpose of avoiding or mitigating an environmental effect?</w:t>
            </w:r>
          </w:p>
        </w:tc>
        <w:tc>
          <w:tcPr>
            <w:tcW w:w="0" w:type="auto"/>
          </w:tcPr>
          <w:p w14:paraId="40611A61" w14:textId="77777777" w:rsidR="00AF3003" w:rsidRPr="003A0C5C" w:rsidRDefault="002348BC" w:rsidP="00AF3003">
            <w:pPr>
              <w:pStyle w:val="Checklist"/>
              <w:rPr>
                <w:sz w:val="20"/>
              </w:rPr>
            </w:pPr>
            <w:sdt>
              <w:sdtPr>
                <w:id w:val="2139530994"/>
                <w14:checkbox>
                  <w14:checked w14:val="0"/>
                  <w14:checkedState w14:val="2612" w14:font="MS Gothic"/>
                  <w14:uncheckedState w14:val="2610" w14:font="MS Gothic"/>
                </w14:checkbox>
              </w:sdtPr>
              <w:sdtEndPr/>
              <w:sdtContent>
                <w:r w:rsidR="00AF3003" w:rsidRPr="003A0C5C">
                  <w:t>☐</w:t>
                </w:r>
              </w:sdtContent>
            </w:sdt>
          </w:p>
        </w:tc>
        <w:tc>
          <w:tcPr>
            <w:tcW w:w="0" w:type="auto"/>
          </w:tcPr>
          <w:p w14:paraId="683DD274" w14:textId="77777777" w:rsidR="00AF3003" w:rsidRPr="003A0C5C" w:rsidRDefault="002348BC" w:rsidP="00AF3003">
            <w:pPr>
              <w:pStyle w:val="Checklist"/>
              <w:rPr>
                <w:sz w:val="20"/>
              </w:rPr>
            </w:pPr>
            <w:sdt>
              <w:sdtPr>
                <w:id w:val="-202405689"/>
                <w14:checkbox>
                  <w14:checked w14:val="0"/>
                  <w14:checkedState w14:val="2612" w14:font="MS Gothic"/>
                  <w14:uncheckedState w14:val="2610" w14:font="MS Gothic"/>
                </w14:checkbox>
              </w:sdtPr>
              <w:sdtEndPr/>
              <w:sdtContent>
                <w:r w:rsidR="00AF3003" w:rsidRPr="003A0C5C">
                  <w:t>☐</w:t>
                </w:r>
              </w:sdtContent>
            </w:sdt>
          </w:p>
        </w:tc>
        <w:tc>
          <w:tcPr>
            <w:tcW w:w="0" w:type="auto"/>
          </w:tcPr>
          <w:p w14:paraId="26BF9677" w14:textId="77777777" w:rsidR="00AF3003" w:rsidRPr="003A0C5C" w:rsidRDefault="002348BC" w:rsidP="00AF3003">
            <w:pPr>
              <w:pStyle w:val="Checklist"/>
              <w:rPr>
                <w:sz w:val="20"/>
              </w:rPr>
            </w:pPr>
            <w:sdt>
              <w:sdtPr>
                <w:id w:val="-1789815262"/>
                <w14:checkbox>
                  <w14:checked w14:val="1"/>
                  <w14:checkedState w14:val="2612" w14:font="MS Gothic"/>
                  <w14:uncheckedState w14:val="2610" w14:font="MS Gothic"/>
                </w14:checkbox>
              </w:sdtPr>
              <w:sdtEndPr/>
              <w:sdtContent>
                <w:r w:rsidR="00AF3003" w:rsidRPr="003A0C5C">
                  <w:rPr>
                    <w:rFonts w:hint="eastAsia"/>
                  </w:rPr>
                  <w:t>☒</w:t>
                </w:r>
              </w:sdtContent>
            </w:sdt>
          </w:p>
        </w:tc>
        <w:tc>
          <w:tcPr>
            <w:tcW w:w="0" w:type="auto"/>
          </w:tcPr>
          <w:p w14:paraId="1EFC2368" w14:textId="5318DC74" w:rsidR="00AF3003" w:rsidRPr="003A0C5C" w:rsidRDefault="002348BC" w:rsidP="00AF3003">
            <w:pPr>
              <w:pStyle w:val="Checklist"/>
              <w:rPr>
                <w:sz w:val="20"/>
              </w:rPr>
            </w:pPr>
            <w:sdt>
              <w:sdtPr>
                <w:id w:val="-301083954"/>
                <w14:checkbox>
                  <w14:checked w14:val="0"/>
                  <w14:checkedState w14:val="2612" w14:font="MS Gothic"/>
                  <w14:uncheckedState w14:val="2610" w14:font="MS Gothic"/>
                </w14:checkbox>
              </w:sdtPr>
              <w:sdtEndPr/>
              <w:sdtContent>
                <w:r w:rsidR="00712E3D" w:rsidRPr="003A0C5C">
                  <w:rPr>
                    <w:rFonts w:hint="eastAsia"/>
                  </w:rPr>
                  <w:t>☐</w:t>
                </w:r>
              </w:sdtContent>
            </w:sdt>
          </w:p>
        </w:tc>
      </w:tr>
    </w:tbl>
    <w:p w14:paraId="098DF7A0" w14:textId="77777777" w:rsidR="00957C8B" w:rsidRPr="003A0C5C" w:rsidRDefault="00957C8B" w:rsidP="00957C8B">
      <w:pPr>
        <w:pStyle w:val="TableNotes"/>
        <w:rPr>
          <w:highlight w:val="yellow"/>
        </w:rPr>
      </w:pPr>
    </w:p>
    <w:p w14:paraId="26616010" w14:textId="77777777" w:rsidR="00957C8B" w:rsidRPr="003A0C5C" w:rsidRDefault="00957C8B" w:rsidP="00957C8B">
      <w:pPr>
        <w:pStyle w:val="Heading5"/>
      </w:pPr>
      <w:r w:rsidRPr="003A0C5C">
        <w:t>Discussion</w:t>
      </w:r>
    </w:p>
    <w:p w14:paraId="1112D07D" w14:textId="66E351AA" w:rsidR="00F92AE1" w:rsidRPr="003A0C5C" w:rsidRDefault="004F426E" w:rsidP="0020432B">
      <w:pPr>
        <w:pStyle w:val="12spaceindent"/>
      </w:pPr>
      <w:r w:rsidRPr="003A0C5C">
        <w:t>a)</w:t>
      </w:r>
      <w:r w:rsidRPr="003A0C5C">
        <w:tab/>
      </w:r>
      <w:r w:rsidR="003A3005" w:rsidRPr="003A0C5C">
        <w:t>The project site is located in an urbanized area of the Ci</w:t>
      </w:r>
      <w:r w:rsidR="005B6039" w:rsidRPr="003A0C5C">
        <w:t xml:space="preserve">ty of Carson and is currently </w:t>
      </w:r>
      <w:r w:rsidR="003A3005" w:rsidRPr="003A0C5C">
        <w:t xml:space="preserve">vacant </w:t>
      </w:r>
      <w:r w:rsidR="005B6039" w:rsidRPr="003A0C5C">
        <w:t xml:space="preserve">and </w:t>
      </w:r>
      <w:r w:rsidR="003A3005" w:rsidRPr="003A0C5C">
        <w:t xml:space="preserve">undeveloped. </w:t>
      </w:r>
      <w:r w:rsidR="005D2465" w:rsidRPr="003A0C5C">
        <w:t xml:space="preserve">Development of the </w:t>
      </w:r>
      <w:r w:rsidR="00137B17" w:rsidRPr="003A0C5C">
        <w:t xml:space="preserve">proposed </w:t>
      </w:r>
      <w:r w:rsidR="005D2465" w:rsidRPr="003A0C5C">
        <w:t xml:space="preserve">project would not </w:t>
      </w:r>
      <w:r w:rsidR="00A964A8" w:rsidRPr="003A0C5C">
        <w:t xml:space="preserve">physically divide an established community as the proposed project would </w:t>
      </w:r>
      <w:r w:rsidR="004D1D08" w:rsidRPr="003A0C5C">
        <w:t>develop</w:t>
      </w:r>
      <w:r w:rsidR="005B6039" w:rsidRPr="003A0C5C">
        <w:t xml:space="preserve"> </w:t>
      </w:r>
      <w:r w:rsidR="008E60A2" w:rsidRPr="003A0C5C">
        <w:t xml:space="preserve">two </w:t>
      </w:r>
      <w:r w:rsidR="005B6039" w:rsidRPr="003A0C5C">
        <w:t xml:space="preserve">vacant </w:t>
      </w:r>
      <w:r w:rsidR="005B5C42" w:rsidRPr="003A0C5C">
        <w:t xml:space="preserve">parcels </w:t>
      </w:r>
      <w:r w:rsidR="005B6039" w:rsidRPr="003A0C5C">
        <w:t xml:space="preserve">surrounded by urbanized uses with uses similar to those in the surrounding area. </w:t>
      </w:r>
      <w:r w:rsidR="00A01DF2" w:rsidRPr="003A0C5C">
        <w:t>Thus</w:t>
      </w:r>
      <w:r w:rsidR="005D2465" w:rsidRPr="003A0C5C">
        <w:t xml:space="preserve">, the </w:t>
      </w:r>
      <w:r w:rsidR="00137B17" w:rsidRPr="003A0C5C">
        <w:t xml:space="preserve">proposed </w:t>
      </w:r>
      <w:r w:rsidR="005D2465" w:rsidRPr="003A0C5C">
        <w:t xml:space="preserve">project would </w:t>
      </w:r>
      <w:r w:rsidR="00A01DF2" w:rsidRPr="003A0C5C">
        <w:t>not divide an</w:t>
      </w:r>
      <w:r w:rsidR="005D2465" w:rsidRPr="003A0C5C">
        <w:t xml:space="preserve"> established community</w:t>
      </w:r>
      <w:r w:rsidR="00A01DF2" w:rsidRPr="003A0C5C">
        <w:t xml:space="preserve"> and </w:t>
      </w:r>
      <w:r w:rsidR="002E729D" w:rsidRPr="003A0C5C">
        <w:t>no impacts would occur</w:t>
      </w:r>
      <w:r w:rsidR="005D2465" w:rsidRPr="003A0C5C">
        <w:t>.</w:t>
      </w:r>
    </w:p>
    <w:p w14:paraId="04513669" w14:textId="2F630C61" w:rsidR="00712E3D" w:rsidRPr="003A0C5C" w:rsidRDefault="004F426E" w:rsidP="0020432B">
      <w:pPr>
        <w:pStyle w:val="12spaceindent"/>
        <w:rPr>
          <w:rFonts w:cs="Times"/>
        </w:rPr>
      </w:pPr>
      <w:r w:rsidRPr="003A0C5C">
        <w:t>b)</w:t>
      </w:r>
      <w:r w:rsidRPr="003A0C5C">
        <w:tab/>
      </w:r>
      <w:r w:rsidR="00C94F72" w:rsidRPr="003A0C5C">
        <w:t>According to</w:t>
      </w:r>
      <w:r w:rsidRPr="003A0C5C">
        <w:t xml:space="preserve"> the</w:t>
      </w:r>
      <w:r w:rsidR="00C94F72" w:rsidRPr="003A0C5C">
        <w:t xml:space="preserve"> City of</w:t>
      </w:r>
      <w:r w:rsidRPr="003A0C5C">
        <w:t xml:space="preserve"> Carson General Plan, the project site </w:t>
      </w:r>
      <w:r w:rsidR="00C94F72" w:rsidRPr="003A0C5C">
        <w:t>h</w:t>
      </w:r>
      <w:r w:rsidRPr="003A0C5C">
        <w:t>as</w:t>
      </w:r>
      <w:r w:rsidR="00C94F72" w:rsidRPr="003A0C5C">
        <w:t xml:space="preserve"> a </w:t>
      </w:r>
      <w:r w:rsidR="00B16F7A" w:rsidRPr="003A0C5C">
        <w:t>General Plan</w:t>
      </w:r>
      <w:r w:rsidR="00712E3D" w:rsidRPr="003A0C5C">
        <w:t xml:space="preserve"> </w:t>
      </w:r>
      <w:r w:rsidR="00C94F72" w:rsidRPr="003A0C5C">
        <w:t>land use designation of</w:t>
      </w:r>
      <w:r w:rsidRPr="003A0C5C">
        <w:t xml:space="preserve"> </w:t>
      </w:r>
      <w:r w:rsidR="00DA6355" w:rsidRPr="003A0C5C">
        <w:t>Light</w:t>
      </w:r>
      <w:r w:rsidRPr="003A0C5C">
        <w:t xml:space="preserve"> Industrial</w:t>
      </w:r>
      <w:r w:rsidR="00C94F72" w:rsidRPr="003A0C5C">
        <w:rPr>
          <w:rFonts w:cs="Times"/>
        </w:rPr>
        <w:t xml:space="preserve"> and a zoning code designation of Manufacturing Light</w:t>
      </w:r>
      <w:r w:rsidR="00712E3D" w:rsidRPr="003A0C5C">
        <w:rPr>
          <w:rFonts w:cs="Times"/>
        </w:rPr>
        <w:t xml:space="preserve"> </w:t>
      </w:r>
      <w:r w:rsidR="00712E3D" w:rsidRPr="003A0C5C">
        <w:t>– with Site Plan and Design Review Overl</w:t>
      </w:r>
      <w:r w:rsidR="003E5A5A" w:rsidRPr="003A0C5C">
        <w:t>a</w:t>
      </w:r>
      <w:r w:rsidR="00712E3D" w:rsidRPr="003A0C5C">
        <w:t>y</w:t>
      </w:r>
      <w:r w:rsidR="00C94F72" w:rsidRPr="003A0C5C">
        <w:rPr>
          <w:rFonts w:cs="Times"/>
        </w:rPr>
        <w:t xml:space="preserve"> (ML</w:t>
      </w:r>
      <w:r w:rsidR="00712E3D" w:rsidRPr="003A0C5C">
        <w:rPr>
          <w:rFonts w:cs="Times"/>
        </w:rPr>
        <w:t>-D</w:t>
      </w:r>
      <w:r w:rsidR="00C94F72" w:rsidRPr="003A0C5C">
        <w:rPr>
          <w:rFonts w:cs="Times"/>
        </w:rPr>
        <w:t xml:space="preserve">). </w:t>
      </w:r>
      <w:r w:rsidR="00712E3D" w:rsidRPr="003A0C5C">
        <w:rPr>
          <w:rFonts w:cs="Times"/>
        </w:rPr>
        <w:t>The proposed project would require a general plan amendment</w:t>
      </w:r>
      <w:r w:rsidR="004D1D08" w:rsidRPr="003A0C5C">
        <w:rPr>
          <w:rFonts w:cs="Times"/>
        </w:rPr>
        <w:t xml:space="preserve"> </w:t>
      </w:r>
      <w:r w:rsidR="004D1D08" w:rsidRPr="003A0C5C">
        <w:t>(from Light Industrial to Heavy Industrial)</w:t>
      </w:r>
      <w:r w:rsidR="00712E3D" w:rsidRPr="003A0C5C">
        <w:rPr>
          <w:rFonts w:cs="Times"/>
        </w:rPr>
        <w:t xml:space="preserve">, zone change, corresponding general plan and zone text/map amendments and adoption of a specific plan for specific uses and deviations from the </w:t>
      </w:r>
      <w:r w:rsidR="003E5A5A" w:rsidRPr="003A0C5C">
        <w:rPr>
          <w:rFonts w:cs="Times"/>
        </w:rPr>
        <w:t>d</w:t>
      </w:r>
      <w:r w:rsidR="00712E3D" w:rsidRPr="003A0C5C">
        <w:rPr>
          <w:rFonts w:cs="Times"/>
        </w:rPr>
        <w:t xml:space="preserve">evelopment </w:t>
      </w:r>
      <w:r w:rsidR="003E5A5A" w:rsidRPr="003A0C5C">
        <w:rPr>
          <w:rFonts w:cs="Times"/>
        </w:rPr>
        <w:t>s</w:t>
      </w:r>
      <w:r w:rsidR="00712E3D" w:rsidRPr="003A0C5C">
        <w:rPr>
          <w:rFonts w:cs="Times"/>
        </w:rPr>
        <w:t xml:space="preserve">tandards that may not apply. </w:t>
      </w:r>
    </w:p>
    <w:p w14:paraId="36BE587A" w14:textId="16317059" w:rsidR="00541876" w:rsidRPr="003A0C5C" w:rsidRDefault="004D1D08" w:rsidP="00655603">
      <w:pPr>
        <w:pStyle w:val="12spaceindent"/>
        <w:rPr>
          <w:rStyle w:val="Italic"/>
          <w:i w:val="0"/>
        </w:rPr>
      </w:pPr>
      <w:r w:rsidRPr="003A0C5C">
        <w:rPr>
          <w:rFonts w:cs="Times"/>
        </w:rPr>
        <w:tab/>
      </w:r>
      <w:r w:rsidRPr="003A0C5C">
        <w:rPr>
          <w:rFonts w:cs="Times"/>
          <w:b/>
        </w:rPr>
        <w:t>Table 9</w:t>
      </w:r>
      <w:r w:rsidRPr="003A0C5C">
        <w:rPr>
          <w:rFonts w:cs="Times"/>
        </w:rPr>
        <w:t xml:space="preserve">, </w:t>
      </w:r>
      <w:r w:rsidRPr="003A0C5C">
        <w:rPr>
          <w:rStyle w:val="Italic"/>
        </w:rPr>
        <w:t>General Plan Consistency Analysis</w:t>
      </w:r>
      <w:r w:rsidRPr="003A0C5C">
        <w:rPr>
          <w:rStyle w:val="Italic"/>
          <w:i w:val="0"/>
        </w:rPr>
        <w:t xml:space="preserve">, analyzes the proposed project’s consistency with relevant General Plan Land Use Element goals and policies. As demonstrated in </w:t>
      </w:r>
      <w:r w:rsidRPr="003A0C5C">
        <w:rPr>
          <w:rStyle w:val="Italic"/>
          <w:bCs/>
          <w:i w:val="0"/>
        </w:rPr>
        <w:t>Table</w:t>
      </w:r>
      <w:r w:rsidR="00160F99" w:rsidRPr="003A0C5C">
        <w:rPr>
          <w:rStyle w:val="Italic"/>
          <w:bCs/>
          <w:i w:val="0"/>
        </w:rPr>
        <w:t> </w:t>
      </w:r>
      <w:r w:rsidRPr="003A0C5C">
        <w:rPr>
          <w:rStyle w:val="Italic"/>
          <w:bCs/>
          <w:i w:val="0"/>
        </w:rPr>
        <w:t>9,</w:t>
      </w:r>
      <w:r w:rsidRPr="003A0C5C">
        <w:rPr>
          <w:rStyle w:val="Italic"/>
          <w:b/>
          <w:i w:val="0"/>
        </w:rPr>
        <w:t xml:space="preserve"> </w:t>
      </w:r>
      <w:r w:rsidRPr="003A0C5C">
        <w:rPr>
          <w:rStyle w:val="Italic"/>
          <w:i w:val="0"/>
        </w:rPr>
        <w:t>the proposed project is consistent with the General Plan Land Use Element.</w:t>
      </w:r>
    </w:p>
    <w:p w14:paraId="3F551151" w14:textId="6C967F5C" w:rsidR="00541876" w:rsidRPr="003A0C5C" w:rsidRDefault="00541876" w:rsidP="00655603">
      <w:pPr>
        <w:pStyle w:val="12spaceindentcontinue"/>
      </w:pPr>
      <w:r w:rsidRPr="003A0C5C">
        <w:t xml:space="preserve">The City uses the specific plan process to establish type, location, and character of development to take place on a property (City of Carson 2002). Although a specific plan allows flexibility of development in regard to land use and design concepts, the overall design guidelines are required to follow City standards. The proposed project would be designed to be compatible with zoning and design regulations as detailed in the specific plan and would adhere to </w:t>
      </w:r>
      <w:r w:rsidR="0074187E" w:rsidRPr="003A0C5C">
        <w:t xml:space="preserve">allowable building </w:t>
      </w:r>
      <w:r w:rsidRPr="003A0C5C">
        <w:t>height</w:t>
      </w:r>
      <w:r w:rsidR="0074187E" w:rsidRPr="003A0C5C">
        <w:t xml:space="preserve"> and setbacks.</w:t>
      </w:r>
    </w:p>
    <w:p w14:paraId="3D8637D4" w14:textId="59E86E96" w:rsidR="00541876" w:rsidRPr="003A0C5C" w:rsidRDefault="00541876" w:rsidP="00655603">
      <w:pPr>
        <w:pStyle w:val="12spaceindentcontinue"/>
      </w:pPr>
      <w:r w:rsidRPr="003A0C5C">
        <w:t>Based on the analysis above and upon approval of the requested entitlements, the proposed project would not conflict with applicable goals and policies in the General Plan or applicable regulations under the Zoning Code. Therefore, the proposed project would result in less</w:t>
      </w:r>
      <w:r w:rsidR="00F321D1" w:rsidRPr="003A0C5C">
        <w:t>-</w:t>
      </w:r>
      <w:r w:rsidRPr="003A0C5C">
        <w:t>than</w:t>
      </w:r>
      <w:r w:rsidR="00F321D1" w:rsidRPr="003A0C5C">
        <w:t>-</w:t>
      </w:r>
      <w:r w:rsidRPr="003A0C5C">
        <w:t xml:space="preserve">significant impacts. </w:t>
      </w:r>
    </w:p>
    <w:tbl>
      <w:tblPr>
        <w:tblW w:w="0" w:type="auto"/>
        <w:tblInd w:w="720" w:type="dxa"/>
        <w:tblCellMar>
          <w:left w:w="86" w:type="dxa"/>
          <w:right w:w="86" w:type="dxa"/>
        </w:tblCellMar>
        <w:tblLook w:val="04A0" w:firstRow="1" w:lastRow="0" w:firstColumn="1" w:lastColumn="0" w:noHBand="0" w:noVBand="1"/>
      </w:tblPr>
      <w:tblGrid>
        <w:gridCol w:w="3690"/>
        <w:gridCol w:w="4230"/>
      </w:tblGrid>
      <w:tr w:rsidR="003A0C5C" w:rsidRPr="003A0C5C" w14:paraId="6A34198E" w14:textId="77777777" w:rsidTr="00B16F7A">
        <w:trPr>
          <w:cantSplit/>
          <w:tblHeader/>
        </w:trPr>
        <w:tc>
          <w:tcPr>
            <w:tcW w:w="7920" w:type="dxa"/>
            <w:gridSpan w:val="2"/>
            <w:tcBorders>
              <w:bottom w:val="single" w:sz="4" w:space="0" w:color="auto"/>
            </w:tcBorders>
            <w:vAlign w:val="bottom"/>
          </w:tcPr>
          <w:p w14:paraId="37F26C5E" w14:textId="01DD21A3" w:rsidR="004D1D08" w:rsidRPr="003A0C5C" w:rsidRDefault="004D1D08" w:rsidP="00B4617B">
            <w:pPr>
              <w:pStyle w:val="TableNoTitle"/>
            </w:pPr>
            <w:bookmarkStart w:id="80" w:name="_Toc101792201"/>
            <w:r w:rsidRPr="003A0C5C">
              <w:lastRenderedPageBreak/>
              <w:t>Table 9</w:t>
            </w:r>
            <w:r w:rsidRPr="003A0C5C">
              <w:br/>
            </w:r>
            <w:r w:rsidR="00C668F4" w:rsidRPr="003A0C5C">
              <w:tab/>
            </w:r>
            <w:r w:rsidR="00B4617B" w:rsidRPr="003A0C5C">
              <w:t>General Plan Consistency Analysis</w:t>
            </w:r>
            <w:bookmarkEnd w:id="80"/>
          </w:p>
        </w:tc>
      </w:tr>
      <w:tr w:rsidR="003A0C5C" w:rsidRPr="003A0C5C" w14:paraId="1DC1ADBD" w14:textId="77777777" w:rsidTr="00B16F7A">
        <w:trPr>
          <w:cantSplit/>
          <w:tblHeader/>
        </w:trPr>
        <w:tc>
          <w:tcPr>
            <w:tcW w:w="3690" w:type="dxa"/>
            <w:tcBorders>
              <w:top w:val="single" w:sz="4" w:space="0" w:color="auto"/>
              <w:bottom w:val="single" w:sz="12" w:space="0" w:color="auto"/>
            </w:tcBorders>
            <w:vAlign w:val="bottom"/>
          </w:tcPr>
          <w:p w14:paraId="6BC53A65" w14:textId="579B7FD1" w:rsidR="004D1D08" w:rsidRPr="003A0C5C" w:rsidRDefault="00B4617B" w:rsidP="00B04B48">
            <w:pPr>
              <w:pStyle w:val="Tablecolumnheading"/>
            </w:pPr>
            <w:r w:rsidRPr="003A0C5C">
              <w:t>Relevant Policies</w:t>
            </w:r>
          </w:p>
        </w:tc>
        <w:tc>
          <w:tcPr>
            <w:tcW w:w="4230" w:type="dxa"/>
            <w:tcBorders>
              <w:top w:val="single" w:sz="4" w:space="0" w:color="auto"/>
              <w:bottom w:val="single" w:sz="12" w:space="0" w:color="auto"/>
            </w:tcBorders>
            <w:vAlign w:val="bottom"/>
          </w:tcPr>
          <w:p w14:paraId="085E1E6B" w14:textId="4802ADB2" w:rsidR="004D1D08" w:rsidRPr="003A0C5C" w:rsidRDefault="00B4617B" w:rsidP="00B04B48">
            <w:pPr>
              <w:pStyle w:val="Tablecolumnheading"/>
              <w:jc w:val="center"/>
            </w:pPr>
            <w:r w:rsidRPr="003A0C5C">
              <w:t>Project Consistency Analysis</w:t>
            </w:r>
          </w:p>
        </w:tc>
      </w:tr>
      <w:tr w:rsidR="003A0C5C" w:rsidRPr="003A0C5C" w14:paraId="22758E29" w14:textId="77777777" w:rsidTr="00B16F7A">
        <w:trPr>
          <w:cantSplit/>
        </w:trPr>
        <w:tc>
          <w:tcPr>
            <w:tcW w:w="3690" w:type="dxa"/>
            <w:tcBorders>
              <w:top w:val="single" w:sz="12" w:space="0" w:color="auto"/>
              <w:bottom w:val="nil"/>
              <w:right w:val="nil"/>
            </w:tcBorders>
            <w:shd w:val="clear" w:color="auto" w:fill="auto"/>
          </w:tcPr>
          <w:p w14:paraId="2A32EE59" w14:textId="29C42851" w:rsidR="004D1D08" w:rsidRPr="003A0C5C" w:rsidRDefault="00B16F7A" w:rsidP="00B04B48">
            <w:pPr>
              <w:pStyle w:val="Tabletext"/>
              <w:keepNext/>
            </w:pPr>
            <w:r w:rsidRPr="003A0C5C">
              <w:t xml:space="preserve">Goal LU-2: Rehabilitation and/or removal of abandoned buildings and facilities. </w:t>
            </w:r>
          </w:p>
        </w:tc>
        <w:tc>
          <w:tcPr>
            <w:tcW w:w="4230" w:type="dxa"/>
            <w:tcBorders>
              <w:top w:val="single" w:sz="12" w:space="0" w:color="auto"/>
              <w:left w:val="nil"/>
              <w:bottom w:val="nil"/>
            </w:tcBorders>
            <w:shd w:val="clear" w:color="auto" w:fill="auto"/>
          </w:tcPr>
          <w:p w14:paraId="7EEE9921" w14:textId="39C0D6C7" w:rsidR="004D1D08" w:rsidRPr="003A0C5C" w:rsidRDefault="008D5915" w:rsidP="002E1860">
            <w:pPr>
              <w:pStyle w:val="Tabletext"/>
              <w:keepNext/>
            </w:pPr>
            <w:r w:rsidRPr="003A0C5C">
              <w:t xml:space="preserve">As discussed in the Phase I ESA, the project site formerly was improved with commercial/industrial uses. </w:t>
            </w:r>
            <w:r w:rsidR="002E1860" w:rsidRPr="003A0C5C">
              <w:t>These</w:t>
            </w:r>
            <w:r w:rsidRPr="003A0C5C">
              <w:t xml:space="preserve"> uses were demolished between 2009 and 2012</w:t>
            </w:r>
            <w:r w:rsidR="002E1860" w:rsidRPr="003A0C5C">
              <w:t xml:space="preserve">. There are no habitable structures present on the project site, however, remnant improvements are still present on the project site. Under the proposed project, the remnant structures would be </w:t>
            </w:r>
            <w:r w:rsidR="000436BE" w:rsidRPr="003A0C5C">
              <w:t>removed,</w:t>
            </w:r>
            <w:r w:rsidR="002E1860" w:rsidRPr="003A0C5C">
              <w:t xml:space="preserve"> and a self-storage facility would be developed. The redevelopment of the project site would not conflict with this goal. </w:t>
            </w:r>
          </w:p>
        </w:tc>
      </w:tr>
      <w:tr w:rsidR="003A0C5C" w:rsidRPr="003A0C5C" w14:paraId="40334A6A" w14:textId="77777777" w:rsidTr="00B16F7A">
        <w:trPr>
          <w:cantSplit/>
        </w:trPr>
        <w:tc>
          <w:tcPr>
            <w:tcW w:w="3690" w:type="dxa"/>
            <w:tcBorders>
              <w:top w:val="nil"/>
              <w:bottom w:val="nil"/>
              <w:right w:val="nil"/>
            </w:tcBorders>
            <w:shd w:val="clear" w:color="auto" w:fill="auto"/>
          </w:tcPr>
          <w:p w14:paraId="12DB8873" w14:textId="0FECB41A" w:rsidR="004D1D08" w:rsidRPr="003A0C5C" w:rsidRDefault="00B16F7A" w:rsidP="00B04B48">
            <w:pPr>
              <w:pStyle w:val="Tabletext"/>
              <w:keepNext/>
            </w:pPr>
            <w:r w:rsidRPr="003A0C5C">
              <w:t xml:space="preserve">Goal LU-6: A sustainable balance of residential and non-residential development and a balance of traffic circulation throughout the City. </w:t>
            </w:r>
          </w:p>
        </w:tc>
        <w:tc>
          <w:tcPr>
            <w:tcW w:w="4230" w:type="dxa"/>
            <w:tcBorders>
              <w:top w:val="nil"/>
              <w:left w:val="nil"/>
              <w:bottom w:val="nil"/>
            </w:tcBorders>
            <w:shd w:val="clear" w:color="auto" w:fill="auto"/>
          </w:tcPr>
          <w:p w14:paraId="0B0E572F" w14:textId="4CE1C589" w:rsidR="004D1D08" w:rsidRPr="003A0C5C" w:rsidRDefault="003C49F0" w:rsidP="003C49F0">
            <w:pPr>
              <w:pStyle w:val="Tabletext"/>
              <w:keepNext/>
              <w:rPr>
                <w:spacing w:val="-2"/>
              </w:rPr>
            </w:pPr>
            <w:r w:rsidRPr="003A0C5C">
              <w:rPr>
                <w:spacing w:val="-2"/>
              </w:rPr>
              <w:t xml:space="preserve">The proposed project would be developed on a site that was previously developed with commercial/industrial uses. The proposed uses include a self-storage facility which would be in keeping with the previous uses on the project site as well as the surrounding existing commercial uses along </w:t>
            </w:r>
            <w:r w:rsidR="005F23E3" w:rsidRPr="003A0C5C">
              <w:rPr>
                <w:spacing w:val="-2"/>
              </w:rPr>
              <w:t xml:space="preserve">East </w:t>
            </w:r>
            <w:r w:rsidRPr="003A0C5C">
              <w:rPr>
                <w:spacing w:val="-2"/>
              </w:rPr>
              <w:t xml:space="preserve">Carson Street. </w:t>
            </w:r>
            <w:r w:rsidR="006910EF" w:rsidRPr="003A0C5C">
              <w:rPr>
                <w:spacing w:val="-2"/>
              </w:rPr>
              <w:t>As such, development of the proposed project would not conflict with this goal.</w:t>
            </w:r>
            <w:r w:rsidRPr="003A0C5C">
              <w:rPr>
                <w:spacing w:val="-2"/>
              </w:rPr>
              <w:t xml:space="preserve"> </w:t>
            </w:r>
          </w:p>
        </w:tc>
      </w:tr>
      <w:tr w:rsidR="003A0C5C" w:rsidRPr="003A0C5C" w14:paraId="0623DA66" w14:textId="77777777" w:rsidTr="00B16F7A">
        <w:trPr>
          <w:cantSplit/>
        </w:trPr>
        <w:tc>
          <w:tcPr>
            <w:tcW w:w="3690" w:type="dxa"/>
            <w:tcBorders>
              <w:top w:val="nil"/>
              <w:bottom w:val="nil"/>
              <w:right w:val="nil"/>
            </w:tcBorders>
            <w:shd w:val="clear" w:color="auto" w:fill="auto"/>
          </w:tcPr>
          <w:p w14:paraId="1590B347" w14:textId="27D616FA" w:rsidR="004D1D08" w:rsidRPr="003A0C5C" w:rsidRDefault="0020004D" w:rsidP="00B04B48">
            <w:pPr>
              <w:pStyle w:val="Tabletext"/>
              <w:keepNext/>
            </w:pPr>
            <w:r w:rsidRPr="003A0C5C">
              <w:t xml:space="preserve">Policy </w:t>
            </w:r>
            <w:r w:rsidR="00DD1EE3" w:rsidRPr="003A0C5C">
              <w:t xml:space="preserve">LU-12.3: Review landscape plans for new development to ensure that landscaping relates well to the proposed land use, the scale of structures, and the surrounding area. </w:t>
            </w:r>
          </w:p>
          <w:p w14:paraId="545BE398" w14:textId="77777777" w:rsidR="00DD1EE3" w:rsidRPr="003A0C5C" w:rsidRDefault="00DD1EE3" w:rsidP="00B04B48">
            <w:pPr>
              <w:pStyle w:val="Tabletext"/>
              <w:keepNext/>
            </w:pPr>
          </w:p>
          <w:p w14:paraId="0ABAA206" w14:textId="0AFE4A46" w:rsidR="00DD1EE3" w:rsidRPr="003A0C5C" w:rsidRDefault="0020004D" w:rsidP="00B04B48">
            <w:pPr>
              <w:pStyle w:val="Tabletext"/>
              <w:keepNext/>
            </w:pPr>
            <w:r w:rsidRPr="003A0C5C">
              <w:t xml:space="preserve">Policy </w:t>
            </w:r>
            <w:r w:rsidR="00DD1EE3" w:rsidRPr="003A0C5C">
              <w:t xml:space="preserve">LU-12.5: Improve City appearance requiring landscaping to screen, buffer, and unify new and existing development. Mandate continued upkeep of landscaped areas. </w:t>
            </w:r>
          </w:p>
        </w:tc>
        <w:tc>
          <w:tcPr>
            <w:tcW w:w="4230" w:type="dxa"/>
            <w:tcBorders>
              <w:top w:val="nil"/>
              <w:left w:val="nil"/>
              <w:bottom w:val="nil"/>
            </w:tcBorders>
            <w:shd w:val="clear" w:color="auto" w:fill="auto"/>
          </w:tcPr>
          <w:p w14:paraId="34E667AB" w14:textId="2CEE29A4" w:rsidR="004D1D08" w:rsidRPr="003A0C5C" w:rsidRDefault="006910EF" w:rsidP="006910EF">
            <w:pPr>
              <w:pStyle w:val="Tabletext"/>
              <w:keepNext/>
              <w:rPr>
                <w:spacing w:val="-3"/>
              </w:rPr>
            </w:pPr>
            <w:r w:rsidRPr="003A0C5C">
              <w:rPr>
                <w:spacing w:val="-3"/>
              </w:rPr>
              <w:t xml:space="preserve">As described </w:t>
            </w:r>
            <w:r w:rsidR="0034173D" w:rsidRPr="003A0C5C">
              <w:rPr>
                <w:spacing w:val="-3"/>
              </w:rPr>
              <w:t>in Chapter 2, Project Description</w:t>
            </w:r>
            <w:r w:rsidRPr="003A0C5C">
              <w:rPr>
                <w:spacing w:val="-3"/>
              </w:rPr>
              <w:t xml:space="preserve">, the proposed project would include approximately </w:t>
            </w:r>
            <w:r w:rsidR="003B4E7B" w:rsidRPr="003A0C5C">
              <w:rPr>
                <w:spacing w:val="-3"/>
              </w:rPr>
              <w:t>12,134</w:t>
            </w:r>
            <w:r w:rsidRPr="003A0C5C">
              <w:rPr>
                <w:spacing w:val="-3"/>
              </w:rPr>
              <w:t xml:space="preserve"> square feet of landscaping around the perimeter of the project site. A variety of drought tolerant ornamental shrubs and medium size trees, which would be varying in height, would be included as a part of the proposed landscaping.</w:t>
            </w:r>
            <w:r w:rsidR="000F1A74" w:rsidRPr="003A0C5C">
              <w:rPr>
                <w:spacing w:val="-3"/>
              </w:rPr>
              <w:t xml:space="preserve"> In addition, a landscape screen would be installed on the northern boundary of the project site, which would serve to screen the self-storage facility from the residential uses directly to the north of the project site. These landscape features would not conflict with these policies. </w:t>
            </w:r>
          </w:p>
        </w:tc>
      </w:tr>
      <w:tr w:rsidR="003A0C5C" w:rsidRPr="003A0C5C" w14:paraId="6D7AB7D0" w14:textId="77777777" w:rsidTr="00B16F7A">
        <w:trPr>
          <w:cantSplit/>
        </w:trPr>
        <w:tc>
          <w:tcPr>
            <w:tcW w:w="3690" w:type="dxa"/>
            <w:tcBorders>
              <w:top w:val="nil"/>
              <w:bottom w:val="nil"/>
              <w:right w:val="nil"/>
            </w:tcBorders>
            <w:shd w:val="clear" w:color="auto" w:fill="auto"/>
          </w:tcPr>
          <w:p w14:paraId="287E3547" w14:textId="404F98F7" w:rsidR="004D1D08" w:rsidRPr="003A0C5C" w:rsidRDefault="0020004D" w:rsidP="00B04B48">
            <w:pPr>
              <w:pStyle w:val="Tabletext"/>
              <w:keepNext/>
            </w:pPr>
            <w:r w:rsidRPr="003A0C5C">
              <w:t xml:space="preserve">Policy </w:t>
            </w:r>
            <w:r w:rsidR="00DD1EE3" w:rsidRPr="003A0C5C">
              <w:t xml:space="preserve">LU-13.4: Encourage architectural variation of building and parking setbacks along the streetscape to create visual interest, avoid monotony and enhance the identity of individual areas. Encourage pedestrian orientation by appropriate placement of buildings. </w:t>
            </w:r>
          </w:p>
        </w:tc>
        <w:tc>
          <w:tcPr>
            <w:tcW w:w="4230" w:type="dxa"/>
            <w:tcBorders>
              <w:top w:val="nil"/>
              <w:left w:val="nil"/>
              <w:bottom w:val="nil"/>
            </w:tcBorders>
            <w:shd w:val="clear" w:color="auto" w:fill="auto"/>
          </w:tcPr>
          <w:p w14:paraId="0CCE9D71" w14:textId="35C81FD5" w:rsidR="004D1D08" w:rsidRPr="003A0C5C" w:rsidRDefault="00B262F0" w:rsidP="00B262F0">
            <w:pPr>
              <w:pStyle w:val="Tabletext"/>
              <w:keepNext/>
            </w:pPr>
            <w:r w:rsidRPr="003A0C5C">
              <w:t xml:space="preserve">As described further </w:t>
            </w:r>
            <w:r w:rsidR="0034173D" w:rsidRPr="003A0C5C">
              <w:t>in Chapter 2, Project Description</w:t>
            </w:r>
            <w:r w:rsidRPr="003A0C5C">
              <w:t>, the proposed project would consist of neutral-toned building materials in Spanish styled architecture, which include Spanish accents, Spanish tile roof, spandrel glazing, and landscaping. The proposed design would largely resemble a multi</w:t>
            </w:r>
            <w:r w:rsidRPr="003A0C5C">
              <w:rPr>
                <w:rFonts w:ascii="Cambria Math" w:hAnsi="Cambria Math" w:cs="Cambria Math"/>
              </w:rPr>
              <w:t>‐</w:t>
            </w:r>
            <w:r w:rsidRPr="003A0C5C">
              <w:t>family residential building in its aesthetics and massing. This design would provide for architectural variation along Car</w:t>
            </w:r>
            <w:r w:rsidR="00C96996" w:rsidRPr="003A0C5C">
              <w:t>s</w:t>
            </w:r>
            <w:r w:rsidRPr="003A0C5C">
              <w:t xml:space="preserve">on Street, creating visual interest and avoiding monotony and would not conflict with this policy. </w:t>
            </w:r>
          </w:p>
        </w:tc>
      </w:tr>
      <w:tr w:rsidR="003A0C5C" w:rsidRPr="003A0C5C" w14:paraId="20C22E3C" w14:textId="77777777" w:rsidTr="00B16F7A">
        <w:trPr>
          <w:cantSplit/>
        </w:trPr>
        <w:tc>
          <w:tcPr>
            <w:tcW w:w="3690" w:type="dxa"/>
            <w:tcBorders>
              <w:top w:val="nil"/>
              <w:bottom w:val="nil"/>
              <w:right w:val="nil"/>
            </w:tcBorders>
            <w:shd w:val="clear" w:color="auto" w:fill="auto"/>
          </w:tcPr>
          <w:p w14:paraId="17EA9682" w14:textId="45CE8AFA" w:rsidR="004D1D08" w:rsidRPr="003A0C5C" w:rsidRDefault="0020004D" w:rsidP="00B04B48">
            <w:pPr>
              <w:pStyle w:val="Tabletext"/>
              <w:keepNext/>
            </w:pPr>
            <w:r w:rsidRPr="003A0C5C">
              <w:t xml:space="preserve">Policy </w:t>
            </w:r>
            <w:r w:rsidR="00DD1EE3" w:rsidRPr="003A0C5C">
              <w:t xml:space="preserve">LU-15.1: Encourage the location of housing, jobs, shopping, services, and other activities within easy walking distance of each other. </w:t>
            </w:r>
          </w:p>
        </w:tc>
        <w:tc>
          <w:tcPr>
            <w:tcW w:w="4230" w:type="dxa"/>
            <w:tcBorders>
              <w:top w:val="nil"/>
              <w:left w:val="nil"/>
              <w:bottom w:val="nil"/>
            </w:tcBorders>
            <w:shd w:val="clear" w:color="auto" w:fill="auto"/>
          </w:tcPr>
          <w:p w14:paraId="1D9CBB17" w14:textId="3FAFBEEC" w:rsidR="004D1D08" w:rsidRPr="003A0C5C" w:rsidRDefault="00B262F0" w:rsidP="00B262F0">
            <w:pPr>
              <w:pStyle w:val="Tabletext"/>
              <w:keepNext/>
            </w:pPr>
            <w:r w:rsidRPr="003A0C5C">
              <w:t xml:space="preserve">The proposed project includes cafe/retail uses totaling 4,675 square feet in proximity to residential uses and the nearby Perry Street Mini-Park. The location of the cafe/retail uses would serve to encourage </w:t>
            </w:r>
            <w:r w:rsidR="005539E4" w:rsidRPr="003A0C5C">
              <w:t xml:space="preserve">residents to the north and southeast of the project site to walk to the project site. As such, the proposed project would not conflict with this policy. </w:t>
            </w:r>
          </w:p>
        </w:tc>
      </w:tr>
      <w:tr w:rsidR="003A0C5C" w:rsidRPr="003A0C5C" w14:paraId="1B9BCA7B" w14:textId="77777777" w:rsidTr="00B16F7A">
        <w:trPr>
          <w:cantSplit/>
        </w:trPr>
        <w:tc>
          <w:tcPr>
            <w:tcW w:w="3690" w:type="dxa"/>
            <w:tcBorders>
              <w:top w:val="nil"/>
              <w:right w:val="nil"/>
            </w:tcBorders>
            <w:shd w:val="clear" w:color="auto" w:fill="auto"/>
          </w:tcPr>
          <w:p w14:paraId="60FBFAF7" w14:textId="23F0FCB0" w:rsidR="004D1D08" w:rsidRPr="003A0C5C" w:rsidRDefault="0020004D" w:rsidP="00B04B48">
            <w:pPr>
              <w:pStyle w:val="Tabletext"/>
              <w:keepNext/>
            </w:pPr>
            <w:r w:rsidRPr="003A0C5C">
              <w:t xml:space="preserve">Policy </w:t>
            </w:r>
            <w:r w:rsidR="00DD1EE3" w:rsidRPr="003A0C5C">
              <w:t xml:space="preserve">LU-15.7: Provide for efficient use of water through the use of </w:t>
            </w:r>
            <w:r w:rsidR="00794000" w:rsidRPr="003A0C5C">
              <w:t xml:space="preserve">drainage, drought tolerant landscaping, and use of reclaimed water, efficient appliances, and water conserving plumbing fixtures. </w:t>
            </w:r>
          </w:p>
        </w:tc>
        <w:tc>
          <w:tcPr>
            <w:tcW w:w="4230" w:type="dxa"/>
            <w:tcBorders>
              <w:top w:val="nil"/>
              <w:left w:val="nil"/>
            </w:tcBorders>
            <w:shd w:val="clear" w:color="auto" w:fill="auto"/>
          </w:tcPr>
          <w:p w14:paraId="3DD7D1E3" w14:textId="28A6681C" w:rsidR="004D1D08" w:rsidRPr="003A0C5C" w:rsidRDefault="00E70CD8" w:rsidP="00E70CD8">
            <w:pPr>
              <w:pStyle w:val="Tabletext"/>
              <w:keepNext/>
            </w:pPr>
            <w:r w:rsidRPr="003A0C5C">
              <w:t xml:space="preserve">As described above, a variety of drought tolerant ornamental shrubs and medium size trees, which would be varying in height, would be included as a part of the proposed landscaping. The use of drought tolerant landscaping would provide for efficient use of water and would not conflict with this policy. </w:t>
            </w:r>
          </w:p>
        </w:tc>
      </w:tr>
      <w:tr w:rsidR="004D1D08" w:rsidRPr="003A0C5C" w14:paraId="36839FBF" w14:textId="77777777" w:rsidTr="00B16F7A">
        <w:tblPrEx>
          <w:tblBorders>
            <w:bottom w:val="single" w:sz="4" w:space="0" w:color="auto"/>
          </w:tblBorders>
        </w:tblPrEx>
        <w:trPr>
          <w:cantSplit/>
        </w:trPr>
        <w:tc>
          <w:tcPr>
            <w:tcW w:w="7920" w:type="dxa"/>
            <w:gridSpan w:val="2"/>
            <w:tcBorders>
              <w:top w:val="single" w:sz="4" w:space="0" w:color="auto"/>
              <w:bottom w:val="single" w:sz="4" w:space="0" w:color="auto"/>
            </w:tcBorders>
            <w:shd w:val="clear" w:color="auto" w:fill="auto"/>
            <w:tcMar>
              <w:bottom w:w="0" w:type="dxa"/>
            </w:tcMar>
          </w:tcPr>
          <w:p w14:paraId="71286A51" w14:textId="0ED53161" w:rsidR="004D1D08" w:rsidRPr="003A0C5C" w:rsidRDefault="004D1D08" w:rsidP="00655603">
            <w:pPr>
              <w:pStyle w:val="TableSource"/>
              <w:spacing w:before="120" w:after="120"/>
            </w:pPr>
            <w:r w:rsidRPr="003A0C5C">
              <w:t xml:space="preserve">SOURCE: ESA </w:t>
            </w:r>
            <w:r w:rsidR="00B4617B" w:rsidRPr="003A0C5C">
              <w:t>2022.</w:t>
            </w:r>
          </w:p>
        </w:tc>
      </w:tr>
    </w:tbl>
    <w:p w14:paraId="3A4DB5CB" w14:textId="77777777" w:rsidR="00E41000" w:rsidRPr="003A0C5C" w:rsidRDefault="00E41000" w:rsidP="0083184D">
      <w:pPr>
        <w:pStyle w:val="12spaceindentcontinue"/>
        <w:spacing w:after="0"/>
      </w:pPr>
    </w:p>
    <w:p w14:paraId="52440E60" w14:textId="77777777" w:rsidR="00E41000" w:rsidRPr="003A0C5C" w:rsidRDefault="00E41000" w:rsidP="00E41000">
      <w:pPr>
        <w:pStyle w:val="12spaceindent"/>
        <w:keepNext/>
        <w:spacing w:after="120"/>
        <w:ind w:left="0" w:firstLine="0"/>
        <w:rPr>
          <w:highlight w:val="yellow"/>
        </w:rPr>
      </w:pPr>
    </w:p>
    <w:p w14:paraId="4927DC02" w14:textId="103D99FB" w:rsidR="004F426E" w:rsidRPr="003A0C5C" w:rsidRDefault="004F426E" w:rsidP="002B6967">
      <w:pPr>
        <w:pStyle w:val="ImpactSectionEnd"/>
        <w:rPr>
          <w:highlight w:val="yellow"/>
        </w:rPr>
      </w:pPr>
    </w:p>
    <w:p w14:paraId="1936985A" w14:textId="77777777" w:rsidR="008B0DDC" w:rsidRPr="003A0C5C" w:rsidRDefault="004F426E" w:rsidP="002B6967">
      <w:pPr>
        <w:rPr>
          <w:highlight w:val="yellow"/>
        </w:rPr>
      </w:pPr>
      <w:r w:rsidRPr="003A0C5C">
        <w:rPr>
          <w:highlight w:val="yellow"/>
        </w:rPr>
        <w:br w:type="page"/>
      </w:r>
    </w:p>
    <w:p w14:paraId="193027EC" w14:textId="2077FA0D" w:rsidR="004F426E" w:rsidRPr="003A0C5C" w:rsidRDefault="008B0DDC" w:rsidP="008B0DDC">
      <w:pPr>
        <w:pStyle w:val="Heading4"/>
      </w:pPr>
      <w:bookmarkStart w:id="81" w:name="_Toc101791991"/>
      <w:r w:rsidRPr="003A0C5C">
        <w:lastRenderedPageBreak/>
        <w:t>XII.</w:t>
      </w:r>
      <w:r w:rsidRPr="003A0C5C">
        <w:tab/>
      </w:r>
      <w:r w:rsidR="004F426E" w:rsidRPr="003A0C5C">
        <w:t>Mineral Resources</w:t>
      </w:r>
      <w:bookmarkEnd w:id="81"/>
    </w:p>
    <w:tbl>
      <w:tblPr>
        <w:tblW w:w="0" w:type="auto"/>
        <w:tblCellMar>
          <w:left w:w="86" w:type="dxa"/>
          <w:right w:w="86" w:type="dxa"/>
        </w:tblCellMar>
        <w:tblLook w:val="0000" w:firstRow="0" w:lastRow="0" w:firstColumn="0" w:lastColumn="0" w:noHBand="0" w:noVBand="0"/>
      </w:tblPr>
      <w:tblGrid>
        <w:gridCol w:w="5088"/>
        <w:gridCol w:w="888"/>
        <w:gridCol w:w="1152"/>
        <w:gridCol w:w="888"/>
        <w:gridCol w:w="624"/>
      </w:tblGrid>
      <w:tr w:rsidR="003A0C5C" w:rsidRPr="003A0C5C" w14:paraId="03C98F3F" w14:textId="77777777" w:rsidTr="00F07065">
        <w:trPr>
          <w:cantSplit/>
          <w:tblHeader/>
        </w:trPr>
        <w:tc>
          <w:tcPr>
            <w:tcW w:w="0" w:type="auto"/>
            <w:vAlign w:val="bottom"/>
          </w:tcPr>
          <w:p w14:paraId="61ED8280" w14:textId="77777777" w:rsidR="002B6967" w:rsidRPr="003A0C5C" w:rsidRDefault="002B6967" w:rsidP="00F07065">
            <w:pPr>
              <w:keepNext/>
              <w:pBdr>
                <w:bottom w:val="single" w:sz="4" w:space="1" w:color="auto"/>
              </w:pBdr>
              <w:spacing w:before="60" w:after="60"/>
              <w:ind w:left="540" w:hanging="540"/>
              <w:rPr>
                <w:rFonts w:ascii="Arial" w:hAnsi="Arial" w:cs="Arial"/>
                <w:b/>
                <w:i/>
                <w:sz w:val="14"/>
                <w:szCs w:val="16"/>
              </w:rPr>
            </w:pPr>
            <w:r w:rsidRPr="003A0C5C">
              <w:rPr>
                <w:rFonts w:ascii="Arial" w:hAnsi="Arial" w:cs="Arial"/>
                <w:b/>
                <w:i/>
                <w:sz w:val="14"/>
                <w:szCs w:val="16"/>
              </w:rPr>
              <w:t>Issues (and Supporting Information Sources)</w:t>
            </w:r>
          </w:p>
        </w:tc>
        <w:tc>
          <w:tcPr>
            <w:tcW w:w="0" w:type="auto"/>
            <w:vAlign w:val="bottom"/>
          </w:tcPr>
          <w:p w14:paraId="6FB463C1" w14:textId="77777777" w:rsidR="002B6967" w:rsidRPr="003A0C5C" w:rsidRDefault="002B6967" w:rsidP="00F07065">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Potentially</w:t>
            </w:r>
            <w:r w:rsidRPr="003A0C5C">
              <w:rPr>
                <w:rFonts w:ascii="Arial" w:hAnsi="Arial" w:cs="Arial"/>
                <w:b/>
                <w:i/>
                <w:sz w:val="14"/>
                <w:szCs w:val="16"/>
              </w:rPr>
              <w:br/>
              <w:t>Significant</w:t>
            </w:r>
            <w:r w:rsidRPr="003A0C5C">
              <w:rPr>
                <w:rFonts w:ascii="Arial" w:hAnsi="Arial" w:cs="Arial"/>
                <w:b/>
                <w:i/>
                <w:sz w:val="14"/>
                <w:szCs w:val="16"/>
              </w:rPr>
              <w:br/>
              <w:t>Impact</w:t>
            </w:r>
          </w:p>
        </w:tc>
        <w:tc>
          <w:tcPr>
            <w:tcW w:w="0" w:type="auto"/>
            <w:vAlign w:val="bottom"/>
          </w:tcPr>
          <w:p w14:paraId="7663DB98" w14:textId="77777777" w:rsidR="002B6967" w:rsidRPr="003A0C5C" w:rsidRDefault="002B6967" w:rsidP="00F07065">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Less than</w:t>
            </w:r>
            <w:r w:rsidRPr="003A0C5C">
              <w:rPr>
                <w:rFonts w:ascii="Arial" w:hAnsi="Arial" w:cs="Arial"/>
                <w:b/>
                <w:i/>
                <w:sz w:val="14"/>
                <w:szCs w:val="16"/>
              </w:rPr>
              <w:br/>
              <w:t>Significant</w:t>
            </w:r>
            <w:r w:rsidRPr="003A0C5C">
              <w:rPr>
                <w:rFonts w:ascii="Arial" w:hAnsi="Arial" w:cs="Arial"/>
                <w:b/>
                <w:i/>
                <w:sz w:val="14"/>
                <w:szCs w:val="16"/>
              </w:rPr>
              <w:br/>
              <w:t>with Mitigation</w:t>
            </w:r>
            <w:r w:rsidRPr="003A0C5C">
              <w:rPr>
                <w:rFonts w:ascii="Arial" w:hAnsi="Arial" w:cs="Arial"/>
                <w:b/>
                <w:i/>
                <w:sz w:val="14"/>
                <w:szCs w:val="16"/>
              </w:rPr>
              <w:br/>
              <w:t>Incorporated</w:t>
            </w:r>
          </w:p>
        </w:tc>
        <w:tc>
          <w:tcPr>
            <w:tcW w:w="0" w:type="auto"/>
            <w:vAlign w:val="bottom"/>
          </w:tcPr>
          <w:p w14:paraId="6FEC596A" w14:textId="77777777" w:rsidR="002B6967" w:rsidRPr="003A0C5C" w:rsidRDefault="002B6967" w:rsidP="00F07065">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Less-than-</w:t>
            </w:r>
            <w:r w:rsidRPr="003A0C5C">
              <w:rPr>
                <w:rFonts w:ascii="Arial" w:hAnsi="Arial" w:cs="Arial"/>
                <w:b/>
                <w:i/>
                <w:sz w:val="14"/>
                <w:szCs w:val="16"/>
              </w:rPr>
              <w:br/>
              <w:t>Significant</w:t>
            </w:r>
            <w:r w:rsidRPr="003A0C5C">
              <w:rPr>
                <w:rFonts w:ascii="Arial" w:hAnsi="Arial" w:cs="Arial"/>
                <w:b/>
                <w:i/>
                <w:sz w:val="14"/>
                <w:szCs w:val="16"/>
              </w:rPr>
              <w:br/>
              <w:t>Impact</w:t>
            </w:r>
          </w:p>
        </w:tc>
        <w:tc>
          <w:tcPr>
            <w:tcW w:w="0" w:type="auto"/>
            <w:vAlign w:val="bottom"/>
          </w:tcPr>
          <w:p w14:paraId="592F39CF" w14:textId="77777777" w:rsidR="002B6967" w:rsidRPr="003A0C5C" w:rsidRDefault="002B6967" w:rsidP="00F07065">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No</w:t>
            </w:r>
            <w:r w:rsidRPr="003A0C5C">
              <w:rPr>
                <w:rFonts w:ascii="Arial" w:hAnsi="Arial" w:cs="Arial"/>
                <w:b/>
                <w:i/>
                <w:sz w:val="14"/>
                <w:szCs w:val="16"/>
              </w:rPr>
              <w:br/>
              <w:t>Impact</w:t>
            </w:r>
          </w:p>
        </w:tc>
      </w:tr>
      <w:tr w:rsidR="003A0C5C" w:rsidRPr="003A0C5C" w14:paraId="6ECC9356" w14:textId="77777777" w:rsidTr="00F07065">
        <w:trPr>
          <w:cantSplit/>
        </w:trPr>
        <w:tc>
          <w:tcPr>
            <w:tcW w:w="0" w:type="auto"/>
          </w:tcPr>
          <w:p w14:paraId="66891D94" w14:textId="10082EA8" w:rsidR="002B6967" w:rsidRPr="003A0C5C" w:rsidRDefault="002B6967" w:rsidP="00F07065">
            <w:pPr>
              <w:pStyle w:val="Tabletextnumber"/>
              <w:keepNext/>
              <w:ind w:left="504" w:hanging="504"/>
              <w:rPr>
                <w:rStyle w:val="Bold"/>
              </w:rPr>
            </w:pPr>
            <w:r w:rsidRPr="003A0C5C">
              <w:rPr>
                <w:rStyle w:val="Bold"/>
              </w:rPr>
              <w:t>XII.</w:t>
            </w:r>
            <w:r w:rsidRPr="003A0C5C">
              <w:rPr>
                <w:rStyle w:val="Bold"/>
              </w:rPr>
              <w:tab/>
              <w:t>MINERAL RESOURCES</w:t>
            </w:r>
            <w:r w:rsidRPr="003A0C5C">
              <w:t>—Would the project:</w:t>
            </w:r>
          </w:p>
        </w:tc>
        <w:tc>
          <w:tcPr>
            <w:tcW w:w="0" w:type="auto"/>
          </w:tcPr>
          <w:p w14:paraId="3540B1B9" w14:textId="77777777" w:rsidR="002B6967" w:rsidRPr="003A0C5C" w:rsidRDefault="002B6967" w:rsidP="00F07065">
            <w:pPr>
              <w:pStyle w:val="Checklist"/>
            </w:pPr>
          </w:p>
        </w:tc>
        <w:tc>
          <w:tcPr>
            <w:tcW w:w="0" w:type="auto"/>
          </w:tcPr>
          <w:p w14:paraId="0DEEE2D2" w14:textId="77777777" w:rsidR="002B6967" w:rsidRPr="003A0C5C" w:rsidRDefault="002B6967" w:rsidP="00F07065">
            <w:pPr>
              <w:pStyle w:val="Checklist"/>
            </w:pPr>
          </w:p>
        </w:tc>
        <w:tc>
          <w:tcPr>
            <w:tcW w:w="0" w:type="auto"/>
          </w:tcPr>
          <w:p w14:paraId="20805940" w14:textId="77777777" w:rsidR="002B6967" w:rsidRPr="003A0C5C" w:rsidRDefault="002B6967" w:rsidP="00F07065">
            <w:pPr>
              <w:pStyle w:val="Checklist"/>
            </w:pPr>
          </w:p>
        </w:tc>
        <w:tc>
          <w:tcPr>
            <w:tcW w:w="0" w:type="auto"/>
          </w:tcPr>
          <w:p w14:paraId="76ECA03F" w14:textId="77777777" w:rsidR="002B6967" w:rsidRPr="003A0C5C" w:rsidRDefault="002B6967" w:rsidP="00F07065">
            <w:pPr>
              <w:pStyle w:val="Checklist"/>
            </w:pPr>
          </w:p>
        </w:tc>
      </w:tr>
      <w:tr w:rsidR="003A0C5C" w:rsidRPr="003A0C5C" w14:paraId="2418828D" w14:textId="77777777" w:rsidTr="00F07065">
        <w:trPr>
          <w:cantSplit/>
        </w:trPr>
        <w:tc>
          <w:tcPr>
            <w:tcW w:w="0" w:type="auto"/>
          </w:tcPr>
          <w:p w14:paraId="393D2D39" w14:textId="5979FAF4" w:rsidR="002B6967" w:rsidRPr="003A0C5C" w:rsidRDefault="002B6967" w:rsidP="002B6967">
            <w:pPr>
              <w:pStyle w:val="Tabletextnumber"/>
            </w:pPr>
            <w:r w:rsidRPr="003A0C5C">
              <w:rPr>
                <w:rFonts w:cs="Arial"/>
                <w:szCs w:val="16"/>
              </w:rPr>
              <w:t>a)</w:t>
            </w:r>
            <w:r w:rsidRPr="003A0C5C">
              <w:rPr>
                <w:rFonts w:cs="Arial"/>
                <w:szCs w:val="16"/>
              </w:rPr>
              <w:tab/>
              <w:t xml:space="preserve">Result in the loss of availability of a known mineral resource that would be of value to the region and the residents of the </w:t>
            </w:r>
            <w:r w:rsidR="00E51793" w:rsidRPr="003A0C5C">
              <w:rPr>
                <w:rFonts w:cs="Arial"/>
                <w:szCs w:val="16"/>
              </w:rPr>
              <w:t>State</w:t>
            </w:r>
            <w:r w:rsidRPr="003A0C5C">
              <w:rPr>
                <w:rFonts w:cs="Arial"/>
                <w:szCs w:val="16"/>
              </w:rPr>
              <w:t>?</w:t>
            </w:r>
          </w:p>
        </w:tc>
        <w:tc>
          <w:tcPr>
            <w:tcW w:w="0" w:type="auto"/>
          </w:tcPr>
          <w:p w14:paraId="7AFCBB98" w14:textId="77777777" w:rsidR="002B6967" w:rsidRPr="003A0C5C" w:rsidRDefault="002348BC" w:rsidP="002B6967">
            <w:pPr>
              <w:pStyle w:val="Checklist"/>
            </w:pPr>
            <w:sdt>
              <w:sdtPr>
                <w:id w:val="358558846"/>
                <w14:checkbox>
                  <w14:checked w14:val="0"/>
                  <w14:checkedState w14:val="2612" w14:font="MS Gothic"/>
                  <w14:uncheckedState w14:val="2610" w14:font="MS Gothic"/>
                </w14:checkbox>
              </w:sdtPr>
              <w:sdtEndPr/>
              <w:sdtContent>
                <w:r w:rsidR="002B6967" w:rsidRPr="003A0C5C">
                  <w:t>☐</w:t>
                </w:r>
              </w:sdtContent>
            </w:sdt>
          </w:p>
        </w:tc>
        <w:tc>
          <w:tcPr>
            <w:tcW w:w="0" w:type="auto"/>
          </w:tcPr>
          <w:p w14:paraId="4CB5B8E5" w14:textId="77777777" w:rsidR="002B6967" w:rsidRPr="003A0C5C" w:rsidRDefault="002348BC" w:rsidP="002B6967">
            <w:pPr>
              <w:pStyle w:val="Checklist"/>
              <w:rPr>
                <w:sz w:val="20"/>
              </w:rPr>
            </w:pPr>
            <w:sdt>
              <w:sdtPr>
                <w:id w:val="529304180"/>
                <w14:checkbox>
                  <w14:checked w14:val="0"/>
                  <w14:checkedState w14:val="2612" w14:font="MS Gothic"/>
                  <w14:uncheckedState w14:val="2610" w14:font="MS Gothic"/>
                </w14:checkbox>
              </w:sdtPr>
              <w:sdtEndPr/>
              <w:sdtContent>
                <w:r w:rsidR="002B6967" w:rsidRPr="003A0C5C">
                  <w:t>☐</w:t>
                </w:r>
              </w:sdtContent>
            </w:sdt>
          </w:p>
        </w:tc>
        <w:tc>
          <w:tcPr>
            <w:tcW w:w="0" w:type="auto"/>
          </w:tcPr>
          <w:p w14:paraId="7282FAA3" w14:textId="77777777" w:rsidR="002B6967" w:rsidRPr="003A0C5C" w:rsidRDefault="002348BC" w:rsidP="002B6967">
            <w:pPr>
              <w:pStyle w:val="Checklist"/>
              <w:rPr>
                <w:sz w:val="20"/>
              </w:rPr>
            </w:pPr>
            <w:sdt>
              <w:sdtPr>
                <w:id w:val="-565638922"/>
                <w14:checkbox>
                  <w14:checked w14:val="0"/>
                  <w14:checkedState w14:val="2612" w14:font="MS Gothic"/>
                  <w14:uncheckedState w14:val="2610" w14:font="MS Gothic"/>
                </w14:checkbox>
              </w:sdtPr>
              <w:sdtEndPr/>
              <w:sdtContent>
                <w:r w:rsidR="002B6967" w:rsidRPr="003A0C5C">
                  <w:rPr>
                    <w:rFonts w:hint="eastAsia"/>
                  </w:rPr>
                  <w:t>☐</w:t>
                </w:r>
              </w:sdtContent>
            </w:sdt>
          </w:p>
        </w:tc>
        <w:tc>
          <w:tcPr>
            <w:tcW w:w="0" w:type="auto"/>
          </w:tcPr>
          <w:p w14:paraId="25D62A11" w14:textId="77777777" w:rsidR="002B6967" w:rsidRPr="003A0C5C" w:rsidRDefault="002348BC" w:rsidP="002B6967">
            <w:pPr>
              <w:pStyle w:val="Checklist"/>
              <w:rPr>
                <w:sz w:val="20"/>
              </w:rPr>
            </w:pPr>
            <w:sdt>
              <w:sdtPr>
                <w:id w:val="86349318"/>
                <w14:checkbox>
                  <w14:checked w14:val="1"/>
                  <w14:checkedState w14:val="2612" w14:font="MS Gothic"/>
                  <w14:uncheckedState w14:val="2610" w14:font="MS Gothic"/>
                </w14:checkbox>
              </w:sdtPr>
              <w:sdtEndPr/>
              <w:sdtContent>
                <w:r w:rsidR="002B6967" w:rsidRPr="003A0C5C">
                  <w:rPr>
                    <w:rFonts w:hint="eastAsia"/>
                  </w:rPr>
                  <w:t>☒</w:t>
                </w:r>
              </w:sdtContent>
            </w:sdt>
          </w:p>
        </w:tc>
      </w:tr>
      <w:tr w:rsidR="002B6967" w:rsidRPr="003A0C5C" w14:paraId="504B638F" w14:textId="77777777" w:rsidTr="00F07065">
        <w:trPr>
          <w:cantSplit/>
        </w:trPr>
        <w:tc>
          <w:tcPr>
            <w:tcW w:w="0" w:type="auto"/>
          </w:tcPr>
          <w:p w14:paraId="5B5533C9" w14:textId="7D2B8EB0" w:rsidR="002B6967" w:rsidRPr="003A0C5C" w:rsidRDefault="002B6967" w:rsidP="002B6967">
            <w:pPr>
              <w:pStyle w:val="Tabletextnumber"/>
            </w:pPr>
            <w:r w:rsidRPr="003A0C5C">
              <w:rPr>
                <w:rFonts w:cs="Arial"/>
                <w:szCs w:val="16"/>
              </w:rPr>
              <w:t>b)</w:t>
            </w:r>
            <w:r w:rsidRPr="003A0C5C">
              <w:rPr>
                <w:rFonts w:cs="Arial"/>
                <w:szCs w:val="16"/>
              </w:rPr>
              <w:tab/>
              <w:t>Result in the loss of availability of a locally-important mineral resource recovery site delineated on a local general plan, specific plan, or other land use plan?</w:t>
            </w:r>
          </w:p>
        </w:tc>
        <w:tc>
          <w:tcPr>
            <w:tcW w:w="0" w:type="auto"/>
          </w:tcPr>
          <w:p w14:paraId="6EB09AAE" w14:textId="77777777" w:rsidR="002B6967" w:rsidRPr="003A0C5C" w:rsidRDefault="002348BC" w:rsidP="002B6967">
            <w:pPr>
              <w:pStyle w:val="Checklist"/>
              <w:rPr>
                <w:sz w:val="20"/>
              </w:rPr>
            </w:pPr>
            <w:sdt>
              <w:sdtPr>
                <w:id w:val="-1205407585"/>
                <w14:checkbox>
                  <w14:checked w14:val="0"/>
                  <w14:checkedState w14:val="2612" w14:font="MS Gothic"/>
                  <w14:uncheckedState w14:val="2610" w14:font="MS Gothic"/>
                </w14:checkbox>
              </w:sdtPr>
              <w:sdtEndPr/>
              <w:sdtContent>
                <w:r w:rsidR="002B6967" w:rsidRPr="003A0C5C">
                  <w:t>☐</w:t>
                </w:r>
              </w:sdtContent>
            </w:sdt>
          </w:p>
        </w:tc>
        <w:tc>
          <w:tcPr>
            <w:tcW w:w="0" w:type="auto"/>
          </w:tcPr>
          <w:p w14:paraId="082AFE4C" w14:textId="77777777" w:rsidR="002B6967" w:rsidRPr="003A0C5C" w:rsidRDefault="002348BC" w:rsidP="002B6967">
            <w:pPr>
              <w:pStyle w:val="Checklist"/>
              <w:rPr>
                <w:sz w:val="20"/>
              </w:rPr>
            </w:pPr>
            <w:sdt>
              <w:sdtPr>
                <w:id w:val="2099214001"/>
                <w14:checkbox>
                  <w14:checked w14:val="0"/>
                  <w14:checkedState w14:val="2612" w14:font="MS Gothic"/>
                  <w14:uncheckedState w14:val="2610" w14:font="MS Gothic"/>
                </w14:checkbox>
              </w:sdtPr>
              <w:sdtEndPr/>
              <w:sdtContent>
                <w:r w:rsidR="002B6967" w:rsidRPr="003A0C5C">
                  <w:t>☐</w:t>
                </w:r>
              </w:sdtContent>
            </w:sdt>
          </w:p>
        </w:tc>
        <w:tc>
          <w:tcPr>
            <w:tcW w:w="0" w:type="auto"/>
          </w:tcPr>
          <w:p w14:paraId="746A7176" w14:textId="288581C0" w:rsidR="002B6967" w:rsidRPr="003A0C5C" w:rsidRDefault="002348BC" w:rsidP="002B6967">
            <w:pPr>
              <w:pStyle w:val="Checklist"/>
              <w:rPr>
                <w:sz w:val="20"/>
              </w:rPr>
            </w:pPr>
            <w:sdt>
              <w:sdtPr>
                <w:id w:val="-1044820280"/>
                <w14:checkbox>
                  <w14:checked w14:val="0"/>
                  <w14:checkedState w14:val="2612" w14:font="MS Gothic"/>
                  <w14:uncheckedState w14:val="2610" w14:font="MS Gothic"/>
                </w14:checkbox>
              </w:sdtPr>
              <w:sdtEndPr/>
              <w:sdtContent>
                <w:r w:rsidR="002B6967" w:rsidRPr="003A0C5C">
                  <w:rPr>
                    <w:rFonts w:hint="eastAsia"/>
                  </w:rPr>
                  <w:t>☐</w:t>
                </w:r>
              </w:sdtContent>
            </w:sdt>
          </w:p>
        </w:tc>
        <w:tc>
          <w:tcPr>
            <w:tcW w:w="0" w:type="auto"/>
          </w:tcPr>
          <w:p w14:paraId="328FC37D" w14:textId="7DDBE277" w:rsidR="002B6967" w:rsidRPr="003A0C5C" w:rsidRDefault="002348BC" w:rsidP="002B6967">
            <w:pPr>
              <w:pStyle w:val="Checklist"/>
              <w:rPr>
                <w:sz w:val="20"/>
              </w:rPr>
            </w:pPr>
            <w:sdt>
              <w:sdtPr>
                <w:id w:val="-1671162845"/>
                <w14:checkbox>
                  <w14:checked w14:val="1"/>
                  <w14:checkedState w14:val="2612" w14:font="MS Gothic"/>
                  <w14:uncheckedState w14:val="2610" w14:font="MS Gothic"/>
                </w14:checkbox>
              </w:sdtPr>
              <w:sdtEndPr/>
              <w:sdtContent>
                <w:r w:rsidR="002B6967" w:rsidRPr="003A0C5C">
                  <w:rPr>
                    <w:rFonts w:hint="eastAsia"/>
                  </w:rPr>
                  <w:t>☒</w:t>
                </w:r>
              </w:sdtContent>
            </w:sdt>
          </w:p>
        </w:tc>
      </w:tr>
    </w:tbl>
    <w:p w14:paraId="17E0FE5E" w14:textId="77777777" w:rsidR="00957C8B" w:rsidRPr="003A0C5C" w:rsidRDefault="00957C8B" w:rsidP="00957C8B">
      <w:pPr>
        <w:pStyle w:val="TableNotes"/>
      </w:pPr>
    </w:p>
    <w:p w14:paraId="2D8B0882" w14:textId="77777777" w:rsidR="00957C8B" w:rsidRPr="003A0C5C" w:rsidRDefault="00957C8B" w:rsidP="00957C8B">
      <w:pPr>
        <w:pStyle w:val="Heading5"/>
      </w:pPr>
      <w:r w:rsidRPr="003A0C5C">
        <w:t>Discussion</w:t>
      </w:r>
    </w:p>
    <w:p w14:paraId="1D00A818" w14:textId="19F262B8" w:rsidR="00F92AE1" w:rsidRPr="003A0C5C" w:rsidRDefault="004F426E" w:rsidP="005B6039">
      <w:pPr>
        <w:pStyle w:val="12spaceindent"/>
        <w:rPr>
          <w:highlight w:val="yellow"/>
        </w:rPr>
      </w:pPr>
      <w:r w:rsidRPr="003A0C5C">
        <w:t>a)</w:t>
      </w:r>
      <w:r w:rsidRPr="003A0C5C">
        <w:tab/>
        <w:t xml:space="preserve">The project site is located in the City of Carson in an urbanized area, on </w:t>
      </w:r>
      <w:r w:rsidR="007020E4" w:rsidRPr="003A0C5C">
        <w:t xml:space="preserve">two vacant </w:t>
      </w:r>
      <w:r w:rsidRPr="003A0C5C">
        <w:t>parcel</w:t>
      </w:r>
      <w:r w:rsidR="0074187E" w:rsidRPr="003A0C5C">
        <w:t>s</w:t>
      </w:r>
      <w:r w:rsidRPr="003A0C5C">
        <w:t xml:space="preserve"> with surrounding </w:t>
      </w:r>
      <w:r w:rsidR="005B6039" w:rsidRPr="003A0C5C">
        <w:t>residential and commercial uses</w:t>
      </w:r>
      <w:r w:rsidRPr="003A0C5C">
        <w:t xml:space="preserve">. According to the Los Angeles County Conservation and Natural Resources Element and the California Department of Conservation (CDC), the project site is </w:t>
      </w:r>
      <w:r w:rsidR="006D194E" w:rsidRPr="003A0C5C">
        <w:t xml:space="preserve">not </w:t>
      </w:r>
      <w:r w:rsidRPr="003A0C5C">
        <w:t xml:space="preserve">in Mineral Resource Zone 2 (MRZ-2), </w:t>
      </w:r>
      <w:r w:rsidR="001142E4" w:rsidRPr="003A0C5C">
        <w:t>as identified in Figure 9.6, Mineral Resources (County</w:t>
      </w:r>
      <w:r w:rsidR="001D624B" w:rsidRPr="003A0C5C">
        <w:t xml:space="preserve"> of Los Angeles</w:t>
      </w:r>
      <w:r w:rsidR="001142E4" w:rsidRPr="003A0C5C">
        <w:t xml:space="preserve"> 2015), and </w:t>
      </w:r>
      <w:r w:rsidRPr="003A0C5C">
        <w:t>the CDC Mineral La</w:t>
      </w:r>
      <w:r w:rsidR="00F90F68" w:rsidRPr="003A0C5C">
        <w:t xml:space="preserve">nds Classification Map (CDC </w:t>
      </w:r>
      <w:r w:rsidR="001D624B" w:rsidRPr="003A0C5C">
        <w:t>2022</w:t>
      </w:r>
      <w:r w:rsidRPr="003A0C5C">
        <w:t>).</w:t>
      </w:r>
      <w:r w:rsidR="00F90F68" w:rsidRPr="003A0C5C">
        <w:t xml:space="preserve"> </w:t>
      </w:r>
      <w:r w:rsidR="001142E4" w:rsidRPr="003A0C5C">
        <w:t>MRZ-2 zones are characterized as areas that are underlain by significant measured or indicated mineral resources. Additionally</w:t>
      </w:r>
      <w:r w:rsidR="00F90F68" w:rsidRPr="003A0C5C">
        <w:t>, according to the City</w:t>
      </w:r>
      <w:r w:rsidR="00D678AB" w:rsidRPr="003A0C5C">
        <w:t>’</w:t>
      </w:r>
      <w:r w:rsidR="00F90F68" w:rsidRPr="003A0C5C">
        <w:t>s General Plan</w:t>
      </w:r>
      <w:r w:rsidR="001142E4" w:rsidRPr="003A0C5C">
        <w:t xml:space="preserve"> Safety Element</w:t>
      </w:r>
      <w:r w:rsidR="00F90F68" w:rsidRPr="003A0C5C">
        <w:t xml:space="preserve">, the City does not contain any known mineral resources </w:t>
      </w:r>
      <w:r w:rsidR="00852967" w:rsidRPr="003A0C5C">
        <w:t>(City of Carson</w:t>
      </w:r>
      <w:r w:rsidR="00F90F68" w:rsidRPr="003A0C5C">
        <w:t xml:space="preserve"> 2004).</w:t>
      </w:r>
      <w:r w:rsidRPr="003A0C5C">
        <w:t xml:space="preserve"> </w:t>
      </w:r>
      <w:r w:rsidR="00B12921" w:rsidRPr="003A0C5C">
        <w:t>No</w:t>
      </w:r>
      <w:r w:rsidRPr="003A0C5C">
        <w:t xml:space="preserve"> mineral extraction or other mining operations have historically or currently </w:t>
      </w:r>
      <w:proofErr w:type="gramStart"/>
      <w:r w:rsidRPr="003A0C5C">
        <w:t>occur</w:t>
      </w:r>
      <w:proofErr w:type="gramEnd"/>
      <w:r w:rsidRPr="003A0C5C">
        <w:t xml:space="preserve"> within the project site, nor would the </w:t>
      </w:r>
      <w:r w:rsidR="00B12921" w:rsidRPr="003A0C5C">
        <w:t xml:space="preserve">proposed </w:t>
      </w:r>
      <w:r w:rsidRPr="003A0C5C">
        <w:t>project result in the loss of availability of any known mineral resource. Therefore, no impact to a known mineral resource would occur.</w:t>
      </w:r>
    </w:p>
    <w:p w14:paraId="74AB6424" w14:textId="234B4C44" w:rsidR="00E41000" w:rsidRPr="003A0C5C" w:rsidRDefault="004F426E" w:rsidP="00E41000">
      <w:pPr>
        <w:pStyle w:val="12spaceindent"/>
      </w:pPr>
      <w:r w:rsidRPr="003A0C5C">
        <w:t>b)</w:t>
      </w:r>
      <w:r w:rsidRPr="003A0C5C">
        <w:tab/>
      </w:r>
      <w:r w:rsidR="006D194E" w:rsidRPr="003A0C5C">
        <w:t>N</w:t>
      </w:r>
      <w:r w:rsidRPr="003A0C5C">
        <w:t xml:space="preserve">o mineral extraction or other mining operations have historically or currently </w:t>
      </w:r>
      <w:r w:rsidR="00FE10E7" w:rsidRPr="003A0C5C">
        <w:t xml:space="preserve">occurred </w:t>
      </w:r>
      <w:r w:rsidRPr="003A0C5C">
        <w:t>within the project site, nor would the</w:t>
      </w:r>
      <w:r w:rsidR="00B12921" w:rsidRPr="003A0C5C">
        <w:t xml:space="preserve"> proposed</w:t>
      </w:r>
      <w:r w:rsidRPr="003A0C5C">
        <w:t xml:space="preserve"> project result in the loss of availability of any locally important mineral resource. </w:t>
      </w:r>
      <w:r w:rsidR="00B12921" w:rsidRPr="003A0C5C">
        <w:t>In addition</w:t>
      </w:r>
      <w:r w:rsidRPr="003A0C5C">
        <w:t>, the project site is not identified as an area that contains known mineral resources in the City</w:t>
      </w:r>
      <w:r w:rsidR="00D678AB" w:rsidRPr="003A0C5C">
        <w:t>’</w:t>
      </w:r>
      <w:r w:rsidRPr="003A0C5C">
        <w:t xml:space="preserve">s General Plan </w:t>
      </w:r>
      <w:r w:rsidR="00852967" w:rsidRPr="003A0C5C">
        <w:t>(City of Carson</w:t>
      </w:r>
      <w:r w:rsidRPr="003A0C5C">
        <w:t xml:space="preserve"> 2004).</w:t>
      </w:r>
      <w:r w:rsidR="00470C54" w:rsidRPr="003A0C5C">
        <w:t xml:space="preserve"> </w:t>
      </w:r>
      <w:r w:rsidRPr="003A0C5C">
        <w:t>Therefore, no impact</w:t>
      </w:r>
      <w:r w:rsidR="00B12921" w:rsidRPr="003A0C5C">
        <w:t>s</w:t>
      </w:r>
      <w:r w:rsidRPr="003A0C5C">
        <w:t xml:space="preserve"> would occur to a </w:t>
      </w:r>
      <w:proofErr w:type="gramStart"/>
      <w:r w:rsidRPr="003A0C5C">
        <w:t>locally important mineral resources</w:t>
      </w:r>
      <w:proofErr w:type="gramEnd"/>
      <w:r w:rsidRPr="003A0C5C">
        <w:t>.</w:t>
      </w:r>
    </w:p>
    <w:p w14:paraId="6E2D9CF4" w14:textId="77777777" w:rsidR="00E41000" w:rsidRPr="003A0C5C" w:rsidRDefault="00E41000" w:rsidP="00E41000">
      <w:pPr>
        <w:pStyle w:val="12spaceindent"/>
        <w:keepNext/>
        <w:spacing w:after="120"/>
        <w:ind w:left="0" w:firstLine="0"/>
        <w:rPr>
          <w:highlight w:val="yellow"/>
        </w:rPr>
      </w:pPr>
    </w:p>
    <w:p w14:paraId="07C81B9A" w14:textId="77777777" w:rsidR="002B6967" w:rsidRPr="003A0C5C" w:rsidRDefault="002B6967" w:rsidP="002B6967">
      <w:pPr>
        <w:pStyle w:val="ImpactSectionEnd"/>
        <w:rPr>
          <w:highlight w:val="yellow"/>
        </w:rPr>
      </w:pPr>
    </w:p>
    <w:p w14:paraId="22D79680" w14:textId="77777777" w:rsidR="002B6967" w:rsidRPr="003A0C5C" w:rsidRDefault="002B6967" w:rsidP="002B6967">
      <w:pPr>
        <w:rPr>
          <w:highlight w:val="yellow"/>
        </w:rPr>
      </w:pPr>
      <w:r w:rsidRPr="003A0C5C">
        <w:rPr>
          <w:highlight w:val="yellow"/>
        </w:rPr>
        <w:br w:type="page"/>
      </w:r>
    </w:p>
    <w:p w14:paraId="03963BA0" w14:textId="77777777" w:rsidR="00E9008A" w:rsidRPr="003A0C5C" w:rsidRDefault="00E9008A" w:rsidP="00E9008A">
      <w:pPr>
        <w:pStyle w:val="Heading4"/>
      </w:pPr>
      <w:bookmarkStart w:id="82" w:name="_Toc101791992"/>
      <w:r w:rsidRPr="003A0C5C">
        <w:lastRenderedPageBreak/>
        <w:t>XIII.</w:t>
      </w:r>
      <w:r w:rsidRPr="003A0C5C">
        <w:tab/>
        <w:t>Noise</w:t>
      </w:r>
      <w:bookmarkEnd w:id="82"/>
    </w:p>
    <w:tbl>
      <w:tblPr>
        <w:tblW w:w="0" w:type="auto"/>
        <w:tblCellMar>
          <w:left w:w="86" w:type="dxa"/>
          <w:right w:w="86" w:type="dxa"/>
        </w:tblCellMar>
        <w:tblLook w:val="0000" w:firstRow="0" w:lastRow="0" w:firstColumn="0" w:lastColumn="0" w:noHBand="0" w:noVBand="0"/>
      </w:tblPr>
      <w:tblGrid>
        <w:gridCol w:w="5088"/>
        <w:gridCol w:w="888"/>
        <w:gridCol w:w="1152"/>
        <w:gridCol w:w="888"/>
        <w:gridCol w:w="624"/>
      </w:tblGrid>
      <w:tr w:rsidR="003A0C5C" w:rsidRPr="003A0C5C" w14:paraId="45EB1078" w14:textId="77777777" w:rsidTr="00313B2A">
        <w:trPr>
          <w:cantSplit/>
          <w:tblHeader/>
        </w:trPr>
        <w:tc>
          <w:tcPr>
            <w:tcW w:w="0" w:type="auto"/>
            <w:vAlign w:val="bottom"/>
          </w:tcPr>
          <w:p w14:paraId="357A17E2" w14:textId="77777777" w:rsidR="00E9008A" w:rsidRPr="003A0C5C" w:rsidRDefault="00E9008A" w:rsidP="00313B2A">
            <w:pPr>
              <w:keepNext/>
              <w:pBdr>
                <w:bottom w:val="single" w:sz="4" w:space="1" w:color="auto"/>
              </w:pBdr>
              <w:spacing w:before="60" w:after="60"/>
              <w:ind w:left="540" w:hanging="540"/>
              <w:rPr>
                <w:rFonts w:ascii="Arial" w:hAnsi="Arial" w:cs="Arial"/>
                <w:b/>
                <w:i/>
                <w:sz w:val="14"/>
                <w:szCs w:val="16"/>
              </w:rPr>
            </w:pPr>
            <w:r w:rsidRPr="003A0C5C">
              <w:rPr>
                <w:rFonts w:ascii="Arial" w:hAnsi="Arial" w:cs="Arial"/>
                <w:b/>
                <w:i/>
                <w:sz w:val="14"/>
                <w:szCs w:val="16"/>
              </w:rPr>
              <w:t>Issues (and Supporting Information Sources)</w:t>
            </w:r>
          </w:p>
        </w:tc>
        <w:tc>
          <w:tcPr>
            <w:tcW w:w="0" w:type="auto"/>
            <w:vAlign w:val="bottom"/>
          </w:tcPr>
          <w:p w14:paraId="27F2F9C4" w14:textId="77777777" w:rsidR="00E9008A" w:rsidRPr="003A0C5C" w:rsidRDefault="00E9008A" w:rsidP="00313B2A">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Potentially</w:t>
            </w:r>
            <w:r w:rsidRPr="003A0C5C">
              <w:rPr>
                <w:rFonts w:ascii="Arial" w:hAnsi="Arial" w:cs="Arial"/>
                <w:b/>
                <w:i/>
                <w:sz w:val="14"/>
                <w:szCs w:val="16"/>
              </w:rPr>
              <w:br/>
              <w:t>Significant</w:t>
            </w:r>
            <w:r w:rsidRPr="003A0C5C">
              <w:rPr>
                <w:rFonts w:ascii="Arial" w:hAnsi="Arial" w:cs="Arial"/>
                <w:b/>
                <w:i/>
                <w:sz w:val="14"/>
                <w:szCs w:val="16"/>
              </w:rPr>
              <w:br/>
              <w:t>Impact</w:t>
            </w:r>
          </w:p>
        </w:tc>
        <w:tc>
          <w:tcPr>
            <w:tcW w:w="0" w:type="auto"/>
            <w:vAlign w:val="bottom"/>
          </w:tcPr>
          <w:p w14:paraId="2F64A4AD" w14:textId="77777777" w:rsidR="00E9008A" w:rsidRPr="003A0C5C" w:rsidRDefault="00E9008A" w:rsidP="00313B2A">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Less than</w:t>
            </w:r>
            <w:r w:rsidRPr="003A0C5C">
              <w:rPr>
                <w:rFonts w:ascii="Arial" w:hAnsi="Arial" w:cs="Arial"/>
                <w:b/>
                <w:i/>
                <w:sz w:val="14"/>
                <w:szCs w:val="16"/>
              </w:rPr>
              <w:br/>
              <w:t>Significant</w:t>
            </w:r>
            <w:r w:rsidRPr="003A0C5C">
              <w:rPr>
                <w:rFonts w:ascii="Arial" w:hAnsi="Arial" w:cs="Arial"/>
                <w:b/>
                <w:i/>
                <w:sz w:val="14"/>
                <w:szCs w:val="16"/>
              </w:rPr>
              <w:br/>
              <w:t>with Mitigation</w:t>
            </w:r>
            <w:r w:rsidRPr="003A0C5C">
              <w:rPr>
                <w:rFonts w:ascii="Arial" w:hAnsi="Arial" w:cs="Arial"/>
                <w:b/>
                <w:i/>
                <w:sz w:val="14"/>
                <w:szCs w:val="16"/>
              </w:rPr>
              <w:br/>
              <w:t>Incorporated</w:t>
            </w:r>
          </w:p>
        </w:tc>
        <w:tc>
          <w:tcPr>
            <w:tcW w:w="0" w:type="auto"/>
            <w:vAlign w:val="bottom"/>
          </w:tcPr>
          <w:p w14:paraId="430E5DD5" w14:textId="77777777" w:rsidR="00E9008A" w:rsidRPr="003A0C5C" w:rsidRDefault="00E9008A" w:rsidP="00313B2A">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Less-than-</w:t>
            </w:r>
            <w:r w:rsidRPr="003A0C5C">
              <w:rPr>
                <w:rFonts w:ascii="Arial" w:hAnsi="Arial" w:cs="Arial"/>
                <w:b/>
                <w:i/>
                <w:sz w:val="14"/>
                <w:szCs w:val="16"/>
              </w:rPr>
              <w:br/>
              <w:t>Significant</w:t>
            </w:r>
            <w:r w:rsidRPr="003A0C5C">
              <w:rPr>
                <w:rFonts w:ascii="Arial" w:hAnsi="Arial" w:cs="Arial"/>
                <w:b/>
                <w:i/>
                <w:sz w:val="14"/>
                <w:szCs w:val="16"/>
              </w:rPr>
              <w:br/>
              <w:t>Impact</w:t>
            </w:r>
          </w:p>
        </w:tc>
        <w:tc>
          <w:tcPr>
            <w:tcW w:w="0" w:type="auto"/>
            <w:vAlign w:val="bottom"/>
          </w:tcPr>
          <w:p w14:paraId="19329E2E" w14:textId="77777777" w:rsidR="00E9008A" w:rsidRPr="003A0C5C" w:rsidRDefault="00E9008A" w:rsidP="00313B2A">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No</w:t>
            </w:r>
            <w:r w:rsidRPr="003A0C5C">
              <w:rPr>
                <w:rFonts w:ascii="Arial" w:hAnsi="Arial" w:cs="Arial"/>
                <w:b/>
                <w:i/>
                <w:sz w:val="14"/>
                <w:szCs w:val="16"/>
              </w:rPr>
              <w:br/>
              <w:t>Impact</w:t>
            </w:r>
          </w:p>
        </w:tc>
      </w:tr>
      <w:tr w:rsidR="003A0C5C" w:rsidRPr="003A0C5C" w14:paraId="0D0400C6" w14:textId="77777777" w:rsidTr="00313B2A">
        <w:trPr>
          <w:cantSplit/>
        </w:trPr>
        <w:tc>
          <w:tcPr>
            <w:tcW w:w="0" w:type="auto"/>
          </w:tcPr>
          <w:p w14:paraId="65E3A98D" w14:textId="77777777" w:rsidR="00E9008A" w:rsidRPr="003A0C5C" w:rsidRDefault="00E9008A" w:rsidP="00313B2A">
            <w:pPr>
              <w:pStyle w:val="Tabletextnumber"/>
              <w:keepNext/>
              <w:ind w:left="504" w:hanging="504"/>
              <w:rPr>
                <w:rStyle w:val="Bold"/>
              </w:rPr>
            </w:pPr>
            <w:r w:rsidRPr="003A0C5C">
              <w:rPr>
                <w:rStyle w:val="Bold"/>
              </w:rPr>
              <w:t>XIII.</w:t>
            </w:r>
            <w:r w:rsidRPr="003A0C5C">
              <w:rPr>
                <w:rStyle w:val="Bold"/>
              </w:rPr>
              <w:tab/>
              <w:t>NOISE</w:t>
            </w:r>
            <w:r w:rsidRPr="003A0C5C">
              <w:t>—Would the project result in:</w:t>
            </w:r>
          </w:p>
        </w:tc>
        <w:tc>
          <w:tcPr>
            <w:tcW w:w="0" w:type="auto"/>
          </w:tcPr>
          <w:p w14:paraId="69EC7DE2" w14:textId="77777777" w:rsidR="00E9008A" w:rsidRPr="003A0C5C" w:rsidRDefault="00E9008A" w:rsidP="00313B2A">
            <w:pPr>
              <w:pStyle w:val="Checklist"/>
            </w:pPr>
          </w:p>
        </w:tc>
        <w:tc>
          <w:tcPr>
            <w:tcW w:w="0" w:type="auto"/>
          </w:tcPr>
          <w:p w14:paraId="30A62404" w14:textId="77777777" w:rsidR="00E9008A" w:rsidRPr="003A0C5C" w:rsidRDefault="00E9008A" w:rsidP="00313B2A">
            <w:pPr>
              <w:pStyle w:val="Checklist"/>
            </w:pPr>
          </w:p>
        </w:tc>
        <w:tc>
          <w:tcPr>
            <w:tcW w:w="0" w:type="auto"/>
          </w:tcPr>
          <w:p w14:paraId="70C069EB" w14:textId="77777777" w:rsidR="00E9008A" w:rsidRPr="003A0C5C" w:rsidRDefault="00E9008A" w:rsidP="00313B2A">
            <w:pPr>
              <w:pStyle w:val="Checklist"/>
            </w:pPr>
          </w:p>
        </w:tc>
        <w:tc>
          <w:tcPr>
            <w:tcW w:w="0" w:type="auto"/>
          </w:tcPr>
          <w:p w14:paraId="20AC4C9E" w14:textId="77777777" w:rsidR="00E9008A" w:rsidRPr="003A0C5C" w:rsidRDefault="00E9008A" w:rsidP="00313B2A">
            <w:pPr>
              <w:pStyle w:val="Checklist"/>
            </w:pPr>
          </w:p>
        </w:tc>
      </w:tr>
      <w:tr w:rsidR="003A0C5C" w:rsidRPr="003A0C5C" w14:paraId="00D67C40" w14:textId="77777777" w:rsidTr="00313B2A">
        <w:trPr>
          <w:cantSplit/>
        </w:trPr>
        <w:tc>
          <w:tcPr>
            <w:tcW w:w="0" w:type="auto"/>
          </w:tcPr>
          <w:p w14:paraId="6D9E6852" w14:textId="77777777" w:rsidR="00E9008A" w:rsidRPr="003A0C5C" w:rsidRDefault="00E9008A" w:rsidP="00313B2A">
            <w:pPr>
              <w:pStyle w:val="Tabletextnumber"/>
            </w:pPr>
            <w:r w:rsidRPr="003A0C5C">
              <w:rPr>
                <w:rFonts w:cs="Arial"/>
                <w:szCs w:val="16"/>
              </w:rPr>
              <w:t>a)</w:t>
            </w:r>
            <w:r w:rsidRPr="003A0C5C">
              <w:rPr>
                <w:rFonts w:cs="Arial"/>
                <w:szCs w:val="16"/>
              </w:rPr>
              <w:tab/>
              <w:t>Generation of a substantial temporary or permanent increase in ambient noise levels in the vicinity of the project in excess of standards established in the local general plan or noise ordinance, or applicable standards of other agencies?</w:t>
            </w:r>
          </w:p>
        </w:tc>
        <w:tc>
          <w:tcPr>
            <w:tcW w:w="0" w:type="auto"/>
          </w:tcPr>
          <w:p w14:paraId="7114FB10" w14:textId="77777777" w:rsidR="00E9008A" w:rsidRPr="003A0C5C" w:rsidRDefault="002348BC" w:rsidP="00313B2A">
            <w:pPr>
              <w:pStyle w:val="Checklist"/>
            </w:pPr>
            <w:sdt>
              <w:sdtPr>
                <w:id w:val="-747731107"/>
                <w14:checkbox>
                  <w14:checked w14:val="0"/>
                  <w14:checkedState w14:val="2612" w14:font="MS Gothic"/>
                  <w14:uncheckedState w14:val="2610" w14:font="MS Gothic"/>
                </w14:checkbox>
              </w:sdtPr>
              <w:sdtEndPr/>
              <w:sdtContent>
                <w:r w:rsidR="00E9008A" w:rsidRPr="003A0C5C">
                  <w:t>☐</w:t>
                </w:r>
              </w:sdtContent>
            </w:sdt>
          </w:p>
        </w:tc>
        <w:tc>
          <w:tcPr>
            <w:tcW w:w="0" w:type="auto"/>
          </w:tcPr>
          <w:p w14:paraId="4CF07698" w14:textId="77777777" w:rsidR="00E9008A" w:rsidRPr="003A0C5C" w:rsidRDefault="002348BC" w:rsidP="00313B2A">
            <w:pPr>
              <w:pStyle w:val="Checklist"/>
              <w:rPr>
                <w:sz w:val="20"/>
              </w:rPr>
            </w:pPr>
            <w:sdt>
              <w:sdtPr>
                <w:id w:val="1664357467"/>
                <w14:checkbox>
                  <w14:checked w14:val="1"/>
                  <w14:checkedState w14:val="2612" w14:font="MS Gothic"/>
                  <w14:uncheckedState w14:val="2610" w14:font="MS Gothic"/>
                </w14:checkbox>
              </w:sdtPr>
              <w:sdtEndPr/>
              <w:sdtContent>
                <w:r w:rsidR="00E9008A" w:rsidRPr="003A0C5C">
                  <w:rPr>
                    <w:rFonts w:hint="eastAsia"/>
                  </w:rPr>
                  <w:t>☒</w:t>
                </w:r>
              </w:sdtContent>
            </w:sdt>
          </w:p>
        </w:tc>
        <w:tc>
          <w:tcPr>
            <w:tcW w:w="0" w:type="auto"/>
          </w:tcPr>
          <w:p w14:paraId="400280B5" w14:textId="77777777" w:rsidR="00E9008A" w:rsidRPr="003A0C5C" w:rsidRDefault="002348BC" w:rsidP="00313B2A">
            <w:pPr>
              <w:pStyle w:val="Checklist"/>
              <w:rPr>
                <w:sz w:val="20"/>
              </w:rPr>
            </w:pPr>
            <w:sdt>
              <w:sdtPr>
                <w:id w:val="910051982"/>
                <w14:checkbox>
                  <w14:checked w14:val="0"/>
                  <w14:checkedState w14:val="2612" w14:font="MS Gothic"/>
                  <w14:uncheckedState w14:val="2610" w14:font="MS Gothic"/>
                </w14:checkbox>
              </w:sdtPr>
              <w:sdtEndPr/>
              <w:sdtContent>
                <w:r w:rsidR="00E9008A" w:rsidRPr="003A0C5C">
                  <w:rPr>
                    <w:rFonts w:hint="eastAsia"/>
                  </w:rPr>
                  <w:t>☐</w:t>
                </w:r>
              </w:sdtContent>
            </w:sdt>
          </w:p>
        </w:tc>
        <w:tc>
          <w:tcPr>
            <w:tcW w:w="0" w:type="auto"/>
          </w:tcPr>
          <w:p w14:paraId="3B107147" w14:textId="77777777" w:rsidR="00E9008A" w:rsidRPr="003A0C5C" w:rsidRDefault="002348BC" w:rsidP="00313B2A">
            <w:pPr>
              <w:pStyle w:val="Checklist"/>
              <w:rPr>
                <w:sz w:val="20"/>
              </w:rPr>
            </w:pPr>
            <w:sdt>
              <w:sdtPr>
                <w:id w:val="1852067734"/>
                <w14:checkbox>
                  <w14:checked w14:val="0"/>
                  <w14:checkedState w14:val="2612" w14:font="MS Gothic"/>
                  <w14:uncheckedState w14:val="2610" w14:font="MS Gothic"/>
                </w14:checkbox>
              </w:sdtPr>
              <w:sdtEndPr/>
              <w:sdtContent>
                <w:r w:rsidR="00E9008A" w:rsidRPr="003A0C5C">
                  <w:rPr>
                    <w:rFonts w:hint="eastAsia"/>
                  </w:rPr>
                  <w:t>☐</w:t>
                </w:r>
              </w:sdtContent>
            </w:sdt>
          </w:p>
        </w:tc>
      </w:tr>
      <w:tr w:rsidR="003A0C5C" w:rsidRPr="003A0C5C" w14:paraId="58A00382" w14:textId="77777777" w:rsidTr="00313B2A">
        <w:trPr>
          <w:cantSplit/>
        </w:trPr>
        <w:tc>
          <w:tcPr>
            <w:tcW w:w="0" w:type="auto"/>
          </w:tcPr>
          <w:p w14:paraId="3F69535B" w14:textId="77777777" w:rsidR="00E9008A" w:rsidRPr="003A0C5C" w:rsidRDefault="00E9008A" w:rsidP="00313B2A">
            <w:pPr>
              <w:pStyle w:val="Tabletextnumber"/>
            </w:pPr>
            <w:r w:rsidRPr="003A0C5C">
              <w:rPr>
                <w:rFonts w:cs="Arial"/>
                <w:szCs w:val="16"/>
              </w:rPr>
              <w:t>b)</w:t>
            </w:r>
            <w:r w:rsidRPr="003A0C5C">
              <w:rPr>
                <w:rFonts w:cs="Arial"/>
                <w:szCs w:val="16"/>
              </w:rPr>
              <w:tab/>
              <w:t xml:space="preserve">Generation of excessive </w:t>
            </w:r>
            <w:proofErr w:type="spellStart"/>
            <w:r w:rsidRPr="003A0C5C">
              <w:rPr>
                <w:rFonts w:cs="Arial"/>
                <w:szCs w:val="16"/>
              </w:rPr>
              <w:t>groundborne</w:t>
            </w:r>
            <w:proofErr w:type="spellEnd"/>
            <w:r w:rsidRPr="003A0C5C">
              <w:rPr>
                <w:rFonts w:cs="Arial"/>
                <w:szCs w:val="16"/>
              </w:rPr>
              <w:t xml:space="preserve"> vibration or </w:t>
            </w:r>
            <w:proofErr w:type="spellStart"/>
            <w:r w:rsidRPr="003A0C5C">
              <w:rPr>
                <w:rFonts w:cs="Arial"/>
                <w:szCs w:val="16"/>
              </w:rPr>
              <w:t>groundborne</w:t>
            </w:r>
            <w:proofErr w:type="spellEnd"/>
            <w:r w:rsidRPr="003A0C5C">
              <w:rPr>
                <w:rFonts w:cs="Arial"/>
                <w:szCs w:val="16"/>
              </w:rPr>
              <w:t xml:space="preserve"> noise levels?</w:t>
            </w:r>
          </w:p>
        </w:tc>
        <w:tc>
          <w:tcPr>
            <w:tcW w:w="0" w:type="auto"/>
          </w:tcPr>
          <w:p w14:paraId="46AF9510" w14:textId="77777777" w:rsidR="00E9008A" w:rsidRPr="003A0C5C" w:rsidRDefault="002348BC" w:rsidP="00313B2A">
            <w:pPr>
              <w:pStyle w:val="Checklist"/>
            </w:pPr>
            <w:sdt>
              <w:sdtPr>
                <w:id w:val="-999269684"/>
                <w14:checkbox>
                  <w14:checked w14:val="0"/>
                  <w14:checkedState w14:val="2612" w14:font="MS Gothic"/>
                  <w14:uncheckedState w14:val="2610" w14:font="MS Gothic"/>
                </w14:checkbox>
              </w:sdtPr>
              <w:sdtEndPr/>
              <w:sdtContent>
                <w:r w:rsidR="00E9008A" w:rsidRPr="003A0C5C">
                  <w:t>☐</w:t>
                </w:r>
              </w:sdtContent>
            </w:sdt>
          </w:p>
        </w:tc>
        <w:tc>
          <w:tcPr>
            <w:tcW w:w="0" w:type="auto"/>
          </w:tcPr>
          <w:p w14:paraId="58F6654C" w14:textId="77777777" w:rsidR="00E9008A" w:rsidRPr="003A0C5C" w:rsidRDefault="002348BC" w:rsidP="00313B2A">
            <w:pPr>
              <w:pStyle w:val="Checklist"/>
              <w:rPr>
                <w:sz w:val="20"/>
              </w:rPr>
            </w:pPr>
            <w:sdt>
              <w:sdtPr>
                <w:id w:val="-1523396278"/>
                <w14:checkbox>
                  <w14:checked w14:val="0"/>
                  <w14:checkedState w14:val="2612" w14:font="MS Gothic"/>
                  <w14:uncheckedState w14:val="2610" w14:font="MS Gothic"/>
                </w14:checkbox>
              </w:sdtPr>
              <w:sdtEndPr/>
              <w:sdtContent>
                <w:r w:rsidR="00E9008A" w:rsidRPr="003A0C5C">
                  <w:t>☐</w:t>
                </w:r>
              </w:sdtContent>
            </w:sdt>
          </w:p>
        </w:tc>
        <w:tc>
          <w:tcPr>
            <w:tcW w:w="0" w:type="auto"/>
          </w:tcPr>
          <w:p w14:paraId="7F98F051" w14:textId="77777777" w:rsidR="00E9008A" w:rsidRPr="003A0C5C" w:rsidRDefault="002348BC" w:rsidP="00313B2A">
            <w:pPr>
              <w:pStyle w:val="Checklist"/>
              <w:rPr>
                <w:sz w:val="20"/>
              </w:rPr>
            </w:pPr>
            <w:sdt>
              <w:sdtPr>
                <w:id w:val="1708072361"/>
                <w14:checkbox>
                  <w14:checked w14:val="1"/>
                  <w14:checkedState w14:val="2612" w14:font="MS Gothic"/>
                  <w14:uncheckedState w14:val="2610" w14:font="MS Gothic"/>
                </w14:checkbox>
              </w:sdtPr>
              <w:sdtEndPr/>
              <w:sdtContent>
                <w:r w:rsidR="00E9008A" w:rsidRPr="003A0C5C">
                  <w:rPr>
                    <w:rFonts w:hint="eastAsia"/>
                  </w:rPr>
                  <w:t>☒</w:t>
                </w:r>
              </w:sdtContent>
            </w:sdt>
          </w:p>
        </w:tc>
        <w:tc>
          <w:tcPr>
            <w:tcW w:w="0" w:type="auto"/>
          </w:tcPr>
          <w:p w14:paraId="29486038" w14:textId="77777777" w:rsidR="00E9008A" w:rsidRPr="003A0C5C" w:rsidRDefault="002348BC" w:rsidP="00313B2A">
            <w:pPr>
              <w:pStyle w:val="Checklist"/>
              <w:rPr>
                <w:sz w:val="20"/>
              </w:rPr>
            </w:pPr>
            <w:sdt>
              <w:sdtPr>
                <w:id w:val="512115778"/>
                <w14:checkbox>
                  <w14:checked w14:val="0"/>
                  <w14:checkedState w14:val="2612" w14:font="MS Gothic"/>
                  <w14:uncheckedState w14:val="2610" w14:font="MS Gothic"/>
                </w14:checkbox>
              </w:sdtPr>
              <w:sdtEndPr/>
              <w:sdtContent>
                <w:r w:rsidR="00E9008A" w:rsidRPr="003A0C5C">
                  <w:rPr>
                    <w:rFonts w:hint="eastAsia"/>
                  </w:rPr>
                  <w:t>☐</w:t>
                </w:r>
              </w:sdtContent>
            </w:sdt>
          </w:p>
        </w:tc>
      </w:tr>
      <w:tr w:rsidR="00E9008A" w:rsidRPr="003A0C5C" w14:paraId="658BF3FF" w14:textId="77777777" w:rsidTr="00313B2A">
        <w:trPr>
          <w:cantSplit/>
        </w:trPr>
        <w:tc>
          <w:tcPr>
            <w:tcW w:w="0" w:type="auto"/>
          </w:tcPr>
          <w:p w14:paraId="0DB370CA" w14:textId="77777777" w:rsidR="00E9008A" w:rsidRPr="003A0C5C" w:rsidRDefault="00E9008A" w:rsidP="00313B2A">
            <w:pPr>
              <w:pStyle w:val="Tabletextnumber"/>
            </w:pPr>
            <w:r w:rsidRPr="003A0C5C">
              <w:rPr>
                <w:rFonts w:cs="Arial"/>
                <w:szCs w:val="16"/>
              </w:rPr>
              <w:t>c)</w:t>
            </w:r>
            <w:r w:rsidRPr="003A0C5C">
              <w:rPr>
                <w:rFonts w:cs="Arial"/>
                <w:szCs w:val="16"/>
              </w:rPr>
              <w:tab/>
              <w:t xml:space="preserve">For a project located within the vicinity of a private airstrip or an airport land use plan or, where such a plan has not been adopted, within two miles of a public airport or public use airport, would the project expose people </w:t>
            </w:r>
            <w:proofErr w:type="gramStart"/>
            <w:r w:rsidRPr="003A0C5C">
              <w:rPr>
                <w:rFonts w:cs="Arial"/>
                <w:szCs w:val="16"/>
              </w:rPr>
              <w:t>residing</w:t>
            </w:r>
            <w:proofErr w:type="gramEnd"/>
            <w:r w:rsidRPr="003A0C5C">
              <w:rPr>
                <w:rFonts w:cs="Arial"/>
                <w:szCs w:val="16"/>
              </w:rPr>
              <w:t xml:space="preserve"> or working in the project area to excessive noise levels?</w:t>
            </w:r>
          </w:p>
        </w:tc>
        <w:tc>
          <w:tcPr>
            <w:tcW w:w="0" w:type="auto"/>
          </w:tcPr>
          <w:p w14:paraId="37FAB1B3" w14:textId="77777777" w:rsidR="00E9008A" w:rsidRPr="003A0C5C" w:rsidRDefault="002348BC" w:rsidP="00313B2A">
            <w:pPr>
              <w:pStyle w:val="Checklist"/>
              <w:rPr>
                <w:sz w:val="20"/>
              </w:rPr>
            </w:pPr>
            <w:sdt>
              <w:sdtPr>
                <w:id w:val="-348567022"/>
                <w14:checkbox>
                  <w14:checked w14:val="0"/>
                  <w14:checkedState w14:val="2612" w14:font="MS Gothic"/>
                  <w14:uncheckedState w14:val="2610" w14:font="MS Gothic"/>
                </w14:checkbox>
              </w:sdtPr>
              <w:sdtEndPr/>
              <w:sdtContent>
                <w:r w:rsidR="00E9008A" w:rsidRPr="003A0C5C">
                  <w:t>☐</w:t>
                </w:r>
              </w:sdtContent>
            </w:sdt>
          </w:p>
        </w:tc>
        <w:tc>
          <w:tcPr>
            <w:tcW w:w="0" w:type="auto"/>
          </w:tcPr>
          <w:p w14:paraId="27800256" w14:textId="77777777" w:rsidR="00E9008A" w:rsidRPr="003A0C5C" w:rsidRDefault="002348BC" w:rsidP="00313B2A">
            <w:pPr>
              <w:pStyle w:val="Checklist"/>
              <w:rPr>
                <w:sz w:val="20"/>
              </w:rPr>
            </w:pPr>
            <w:sdt>
              <w:sdtPr>
                <w:id w:val="-301081651"/>
                <w14:checkbox>
                  <w14:checked w14:val="0"/>
                  <w14:checkedState w14:val="2612" w14:font="MS Gothic"/>
                  <w14:uncheckedState w14:val="2610" w14:font="MS Gothic"/>
                </w14:checkbox>
              </w:sdtPr>
              <w:sdtEndPr/>
              <w:sdtContent>
                <w:r w:rsidR="00E9008A" w:rsidRPr="003A0C5C">
                  <w:t>☐</w:t>
                </w:r>
              </w:sdtContent>
            </w:sdt>
          </w:p>
        </w:tc>
        <w:tc>
          <w:tcPr>
            <w:tcW w:w="0" w:type="auto"/>
          </w:tcPr>
          <w:p w14:paraId="74E65CB4" w14:textId="77777777" w:rsidR="00E9008A" w:rsidRPr="003A0C5C" w:rsidRDefault="002348BC" w:rsidP="00313B2A">
            <w:pPr>
              <w:pStyle w:val="Checklist"/>
              <w:rPr>
                <w:sz w:val="20"/>
              </w:rPr>
            </w:pPr>
            <w:sdt>
              <w:sdtPr>
                <w:id w:val="-1007444326"/>
                <w14:checkbox>
                  <w14:checked w14:val="1"/>
                  <w14:checkedState w14:val="2612" w14:font="MS Gothic"/>
                  <w14:uncheckedState w14:val="2610" w14:font="MS Gothic"/>
                </w14:checkbox>
              </w:sdtPr>
              <w:sdtEndPr/>
              <w:sdtContent>
                <w:r w:rsidR="00E9008A" w:rsidRPr="003A0C5C">
                  <w:rPr>
                    <w:rFonts w:hint="eastAsia"/>
                  </w:rPr>
                  <w:t>☒</w:t>
                </w:r>
              </w:sdtContent>
            </w:sdt>
          </w:p>
        </w:tc>
        <w:tc>
          <w:tcPr>
            <w:tcW w:w="0" w:type="auto"/>
          </w:tcPr>
          <w:p w14:paraId="447F5FD3" w14:textId="77777777" w:rsidR="00E9008A" w:rsidRPr="003A0C5C" w:rsidRDefault="002348BC" w:rsidP="00313B2A">
            <w:pPr>
              <w:pStyle w:val="Checklist"/>
              <w:rPr>
                <w:sz w:val="20"/>
              </w:rPr>
            </w:pPr>
            <w:sdt>
              <w:sdtPr>
                <w:id w:val="-742878583"/>
                <w14:checkbox>
                  <w14:checked w14:val="0"/>
                  <w14:checkedState w14:val="2612" w14:font="MS Gothic"/>
                  <w14:uncheckedState w14:val="2610" w14:font="MS Gothic"/>
                </w14:checkbox>
              </w:sdtPr>
              <w:sdtEndPr/>
              <w:sdtContent>
                <w:r w:rsidR="00E9008A" w:rsidRPr="003A0C5C">
                  <w:rPr>
                    <w:rFonts w:hint="eastAsia"/>
                  </w:rPr>
                  <w:t>☐</w:t>
                </w:r>
              </w:sdtContent>
            </w:sdt>
          </w:p>
        </w:tc>
      </w:tr>
    </w:tbl>
    <w:p w14:paraId="451C6F61" w14:textId="77777777" w:rsidR="00E9008A" w:rsidRPr="003A0C5C" w:rsidRDefault="00E9008A" w:rsidP="00E9008A">
      <w:pPr>
        <w:pStyle w:val="TableNotes"/>
        <w:rPr>
          <w:highlight w:val="yellow"/>
        </w:rPr>
      </w:pPr>
    </w:p>
    <w:p w14:paraId="6EE9ABBC" w14:textId="77777777" w:rsidR="00E9008A" w:rsidRPr="003A0C5C" w:rsidRDefault="00E9008A" w:rsidP="00E9008A">
      <w:pPr>
        <w:pStyle w:val="Heading5"/>
      </w:pPr>
      <w:r w:rsidRPr="003A0C5C">
        <w:t>Discussion</w:t>
      </w:r>
    </w:p>
    <w:p w14:paraId="156E40CA" w14:textId="77777777" w:rsidR="00E9008A" w:rsidRPr="003A0C5C" w:rsidRDefault="00E9008A" w:rsidP="00E9008A">
      <w:pPr>
        <w:pStyle w:val="12spaceindent"/>
      </w:pPr>
      <w:r w:rsidRPr="003A0C5C">
        <w:t>a)</w:t>
      </w:r>
      <w:r w:rsidRPr="003A0C5C">
        <w:tab/>
        <w:t>Noise is defined as unwanted sound; however, not all unwanted sound rises to the level of a potentially significant noise impact. To differentiate unwanted sound from potentially significant noise impacts, the City of Carson has established noise regulations that take into account noise-sensitive land uses. The following analysis evaluates potential noise impacts at nearby noise-sensitive land uses that may result from construction and operation of the proposed project.</w:t>
      </w:r>
    </w:p>
    <w:p w14:paraId="41B831AA" w14:textId="77777777" w:rsidR="00E9008A" w:rsidRPr="003A0C5C" w:rsidRDefault="00E9008A" w:rsidP="00E9008A">
      <w:pPr>
        <w:pStyle w:val="Heading6"/>
        <w:ind w:left="720"/>
        <w:rPr>
          <w:bCs/>
        </w:rPr>
      </w:pPr>
      <w:r w:rsidRPr="003A0C5C">
        <w:rPr>
          <w:bCs/>
        </w:rPr>
        <w:t>Noise Principles and Descriptors</w:t>
      </w:r>
    </w:p>
    <w:p w14:paraId="52562E02" w14:textId="31AF4922" w:rsidR="00E9008A" w:rsidRPr="003A0C5C" w:rsidRDefault="00E9008A" w:rsidP="00E9008A">
      <w:pPr>
        <w:pStyle w:val="12spaceindentcontinue"/>
      </w:pPr>
      <w:r w:rsidRPr="003A0C5C">
        <w:t>Sound can be described as the mechanical energy of a vibrating object transmitted by pressure waves through a liquid or gaseous medium (e.g., air). Noise is generally defined as unwanted sound (i.e., loud, unexpected, or annoying sound). Acoustics is defined as the physics of sound. In acoustics, the fundamental scientific model consists of a sound (or noise) source, a receiver, and the propagation path between the two. The loudness of the noise source and obstructions or atmospheric factors affecting the propagation path to the receiver determines the sound level and characteristics of the noise perceived by the receiver. Acoustics addresses primarily the propagation and control of sound (Caltrans 2013</w:t>
      </w:r>
      <w:r w:rsidR="007A0592" w:rsidRPr="003A0C5C">
        <w:t>a</w:t>
      </w:r>
      <w:r w:rsidRPr="003A0C5C">
        <w:t>, Section 2.2.1).</w:t>
      </w:r>
    </w:p>
    <w:p w14:paraId="4F2FE81B" w14:textId="7ACB7E56" w:rsidR="00E9008A" w:rsidRPr="003A0C5C" w:rsidRDefault="00E9008A" w:rsidP="00E9008A">
      <w:pPr>
        <w:pStyle w:val="12spaceindentcontinue"/>
        <w:rPr>
          <w:spacing w:val="-2"/>
          <w:highlight w:val="yellow"/>
        </w:rPr>
      </w:pPr>
      <w:r w:rsidRPr="003A0C5C">
        <w:rPr>
          <w:spacing w:val="-2"/>
        </w:rPr>
        <w:t>Sound, traveling in the form of waves from a source, exerts a sound pressure level (referred to as sound level) that is measured in decibels (dB), which is the standard unit of sound amplitude measurement. The dB scale is a logarithmic scale (i.e., not linear) that describes the physical intensity of the pressure vibrations that make up any sound, with 0 dB corresponding roughly to the threshold of human hearing and 120 to 140 dB corresponding to the threshold of feeling and pain, respectively. In a non-controlled environment, a change in sound level of 3 dB is considered “just perceptible,” a change in sound level of 5 dB is considered “clearly noticeable,” and a change in 10 dB is perceived as a doubling of sound volume (Caltrans 2013</w:t>
      </w:r>
      <w:r w:rsidR="007A0592" w:rsidRPr="003A0C5C">
        <w:rPr>
          <w:spacing w:val="-2"/>
        </w:rPr>
        <w:t>a</w:t>
      </w:r>
      <w:r w:rsidRPr="003A0C5C">
        <w:rPr>
          <w:spacing w:val="-2"/>
        </w:rPr>
        <w:t>, Section 2.1.3). Pressure waves traveling through air exert a force registered by the human ear as sound (Caltrans 2013</w:t>
      </w:r>
      <w:r w:rsidR="007A0592" w:rsidRPr="003A0C5C">
        <w:rPr>
          <w:spacing w:val="-2"/>
        </w:rPr>
        <w:t>a</w:t>
      </w:r>
      <w:r w:rsidRPr="003A0C5C">
        <w:rPr>
          <w:spacing w:val="-2"/>
        </w:rPr>
        <w:t>, Section 2.1.3).</w:t>
      </w:r>
    </w:p>
    <w:p w14:paraId="7BE8246E" w14:textId="6BBA9536" w:rsidR="00E9008A" w:rsidRPr="003A0C5C" w:rsidRDefault="00E9008A" w:rsidP="00E9008A">
      <w:pPr>
        <w:pStyle w:val="12spaceindentcontinue"/>
        <w:rPr>
          <w:highlight w:val="yellow"/>
        </w:rPr>
      </w:pPr>
      <w:r w:rsidRPr="003A0C5C">
        <w:lastRenderedPageBreak/>
        <w:t>The typical human ear is not equally sensitive to all frequencies of the audible sound spectrum. As a consequence, when assessing potential noise impacts, sound is measured using an electronic filter that deemphasizes the frequencies below 1,000 hertz (Hz) and above 5,000 Hz in a manner corresponding to the human ear’s decreased sensitivity to extremely low and extremely high frequencies. This method of frequency weighting is referred to as A-weighting and is expressed in units of A-weighted decibels (dBA). A-weighting follows an international standard methodology of frequency de-emphasis and is typically applied to community noise measurements (Caltrans 2013</w:t>
      </w:r>
      <w:r w:rsidR="007A0592" w:rsidRPr="003A0C5C">
        <w:t>a</w:t>
      </w:r>
      <w:r w:rsidRPr="003A0C5C">
        <w:t>, Section 2.1.3).</w:t>
      </w:r>
    </w:p>
    <w:p w14:paraId="13CA7AE3" w14:textId="6FFB2F14" w:rsidR="00E9008A" w:rsidRPr="003A0C5C" w:rsidRDefault="00E9008A" w:rsidP="00E9008A">
      <w:pPr>
        <w:pStyle w:val="12spaceindentcontinue"/>
        <w:rPr>
          <w:highlight w:val="yellow"/>
        </w:rPr>
      </w:pPr>
      <w:r w:rsidRPr="003A0C5C">
        <w:t>An individual’s noise exposure is a measure of noise over a period of time, whereas a noise level is a measure of noise at a given instant in time. Community noise varies continuously over a period of time with respect to the contributing sound sources of the community noise environment. Community noise is primarily the product of many distant noise sources, which constitute a relatively stable background noise exposure, with the individual contributors unidentifiable. The background noise level changes throughout a typical day, but does so gradually, corresponding with the addition and subtraction of distant noise sources such as traffic. What makes community noise variable throughout a day, besides the slowly changing background noise, is the addition of short-duration, single-event noise sources (e.g., aircraft flyovers, motor vehicles, sirens), which are readily identifiable to the individual. These successive additions of sound to the community noise environment change the community noise level from instant to instant, requiring the measurement of noise exposure over a period of time to legitimately characterize a community noise environment and evaluate cumulative noise impacts (Caltrans 2013</w:t>
      </w:r>
      <w:r w:rsidR="007A0592" w:rsidRPr="003A0C5C">
        <w:t>a</w:t>
      </w:r>
      <w:r w:rsidRPr="003A0C5C">
        <w:t>, Section 2.2.2.1).</w:t>
      </w:r>
    </w:p>
    <w:p w14:paraId="59D911BB" w14:textId="1249F2DA" w:rsidR="00E9008A" w:rsidRPr="003A0C5C" w:rsidRDefault="00E9008A" w:rsidP="00E9008A">
      <w:pPr>
        <w:pStyle w:val="12spaceindentcontinue"/>
        <w:keepNext/>
        <w:spacing w:after="180"/>
      </w:pPr>
      <w:r w:rsidRPr="003A0C5C">
        <w:t>The time-varying characteristic of environmental noise over specified periods of time is described using statistical noise descriptors in terms of a single numerical value, expressed as dBA. The most frequently used noise descriptors are summarized below (Caltrans 2013</w:t>
      </w:r>
      <w:r w:rsidR="007A0592" w:rsidRPr="003A0C5C">
        <w:t>a</w:t>
      </w:r>
      <w:r w:rsidRPr="003A0C5C">
        <w:t>, Section 2.2.2.2):</w:t>
      </w:r>
    </w:p>
    <w:p w14:paraId="778A26C5" w14:textId="77777777" w:rsidR="00E9008A" w:rsidRPr="003A0C5C" w:rsidRDefault="00E9008A" w:rsidP="00E9008A">
      <w:pPr>
        <w:pStyle w:val="12spaceindent"/>
        <w:spacing w:after="120"/>
        <w:ind w:left="1526" w:hanging="806"/>
      </w:pPr>
      <w:proofErr w:type="spellStart"/>
      <w:r w:rsidRPr="003A0C5C">
        <w:rPr>
          <w:rStyle w:val="Bold"/>
        </w:rPr>
        <w:t>L</w:t>
      </w:r>
      <w:r w:rsidRPr="003A0C5C">
        <w:rPr>
          <w:rStyle w:val="Bold"/>
          <w:vertAlign w:val="subscript"/>
        </w:rPr>
        <w:t>eq</w:t>
      </w:r>
      <w:proofErr w:type="spellEnd"/>
      <w:r w:rsidRPr="003A0C5C">
        <w:rPr>
          <w:rStyle w:val="Bold"/>
        </w:rPr>
        <w:t>:</w:t>
      </w:r>
      <w:r w:rsidRPr="003A0C5C">
        <w:tab/>
        <w:t xml:space="preserve">The </w:t>
      </w:r>
      <w:proofErr w:type="spellStart"/>
      <w:r w:rsidRPr="003A0C5C">
        <w:t>L</w:t>
      </w:r>
      <w:r w:rsidRPr="003A0C5C">
        <w:rPr>
          <w:vertAlign w:val="subscript"/>
        </w:rPr>
        <w:t>eq</w:t>
      </w:r>
      <w:proofErr w:type="spellEnd"/>
      <w:r w:rsidRPr="003A0C5C">
        <w:t xml:space="preserve">, or equivalent continuous sound level, is used to describe the noise level over a specified period of time, typically 1-hour, i.e., </w:t>
      </w:r>
      <w:proofErr w:type="spellStart"/>
      <w:proofErr w:type="gramStart"/>
      <w:r w:rsidRPr="003A0C5C">
        <w:t>L</w:t>
      </w:r>
      <w:r w:rsidRPr="003A0C5C">
        <w:rPr>
          <w:vertAlign w:val="subscript"/>
        </w:rPr>
        <w:t>eq</w:t>
      </w:r>
      <w:proofErr w:type="spellEnd"/>
      <w:r w:rsidRPr="003A0C5C">
        <w:rPr>
          <w:vertAlign w:val="subscript"/>
        </w:rPr>
        <w:t>(</w:t>
      </w:r>
      <w:proofErr w:type="gramEnd"/>
      <w:r w:rsidRPr="003A0C5C">
        <w:rPr>
          <w:vertAlign w:val="subscript"/>
        </w:rPr>
        <w:t>1)</w:t>
      </w:r>
      <w:r w:rsidRPr="003A0C5C">
        <w:t xml:space="preserve">, expressed as </w:t>
      </w:r>
      <w:proofErr w:type="spellStart"/>
      <w:r w:rsidRPr="003A0C5C">
        <w:t>L</w:t>
      </w:r>
      <w:r w:rsidRPr="003A0C5C">
        <w:rPr>
          <w:vertAlign w:val="subscript"/>
        </w:rPr>
        <w:t>eq</w:t>
      </w:r>
      <w:proofErr w:type="spellEnd"/>
      <w:r w:rsidRPr="003A0C5C">
        <w:t xml:space="preserve">. The </w:t>
      </w:r>
      <w:proofErr w:type="spellStart"/>
      <w:r w:rsidRPr="003A0C5C">
        <w:t>L</w:t>
      </w:r>
      <w:r w:rsidRPr="003A0C5C">
        <w:rPr>
          <w:vertAlign w:val="subscript"/>
        </w:rPr>
        <w:t>eq</w:t>
      </w:r>
      <w:proofErr w:type="spellEnd"/>
      <w:r w:rsidRPr="003A0C5C">
        <w:t xml:space="preserve"> may also be referred to as the “average” sound level.</w:t>
      </w:r>
    </w:p>
    <w:p w14:paraId="09FE4CBB" w14:textId="77777777" w:rsidR="00E9008A" w:rsidRPr="003A0C5C" w:rsidRDefault="00E9008A" w:rsidP="00E9008A">
      <w:pPr>
        <w:pStyle w:val="12spaceindent"/>
        <w:spacing w:after="120"/>
        <w:ind w:left="1526" w:hanging="806"/>
      </w:pPr>
      <w:proofErr w:type="spellStart"/>
      <w:r w:rsidRPr="003A0C5C">
        <w:rPr>
          <w:rStyle w:val="Bold"/>
        </w:rPr>
        <w:t>L</w:t>
      </w:r>
      <w:r w:rsidRPr="003A0C5C">
        <w:rPr>
          <w:rStyle w:val="Bold"/>
          <w:vertAlign w:val="subscript"/>
        </w:rPr>
        <w:t>max</w:t>
      </w:r>
      <w:proofErr w:type="spellEnd"/>
      <w:r w:rsidRPr="003A0C5C">
        <w:rPr>
          <w:rStyle w:val="Bold"/>
        </w:rPr>
        <w:t>:</w:t>
      </w:r>
      <w:r w:rsidRPr="003A0C5C">
        <w:tab/>
        <w:t>The maximum, instantaneous noise level.</w:t>
      </w:r>
    </w:p>
    <w:p w14:paraId="7BD24A77" w14:textId="77777777" w:rsidR="00E9008A" w:rsidRPr="003A0C5C" w:rsidRDefault="00E9008A" w:rsidP="00E9008A">
      <w:pPr>
        <w:pStyle w:val="12spaceindent"/>
        <w:spacing w:after="120"/>
        <w:ind w:left="1526" w:hanging="806"/>
      </w:pPr>
      <w:proofErr w:type="spellStart"/>
      <w:r w:rsidRPr="003A0C5C">
        <w:rPr>
          <w:rStyle w:val="Bold"/>
        </w:rPr>
        <w:t>L</w:t>
      </w:r>
      <w:r w:rsidRPr="003A0C5C">
        <w:rPr>
          <w:rStyle w:val="Bold"/>
          <w:vertAlign w:val="subscript"/>
        </w:rPr>
        <w:t>min</w:t>
      </w:r>
      <w:proofErr w:type="spellEnd"/>
      <w:r w:rsidRPr="003A0C5C">
        <w:rPr>
          <w:rStyle w:val="Bold"/>
        </w:rPr>
        <w:t>:</w:t>
      </w:r>
      <w:r w:rsidRPr="003A0C5C">
        <w:tab/>
        <w:t>The minimum, instantaneous noise level.</w:t>
      </w:r>
    </w:p>
    <w:p w14:paraId="4D7FC1B3" w14:textId="77777777" w:rsidR="00E9008A" w:rsidRPr="003A0C5C" w:rsidRDefault="00E9008A" w:rsidP="00E9008A">
      <w:pPr>
        <w:pStyle w:val="12spaceindent"/>
        <w:spacing w:after="120"/>
        <w:ind w:left="1526" w:hanging="806"/>
      </w:pPr>
      <w:r w:rsidRPr="003A0C5C">
        <w:rPr>
          <w:rStyle w:val="Bold"/>
        </w:rPr>
        <w:t>L</w:t>
      </w:r>
      <w:r w:rsidRPr="003A0C5C">
        <w:rPr>
          <w:rStyle w:val="Bold"/>
          <w:vertAlign w:val="subscript"/>
        </w:rPr>
        <w:t>X</w:t>
      </w:r>
      <w:r w:rsidRPr="003A0C5C">
        <w:rPr>
          <w:rStyle w:val="Bold"/>
        </w:rPr>
        <w:t>:</w:t>
      </w:r>
      <w:r w:rsidRPr="003A0C5C">
        <w:tab/>
        <w:t>The noise level exceeded for specified percentage (x) over a specified time period; i.e., L</w:t>
      </w:r>
      <w:r w:rsidRPr="003A0C5C">
        <w:rPr>
          <w:vertAlign w:val="subscript"/>
        </w:rPr>
        <w:t>50</w:t>
      </w:r>
      <w:r w:rsidRPr="003A0C5C">
        <w:t xml:space="preserve"> and L</w:t>
      </w:r>
      <w:r w:rsidRPr="003A0C5C">
        <w:rPr>
          <w:vertAlign w:val="subscript"/>
        </w:rPr>
        <w:t>90</w:t>
      </w:r>
      <w:r w:rsidRPr="003A0C5C">
        <w:t xml:space="preserve"> represent the noise levels that are exceeded 50 and 90 percent of the time specified, respectively.</w:t>
      </w:r>
    </w:p>
    <w:p w14:paraId="3936BD47" w14:textId="58F52754" w:rsidR="00E9008A" w:rsidRPr="003A0C5C" w:rsidRDefault="00E9008A" w:rsidP="00E9008A">
      <w:pPr>
        <w:pStyle w:val="12spaceindent"/>
        <w:spacing w:after="120"/>
        <w:ind w:left="1526" w:hanging="806"/>
      </w:pPr>
      <w:proofErr w:type="spellStart"/>
      <w:r w:rsidRPr="003A0C5C">
        <w:rPr>
          <w:rStyle w:val="Bold"/>
        </w:rPr>
        <w:t>L</w:t>
      </w:r>
      <w:r w:rsidRPr="003A0C5C">
        <w:rPr>
          <w:rStyle w:val="Bold"/>
          <w:vertAlign w:val="subscript"/>
        </w:rPr>
        <w:t>dn</w:t>
      </w:r>
      <w:proofErr w:type="spellEnd"/>
      <w:r w:rsidRPr="003A0C5C">
        <w:rPr>
          <w:rStyle w:val="Bold"/>
        </w:rPr>
        <w:t>:</w:t>
      </w:r>
      <w:r w:rsidRPr="003A0C5C">
        <w:tab/>
        <w:t xml:space="preserve">The </w:t>
      </w:r>
      <w:proofErr w:type="spellStart"/>
      <w:r w:rsidRPr="003A0C5C">
        <w:t>L</w:t>
      </w:r>
      <w:r w:rsidRPr="003A0C5C">
        <w:rPr>
          <w:vertAlign w:val="subscript"/>
        </w:rPr>
        <w:t>dn</w:t>
      </w:r>
      <w:proofErr w:type="spellEnd"/>
      <w:r w:rsidRPr="003A0C5C">
        <w:t xml:space="preserve"> is the average noise level over a 24-hour day, including an addition of 10 dBA to the measured hourly noise levels between the hours of 10 p.m. to 7 a.m. to account </w:t>
      </w:r>
      <w:r w:rsidR="00C22F88" w:rsidRPr="003A0C5C">
        <w:t xml:space="preserve">for </w:t>
      </w:r>
      <w:r w:rsidRPr="003A0C5C">
        <w:t xml:space="preserve">nighttime noise sensitivity. </w:t>
      </w:r>
      <w:proofErr w:type="spellStart"/>
      <w:r w:rsidRPr="003A0C5C">
        <w:t>L</w:t>
      </w:r>
      <w:r w:rsidRPr="003A0C5C">
        <w:rPr>
          <w:vertAlign w:val="subscript"/>
        </w:rPr>
        <w:t>dn</w:t>
      </w:r>
      <w:proofErr w:type="spellEnd"/>
      <w:r w:rsidRPr="003A0C5C">
        <w:t xml:space="preserve"> is also termed the day-night average noise level or DNL.</w:t>
      </w:r>
    </w:p>
    <w:p w14:paraId="0408310D" w14:textId="77777777" w:rsidR="00E9008A" w:rsidRPr="003A0C5C" w:rsidRDefault="00E9008A" w:rsidP="00E9008A">
      <w:pPr>
        <w:pStyle w:val="12spaceindent"/>
        <w:ind w:left="1526" w:hanging="806"/>
      </w:pPr>
      <w:r w:rsidRPr="003A0C5C">
        <w:rPr>
          <w:rStyle w:val="Bold"/>
        </w:rPr>
        <w:t>CNEL:</w:t>
      </w:r>
      <w:r w:rsidRPr="003A0C5C">
        <w:tab/>
        <w:t xml:space="preserve">Community Noise Equivalent Level (CNEL), is the average noise level over a 24-hour day that includes an addition of 5 dBA to the measured hourly noise levels </w:t>
      </w:r>
      <w:r w:rsidRPr="003A0C5C">
        <w:lastRenderedPageBreak/>
        <w:t xml:space="preserve">between the evening hours of 7 p.m. to 10 p.m. and an addition of 10 dBA to the measured hourly noise levels between the nighttime hours of 10 p.m. to 7 a.m. to account for noise sensitivity during the evening and nighttime hours, respectively. CNEL and </w:t>
      </w:r>
      <w:proofErr w:type="spellStart"/>
      <w:r w:rsidRPr="003A0C5C">
        <w:t>L</w:t>
      </w:r>
      <w:r w:rsidRPr="003A0C5C">
        <w:rPr>
          <w:vertAlign w:val="subscript"/>
        </w:rPr>
        <w:t>dn</w:t>
      </w:r>
      <w:proofErr w:type="spellEnd"/>
      <w:r w:rsidRPr="003A0C5C">
        <w:t xml:space="preserve"> noise levels typically differ by less than 1 dBA and are generally interchangeable.</w:t>
      </w:r>
    </w:p>
    <w:p w14:paraId="494E748C" w14:textId="77777777" w:rsidR="00E9008A" w:rsidRPr="003A0C5C" w:rsidRDefault="00E9008A" w:rsidP="00E9008A">
      <w:pPr>
        <w:pStyle w:val="Heading6"/>
        <w:ind w:left="720"/>
        <w:rPr>
          <w:bCs/>
          <w:highlight w:val="yellow"/>
        </w:rPr>
      </w:pPr>
      <w:r w:rsidRPr="003A0C5C">
        <w:rPr>
          <w:bCs/>
        </w:rPr>
        <w:t>City of Carson Municipal Code</w:t>
      </w:r>
    </w:p>
    <w:p w14:paraId="61D9FADF" w14:textId="43910F43" w:rsidR="00E9008A" w:rsidRPr="003A0C5C" w:rsidRDefault="00E9008A" w:rsidP="00E9008A">
      <w:pPr>
        <w:pStyle w:val="12spaceindentcontinue"/>
      </w:pPr>
      <w:r w:rsidRPr="003A0C5C">
        <w:t xml:space="preserve">CMC </w:t>
      </w:r>
      <w:r w:rsidR="007020E4" w:rsidRPr="003A0C5C">
        <w:t>A</w:t>
      </w:r>
      <w:r w:rsidRPr="003A0C5C">
        <w:t xml:space="preserve">rticle 5, </w:t>
      </w:r>
      <w:r w:rsidR="007020E4" w:rsidRPr="003A0C5C">
        <w:t>C</w:t>
      </w:r>
      <w:r w:rsidRPr="003A0C5C">
        <w:t xml:space="preserve">hapter 5, details the City’s approach to noise control and standards. CMC </w:t>
      </w:r>
      <w:r w:rsidR="00356D58" w:rsidRPr="003A0C5C">
        <w:t>Section </w:t>
      </w:r>
      <w:r w:rsidRPr="003A0C5C">
        <w:t>5500 states the City’s intent to adopt the Los Angeles County Municipal Code (LACMC) Noise Control Ordinance (</w:t>
      </w:r>
      <w:r w:rsidR="00CB3883" w:rsidRPr="003A0C5C">
        <w:t>T</w:t>
      </w:r>
      <w:r w:rsidRPr="003A0C5C">
        <w:t xml:space="preserve">itle 12, </w:t>
      </w:r>
      <w:r w:rsidR="00CB3883" w:rsidRPr="003A0C5C">
        <w:t>C</w:t>
      </w:r>
      <w:r w:rsidRPr="003A0C5C">
        <w:t>hapter 12.08) as the CMC’s own noise control ordinance with some key amendments. LACMC Section 12.08.390(B) sets standards for acceptable exterior noise levels. The standards are intended to protect the community from excessive noise levels that have the potential to: (</w:t>
      </w:r>
      <w:proofErr w:type="spellStart"/>
      <w:r w:rsidRPr="003A0C5C">
        <w:t>i</w:t>
      </w:r>
      <w:proofErr w:type="spellEnd"/>
      <w:r w:rsidRPr="003A0C5C">
        <w:t xml:space="preserve">) interfere with sleep, communication, relaxation, and enjoyment of property; (ii) contribute to hearing impairment; and (iii) adversely affect the value of property. The standards for exterior noise levels are summarized in </w:t>
      </w:r>
      <w:r w:rsidRPr="003A0C5C">
        <w:rPr>
          <w:rStyle w:val="Bold"/>
        </w:rPr>
        <w:t>Table 10</w:t>
      </w:r>
      <w:r w:rsidRPr="003A0C5C">
        <w:t xml:space="preserve">, </w:t>
      </w:r>
      <w:r w:rsidRPr="003A0C5C">
        <w:rPr>
          <w:rStyle w:val="Italic"/>
        </w:rPr>
        <w:t>City of Carson Exterior Noise Level Standards</w:t>
      </w:r>
      <w:r w:rsidRPr="003A0C5C">
        <w:t xml:space="preserve">. Noise measurement calculations are provided in </w:t>
      </w:r>
      <w:r w:rsidRPr="003A0C5C">
        <w:rPr>
          <w:b/>
          <w:bCs/>
        </w:rPr>
        <w:t>Appendix K</w:t>
      </w:r>
      <w:r w:rsidR="0076416C" w:rsidRPr="003A0C5C">
        <w:rPr>
          <w:b/>
          <w:bCs/>
        </w:rPr>
        <w:t xml:space="preserve"> </w:t>
      </w:r>
      <w:r w:rsidR="0076416C" w:rsidRPr="003A0C5C">
        <w:t>of this IS/MND</w:t>
      </w:r>
      <w:r w:rsidRPr="003A0C5C">
        <w:t>.</w:t>
      </w:r>
    </w:p>
    <w:tbl>
      <w:tblPr>
        <w:tblW w:w="0" w:type="auto"/>
        <w:tblInd w:w="720" w:type="dxa"/>
        <w:tblBorders>
          <w:top w:val="single" w:sz="4" w:space="0" w:color="auto"/>
          <w:bottom w:val="single" w:sz="4" w:space="0" w:color="auto"/>
        </w:tblBorders>
        <w:tblCellMar>
          <w:left w:w="86" w:type="dxa"/>
          <w:right w:w="86" w:type="dxa"/>
        </w:tblCellMar>
        <w:tblLook w:val="04A0" w:firstRow="1" w:lastRow="0" w:firstColumn="1" w:lastColumn="0" w:noHBand="0" w:noVBand="1"/>
      </w:tblPr>
      <w:tblGrid>
        <w:gridCol w:w="2829"/>
        <w:gridCol w:w="1373"/>
        <w:gridCol w:w="3312"/>
      </w:tblGrid>
      <w:tr w:rsidR="003A0C5C" w:rsidRPr="003A0C5C" w14:paraId="211BF740" w14:textId="77777777" w:rsidTr="00313B2A">
        <w:trPr>
          <w:cantSplit/>
        </w:trPr>
        <w:tc>
          <w:tcPr>
            <w:tcW w:w="0" w:type="auto"/>
            <w:gridSpan w:val="3"/>
            <w:tcBorders>
              <w:top w:val="nil"/>
              <w:bottom w:val="single" w:sz="4" w:space="0" w:color="auto"/>
            </w:tcBorders>
          </w:tcPr>
          <w:p w14:paraId="027A18F4" w14:textId="77777777" w:rsidR="00E9008A" w:rsidRPr="003A0C5C" w:rsidRDefault="00E9008A" w:rsidP="00313B2A">
            <w:pPr>
              <w:pStyle w:val="TableNoTitle"/>
            </w:pPr>
            <w:bookmarkStart w:id="83" w:name="_Toc101792202"/>
            <w:r w:rsidRPr="003A0C5C">
              <w:t>Table 10</w:t>
            </w:r>
            <w:r w:rsidRPr="003A0C5C">
              <w:br/>
            </w:r>
            <w:r w:rsidRPr="003A0C5C">
              <w:tab/>
              <w:t>City of Carson Exterior Noise Level Standards</w:t>
            </w:r>
            <w:bookmarkEnd w:id="83"/>
          </w:p>
        </w:tc>
      </w:tr>
      <w:tr w:rsidR="003A0C5C" w:rsidRPr="003A0C5C" w14:paraId="5CF782A3" w14:textId="77777777" w:rsidTr="00313B2A">
        <w:trPr>
          <w:cantSplit/>
        </w:trPr>
        <w:tc>
          <w:tcPr>
            <w:tcW w:w="0" w:type="auto"/>
            <w:tcBorders>
              <w:top w:val="single" w:sz="4" w:space="0" w:color="auto"/>
              <w:bottom w:val="single" w:sz="12" w:space="0" w:color="auto"/>
            </w:tcBorders>
            <w:hideMark/>
          </w:tcPr>
          <w:p w14:paraId="48E904FB" w14:textId="77777777" w:rsidR="00E9008A" w:rsidRPr="003A0C5C" w:rsidRDefault="00E9008A" w:rsidP="00313B2A">
            <w:pPr>
              <w:pStyle w:val="Tablecolumnheading"/>
            </w:pPr>
            <w:r w:rsidRPr="003A0C5C">
              <w:t>Zone</w:t>
            </w:r>
          </w:p>
        </w:tc>
        <w:tc>
          <w:tcPr>
            <w:tcW w:w="0" w:type="auto"/>
            <w:tcBorders>
              <w:top w:val="single" w:sz="4" w:space="0" w:color="auto"/>
              <w:bottom w:val="single" w:sz="12" w:space="0" w:color="auto"/>
            </w:tcBorders>
          </w:tcPr>
          <w:p w14:paraId="2E70DA8A" w14:textId="77777777" w:rsidR="00E9008A" w:rsidRPr="003A0C5C" w:rsidRDefault="00E9008A" w:rsidP="00313B2A">
            <w:pPr>
              <w:pStyle w:val="Tablecolumnheading"/>
              <w:jc w:val="center"/>
            </w:pPr>
            <w:r w:rsidRPr="003A0C5C">
              <w:t>Time Interval</w:t>
            </w:r>
          </w:p>
        </w:tc>
        <w:tc>
          <w:tcPr>
            <w:tcW w:w="0" w:type="auto"/>
            <w:tcBorders>
              <w:top w:val="single" w:sz="4" w:space="0" w:color="auto"/>
              <w:bottom w:val="single" w:sz="12" w:space="0" w:color="auto"/>
            </w:tcBorders>
          </w:tcPr>
          <w:p w14:paraId="3A7CB34E" w14:textId="77777777" w:rsidR="00E9008A" w:rsidRPr="003A0C5C" w:rsidRDefault="00E9008A" w:rsidP="00313B2A">
            <w:pPr>
              <w:pStyle w:val="Tablecolumnheading"/>
              <w:jc w:val="center"/>
            </w:pPr>
            <w:r w:rsidRPr="003A0C5C">
              <w:t xml:space="preserve">Hourly Equivalent Sound Level (dBA, </w:t>
            </w:r>
            <w:proofErr w:type="spellStart"/>
            <w:r w:rsidRPr="003A0C5C">
              <w:t>L</w:t>
            </w:r>
            <w:r w:rsidRPr="003A0C5C">
              <w:rPr>
                <w:vertAlign w:val="subscript"/>
              </w:rPr>
              <w:t>eq</w:t>
            </w:r>
            <w:proofErr w:type="spellEnd"/>
            <w:r w:rsidRPr="003A0C5C">
              <w:t>)</w:t>
            </w:r>
          </w:p>
        </w:tc>
      </w:tr>
      <w:tr w:rsidR="003A0C5C" w:rsidRPr="003A0C5C" w14:paraId="1017B9DB" w14:textId="77777777" w:rsidTr="00313B2A">
        <w:trPr>
          <w:cantSplit/>
        </w:trPr>
        <w:tc>
          <w:tcPr>
            <w:tcW w:w="0" w:type="auto"/>
            <w:tcBorders>
              <w:top w:val="single" w:sz="12" w:space="0" w:color="auto"/>
            </w:tcBorders>
          </w:tcPr>
          <w:p w14:paraId="1E5B961C" w14:textId="77777777" w:rsidR="00E9008A" w:rsidRPr="003A0C5C" w:rsidRDefault="00E9008A" w:rsidP="00313B2A">
            <w:pPr>
              <w:pStyle w:val="Tabletextnumber"/>
              <w:keepNext/>
            </w:pPr>
            <w:r w:rsidRPr="003A0C5C">
              <w:t>I.</w:t>
            </w:r>
            <w:r w:rsidRPr="003A0C5C">
              <w:tab/>
              <w:t>Noise Sensitive Area</w:t>
            </w:r>
          </w:p>
        </w:tc>
        <w:tc>
          <w:tcPr>
            <w:tcW w:w="0" w:type="auto"/>
            <w:tcBorders>
              <w:top w:val="single" w:sz="12" w:space="0" w:color="auto"/>
            </w:tcBorders>
          </w:tcPr>
          <w:p w14:paraId="3A9A836B" w14:textId="77777777" w:rsidR="00E9008A" w:rsidRPr="003A0C5C" w:rsidRDefault="00E9008A" w:rsidP="00313B2A">
            <w:pPr>
              <w:pStyle w:val="Tabletext"/>
              <w:jc w:val="center"/>
            </w:pPr>
            <w:r w:rsidRPr="003A0C5C">
              <w:t>Anytime</w:t>
            </w:r>
          </w:p>
        </w:tc>
        <w:tc>
          <w:tcPr>
            <w:tcW w:w="0" w:type="auto"/>
            <w:tcBorders>
              <w:top w:val="single" w:sz="12" w:space="0" w:color="auto"/>
            </w:tcBorders>
          </w:tcPr>
          <w:p w14:paraId="54B07224" w14:textId="77777777" w:rsidR="00E9008A" w:rsidRPr="003A0C5C" w:rsidRDefault="00E9008A" w:rsidP="00313B2A">
            <w:pPr>
              <w:pStyle w:val="Tabletext"/>
              <w:jc w:val="center"/>
            </w:pPr>
            <w:r w:rsidRPr="003A0C5C">
              <w:t>45 dBA</w:t>
            </w:r>
          </w:p>
        </w:tc>
      </w:tr>
      <w:tr w:rsidR="003A0C5C" w:rsidRPr="003A0C5C" w14:paraId="3D7CC4D1" w14:textId="77777777" w:rsidTr="00313B2A">
        <w:trPr>
          <w:cantSplit/>
        </w:trPr>
        <w:tc>
          <w:tcPr>
            <w:tcW w:w="0" w:type="auto"/>
          </w:tcPr>
          <w:p w14:paraId="7941B3D0" w14:textId="77777777" w:rsidR="00E9008A" w:rsidRPr="003A0C5C" w:rsidRDefault="00E9008A" w:rsidP="00313B2A">
            <w:pPr>
              <w:pStyle w:val="Tabletextnumber"/>
              <w:keepNext/>
            </w:pPr>
            <w:r w:rsidRPr="003A0C5C">
              <w:t>II.</w:t>
            </w:r>
            <w:r w:rsidRPr="003A0C5C">
              <w:tab/>
              <w:t>Residential Properties (nighttime)</w:t>
            </w:r>
          </w:p>
        </w:tc>
        <w:tc>
          <w:tcPr>
            <w:tcW w:w="0" w:type="auto"/>
          </w:tcPr>
          <w:p w14:paraId="689C27AC" w14:textId="77777777" w:rsidR="00E9008A" w:rsidRPr="003A0C5C" w:rsidRDefault="00E9008A" w:rsidP="00313B2A">
            <w:pPr>
              <w:pStyle w:val="Tabletext"/>
              <w:jc w:val="center"/>
            </w:pPr>
            <w:r w:rsidRPr="003A0C5C">
              <w:t>10 p.m. to 7 a.m.</w:t>
            </w:r>
          </w:p>
        </w:tc>
        <w:tc>
          <w:tcPr>
            <w:tcW w:w="0" w:type="auto"/>
          </w:tcPr>
          <w:p w14:paraId="49AAEE17" w14:textId="77777777" w:rsidR="00E9008A" w:rsidRPr="003A0C5C" w:rsidRDefault="00E9008A" w:rsidP="00313B2A">
            <w:pPr>
              <w:pStyle w:val="Tabletext"/>
              <w:jc w:val="center"/>
            </w:pPr>
            <w:r w:rsidRPr="003A0C5C">
              <w:t>45 dBA</w:t>
            </w:r>
          </w:p>
        </w:tc>
      </w:tr>
      <w:tr w:rsidR="003A0C5C" w:rsidRPr="003A0C5C" w14:paraId="7C8E696E" w14:textId="77777777" w:rsidTr="00313B2A">
        <w:trPr>
          <w:cantSplit/>
        </w:trPr>
        <w:tc>
          <w:tcPr>
            <w:tcW w:w="0" w:type="auto"/>
          </w:tcPr>
          <w:p w14:paraId="7697654E" w14:textId="77777777" w:rsidR="00E9008A" w:rsidRPr="003A0C5C" w:rsidRDefault="00E9008A" w:rsidP="00313B2A">
            <w:pPr>
              <w:pStyle w:val="Tabletextnumber"/>
              <w:keepNext/>
            </w:pPr>
            <w:r w:rsidRPr="003A0C5C">
              <w:tab/>
              <w:t>Residential Properties (daytime)</w:t>
            </w:r>
          </w:p>
        </w:tc>
        <w:tc>
          <w:tcPr>
            <w:tcW w:w="0" w:type="auto"/>
          </w:tcPr>
          <w:p w14:paraId="29166A4E" w14:textId="77777777" w:rsidR="00E9008A" w:rsidRPr="003A0C5C" w:rsidRDefault="00E9008A" w:rsidP="00313B2A">
            <w:pPr>
              <w:pStyle w:val="Tabletext"/>
              <w:jc w:val="center"/>
            </w:pPr>
            <w:r w:rsidRPr="003A0C5C">
              <w:t>7 a.m. to 10 p.m.</w:t>
            </w:r>
          </w:p>
        </w:tc>
        <w:tc>
          <w:tcPr>
            <w:tcW w:w="0" w:type="auto"/>
          </w:tcPr>
          <w:p w14:paraId="5BF90DAC" w14:textId="77777777" w:rsidR="00E9008A" w:rsidRPr="003A0C5C" w:rsidRDefault="00E9008A" w:rsidP="00313B2A">
            <w:pPr>
              <w:pStyle w:val="Tabletext"/>
              <w:jc w:val="center"/>
            </w:pPr>
            <w:r w:rsidRPr="003A0C5C">
              <w:t>50 dBA</w:t>
            </w:r>
          </w:p>
        </w:tc>
      </w:tr>
      <w:tr w:rsidR="003A0C5C" w:rsidRPr="003A0C5C" w14:paraId="31B9CA8E" w14:textId="77777777" w:rsidTr="00313B2A">
        <w:trPr>
          <w:cantSplit/>
        </w:trPr>
        <w:tc>
          <w:tcPr>
            <w:tcW w:w="0" w:type="auto"/>
          </w:tcPr>
          <w:p w14:paraId="7E6F9B04" w14:textId="77777777" w:rsidR="00E9008A" w:rsidRPr="003A0C5C" w:rsidRDefault="00E9008A" w:rsidP="00313B2A">
            <w:pPr>
              <w:pStyle w:val="Tabletextnumber"/>
              <w:keepNext/>
            </w:pPr>
            <w:r w:rsidRPr="003A0C5C">
              <w:t>III.</w:t>
            </w:r>
            <w:r w:rsidRPr="003A0C5C">
              <w:tab/>
              <w:t>Commercial Properties (nighttime)</w:t>
            </w:r>
          </w:p>
        </w:tc>
        <w:tc>
          <w:tcPr>
            <w:tcW w:w="0" w:type="auto"/>
          </w:tcPr>
          <w:p w14:paraId="1A9AE49D" w14:textId="77777777" w:rsidR="00E9008A" w:rsidRPr="003A0C5C" w:rsidRDefault="00E9008A" w:rsidP="00313B2A">
            <w:pPr>
              <w:pStyle w:val="Tabletext"/>
              <w:jc w:val="center"/>
            </w:pPr>
            <w:r w:rsidRPr="003A0C5C">
              <w:t>10 p.m. to 7 a.m.</w:t>
            </w:r>
          </w:p>
        </w:tc>
        <w:tc>
          <w:tcPr>
            <w:tcW w:w="0" w:type="auto"/>
          </w:tcPr>
          <w:p w14:paraId="43410DC3" w14:textId="77777777" w:rsidR="00E9008A" w:rsidRPr="003A0C5C" w:rsidRDefault="00E9008A" w:rsidP="00313B2A">
            <w:pPr>
              <w:pStyle w:val="Tabletext"/>
              <w:jc w:val="center"/>
            </w:pPr>
            <w:r w:rsidRPr="003A0C5C">
              <w:t>55 dBA</w:t>
            </w:r>
          </w:p>
        </w:tc>
      </w:tr>
      <w:tr w:rsidR="003A0C5C" w:rsidRPr="003A0C5C" w14:paraId="3349FB4B" w14:textId="77777777" w:rsidTr="00313B2A">
        <w:trPr>
          <w:cantSplit/>
        </w:trPr>
        <w:tc>
          <w:tcPr>
            <w:tcW w:w="0" w:type="auto"/>
          </w:tcPr>
          <w:p w14:paraId="3F9C85D3" w14:textId="77777777" w:rsidR="00E9008A" w:rsidRPr="003A0C5C" w:rsidRDefault="00E9008A" w:rsidP="00313B2A">
            <w:pPr>
              <w:pStyle w:val="Tabletextnumber"/>
              <w:keepNext/>
            </w:pPr>
            <w:r w:rsidRPr="003A0C5C">
              <w:tab/>
              <w:t>Commercial Properties (daytime)</w:t>
            </w:r>
          </w:p>
        </w:tc>
        <w:tc>
          <w:tcPr>
            <w:tcW w:w="0" w:type="auto"/>
          </w:tcPr>
          <w:p w14:paraId="72C6BA21" w14:textId="77777777" w:rsidR="00E9008A" w:rsidRPr="003A0C5C" w:rsidRDefault="00E9008A" w:rsidP="00313B2A">
            <w:pPr>
              <w:pStyle w:val="Tabletext"/>
              <w:jc w:val="center"/>
            </w:pPr>
            <w:r w:rsidRPr="003A0C5C">
              <w:t>7 a.m. to 10 p.m.</w:t>
            </w:r>
          </w:p>
        </w:tc>
        <w:tc>
          <w:tcPr>
            <w:tcW w:w="0" w:type="auto"/>
          </w:tcPr>
          <w:p w14:paraId="4CDF72F5" w14:textId="77777777" w:rsidR="00E9008A" w:rsidRPr="003A0C5C" w:rsidRDefault="00E9008A" w:rsidP="00313B2A">
            <w:pPr>
              <w:pStyle w:val="Tabletext"/>
              <w:jc w:val="center"/>
            </w:pPr>
            <w:r w:rsidRPr="003A0C5C">
              <w:t>60 dBA</w:t>
            </w:r>
          </w:p>
        </w:tc>
      </w:tr>
      <w:tr w:rsidR="003A0C5C" w:rsidRPr="003A0C5C" w14:paraId="726C0D41" w14:textId="77777777" w:rsidTr="00313B2A">
        <w:trPr>
          <w:cantSplit/>
        </w:trPr>
        <w:tc>
          <w:tcPr>
            <w:tcW w:w="0" w:type="auto"/>
            <w:tcBorders>
              <w:bottom w:val="single" w:sz="4" w:space="0" w:color="auto"/>
            </w:tcBorders>
          </w:tcPr>
          <w:p w14:paraId="383A415E" w14:textId="77777777" w:rsidR="00E9008A" w:rsidRPr="003A0C5C" w:rsidRDefault="00E9008A" w:rsidP="00313B2A">
            <w:pPr>
              <w:pStyle w:val="Tabletextnumber"/>
              <w:keepNext/>
            </w:pPr>
            <w:r w:rsidRPr="003A0C5C">
              <w:t>IV.</w:t>
            </w:r>
            <w:r w:rsidRPr="003A0C5C">
              <w:tab/>
              <w:t>Industrial Properties</w:t>
            </w:r>
          </w:p>
        </w:tc>
        <w:tc>
          <w:tcPr>
            <w:tcW w:w="0" w:type="auto"/>
            <w:tcBorders>
              <w:bottom w:val="single" w:sz="4" w:space="0" w:color="auto"/>
            </w:tcBorders>
          </w:tcPr>
          <w:p w14:paraId="2DEA73D0" w14:textId="77777777" w:rsidR="00E9008A" w:rsidRPr="003A0C5C" w:rsidRDefault="00E9008A" w:rsidP="00313B2A">
            <w:pPr>
              <w:pStyle w:val="Tabletext"/>
              <w:jc w:val="center"/>
            </w:pPr>
            <w:r w:rsidRPr="003A0C5C">
              <w:t>Anytime</w:t>
            </w:r>
          </w:p>
        </w:tc>
        <w:tc>
          <w:tcPr>
            <w:tcW w:w="0" w:type="auto"/>
            <w:tcBorders>
              <w:bottom w:val="single" w:sz="4" w:space="0" w:color="auto"/>
            </w:tcBorders>
          </w:tcPr>
          <w:p w14:paraId="1669C30A" w14:textId="77777777" w:rsidR="00E9008A" w:rsidRPr="003A0C5C" w:rsidRDefault="00E9008A" w:rsidP="00313B2A">
            <w:pPr>
              <w:pStyle w:val="Tabletext"/>
              <w:jc w:val="center"/>
            </w:pPr>
            <w:r w:rsidRPr="003A0C5C">
              <w:t>70 dBA</w:t>
            </w:r>
          </w:p>
        </w:tc>
      </w:tr>
      <w:tr w:rsidR="00E9008A" w:rsidRPr="003A0C5C" w14:paraId="1E908845" w14:textId="77777777" w:rsidTr="00313B2A">
        <w:trPr>
          <w:cantSplit/>
        </w:trPr>
        <w:tc>
          <w:tcPr>
            <w:tcW w:w="0" w:type="auto"/>
            <w:gridSpan w:val="3"/>
            <w:tcBorders>
              <w:top w:val="single" w:sz="4" w:space="0" w:color="auto"/>
              <w:bottom w:val="single" w:sz="4" w:space="0" w:color="auto"/>
            </w:tcBorders>
            <w:hideMark/>
          </w:tcPr>
          <w:p w14:paraId="3645606A" w14:textId="5C226D65" w:rsidR="00E9008A" w:rsidRPr="003A0C5C" w:rsidRDefault="00E9008A" w:rsidP="0083184D">
            <w:pPr>
              <w:pStyle w:val="TableSource"/>
              <w:spacing w:before="120" w:after="120"/>
            </w:pPr>
            <w:r w:rsidRPr="003A0C5C">
              <w:t>SOURCE:</w:t>
            </w:r>
            <w:r w:rsidR="0010254B" w:rsidRPr="003A0C5C">
              <w:t xml:space="preserve"> </w:t>
            </w:r>
            <w:r w:rsidRPr="003A0C5C">
              <w:t>LACMC Section 12.08.390.</w:t>
            </w:r>
          </w:p>
        </w:tc>
      </w:tr>
    </w:tbl>
    <w:p w14:paraId="29C876AA" w14:textId="77777777" w:rsidR="00E9008A" w:rsidRPr="003A0C5C" w:rsidRDefault="00E9008A" w:rsidP="00E9008A">
      <w:pPr>
        <w:pStyle w:val="12spaceindentcontinue"/>
        <w:rPr>
          <w:highlight w:val="yellow"/>
        </w:rPr>
      </w:pPr>
    </w:p>
    <w:p w14:paraId="0A7D290F" w14:textId="4C46F6CA" w:rsidR="00E9008A" w:rsidRPr="003A0C5C" w:rsidRDefault="00E9008A" w:rsidP="00E9008A">
      <w:pPr>
        <w:pStyle w:val="12spaceindentcontinue"/>
      </w:pPr>
      <w:r w:rsidRPr="003A0C5C">
        <w:t xml:space="preserve">CMC </w:t>
      </w:r>
      <w:r w:rsidR="00215043" w:rsidRPr="003A0C5C">
        <w:t>A</w:t>
      </w:r>
      <w:r w:rsidRPr="003A0C5C">
        <w:t xml:space="preserve">rticle 5, </w:t>
      </w:r>
      <w:r w:rsidR="00215043" w:rsidRPr="003A0C5C">
        <w:t>C</w:t>
      </w:r>
      <w:r w:rsidRPr="003A0C5C">
        <w:t xml:space="preserve">hapter 5, </w:t>
      </w:r>
      <w:r w:rsidR="00CB3883" w:rsidRPr="003A0C5C">
        <w:t>S</w:t>
      </w:r>
      <w:r w:rsidRPr="003A0C5C">
        <w:t xml:space="preserve">ection 5502, provides a list of amendments added to the LACMC for application in the City of Carson. Section 5502 amends CMC </w:t>
      </w:r>
      <w:r w:rsidR="00CB3883" w:rsidRPr="003A0C5C">
        <w:t>Chapter </w:t>
      </w:r>
      <w:r w:rsidRPr="003A0C5C">
        <w:t xml:space="preserve">12.08, </w:t>
      </w:r>
      <w:r w:rsidR="00CB3883" w:rsidRPr="003A0C5C">
        <w:t>Part </w:t>
      </w:r>
      <w:r w:rsidRPr="003A0C5C">
        <w:t xml:space="preserve">4, to address noise standards for construction activities with nearby residential land uses. </w:t>
      </w:r>
      <w:r w:rsidR="00CB3883" w:rsidRPr="003A0C5C">
        <w:t>Long-</w:t>
      </w:r>
      <w:r w:rsidRPr="003A0C5C">
        <w:t xml:space="preserve">term construction (defined as more than 21 days of scheduled work) is permitted Monday through Saturday from 7 a.m. to 8 p.m. given construction does not exceed 65 dBA in single-family residential areas, 70 dBA in multi-family residential areas, and 70 dBA in semi-residential/commercial areas. Construction noise levels take precedence over the noise standards listed in </w:t>
      </w:r>
      <w:r w:rsidRPr="003A0C5C">
        <w:rPr>
          <w:rStyle w:val="Bold"/>
          <w:b w:val="0"/>
          <w:bCs/>
        </w:rPr>
        <w:t>Table 10</w:t>
      </w:r>
      <w:r w:rsidRPr="003A0C5C">
        <w:t xml:space="preserve">, above. Section 5502(h) lists amendments to the LACMC for procedures for obtaining a variance from the requirements of CMC </w:t>
      </w:r>
      <w:r w:rsidR="00CB3883" w:rsidRPr="003A0C5C">
        <w:t>Article </w:t>
      </w:r>
      <w:r w:rsidRPr="003A0C5C">
        <w:t xml:space="preserve">5, </w:t>
      </w:r>
      <w:r w:rsidR="00CB3883" w:rsidRPr="003A0C5C">
        <w:t>Chapter </w:t>
      </w:r>
      <w:r w:rsidRPr="003A0C5C">
        <w:t xml:space="preserve">5, which may be granted by the Planning Commission for a period not to exceed </w:t>
      </w:r>
      <w:r w:rsidR="00D20510" w:rsidRPr="003A0C5C">
        <w:t xml:space="preserve">2 </w:t>
      </w:r>
      <w:r w:rsidRPr="003A0C5C">
        <w:t>years, subject to such terms, conditions and requirements as may be reasonable under the circumstances.</w:t>
      </w:r>
    </w:p>
    <w:p w14:paraId="7E9CDAFE" w14:textId="77777777" w:rsidR="00E9008A" w:rsidRPr="003A0C5C" w:rsidRDefault="00E9008A" w:rsidP="00E9008A">
      <w:pPr>
        <w:pStyle w:val="Heading6"/>
        <w:ind w:left="720"/>
        <w:rPr>
          <w:bCs/>
        </w:rPr>
      </w:pPr>
      <w:r w:rsidRPr="003A0C5C">
        <w:rPr>
          <w:bCs/>
        </w:rPr>
        <w:lastRenderedPageBreak/>
        <w:t>City of Carson General Plan Noise Element</w:t>
      </w:r>
    </w:p>
    <w:p w14:paraId="628A4B77" w14:textId="3304D5FD" w:rsidR="00E9008A" w:rsidRPr="003A0C5C" w:rsidRDefault="00E9008A" w:rsidP="00E9008A">
      <w:pPr>
        <w:pStyle w:val="12spaceindentcontinue"/>
      </w:pPr>
      <w:r w:rsidRPr="003A0C5C">
        <w:t>In addition to the previously described CMC provisions, the City has also established noise guidelines in the Noise Element of the City’s General Plan that are used for planning purposes (City of Carson 2002). These guidelines are based in part on the community noise compatibility guidelines established by the California State Governor’s Office of Planning and Research and are intended for use in assessing the compatibility of various land use types with a range of noise levels (</w:t>
      </w:r>
      <w:r w:rsidR="00F871DA" w:rsidRPr="003A0C5C">
        <w:rPr>
          <w:lang w:eastAsia="ko-KR"/>
        </w:rPr>
        <w:t xml:space="preserve">Office of Planning and </w:t>
      </w:r>
      <w:proofErr w:type="gramStart"/>
      <w:r w:rsidR="00F871DA" w:rsidRPr="003A0C5C">
        <w:rPr>
          <w:lang w:eastAsia="ko-KR"/>
        </w:rPr>
        <w:t>Research</w:t>
      </w:r>
      <w:r w:rsidR="00F871DA" w:rsidRPr="003A0C5C" w:rsidDel="00F871DA">
        <w:t xml:space="preserve"> </w:t>
      </w:r>
      <w:r w:rsidRPr="003A0C5C">
        <w:t xml:space="preserve"> </w:t>
      </w:r>
      <w:r w:rsidR="00B86758" w:rsidRPr="003A0C5C">
        <w:t>2017</w:t>
      </w:r>
      <w:proofErr w:type="gramEnd"/>
      <w:r w:rsidRPr="003A0C5C">
        <w:t xml:space="preserve">). </w:t>
      </w:r>
      <w:r w:rsidRPr="003A0C5C">
        <w:rPr>
          <w:rStyle w:val="Bold"/>
        </w:rPr>
        <w:t>Table 11</w:t>
      </w:r>
      <w:r w:rsidRPr="003A0C5C">
        <w:t xml:space="preserve">, </w:t>
      </w:r>
      <w:r w:rsidRPr="003A0C5C">
        <w:rPr>
          <w:rStyle w:val="Italic"/>
        </w:rPr>
        <w:t>City of Carson Guidelines for Noise Compatible Land Use</w:t>
      </w:r>
      <w:r w:rsidRPr="003A0C5C">
        <w:t>, provides the guidelines of land use compatibility for community noise sources. The CNEL noise levels for specific land uses are classified into four categories: (1) “normally acceptable”; (2) “conditionally acceptable”; (3) “normally unacceptable”; and (4) “clearly unacceptable.” A CNEL value of 65 dBA is considered the dividing line between a “conditionally acceptable” and “normally unacceptable” noise environment for noise sensitive land uses, including residences, and schools. A CNEL value of 70 dBA is considered the dividing line between a “normally acceptable” and “normally unacceptable” noise environment for noise sensitive land uses, including neighborhood parks.</w:t>
      </w:r>
    </w:p>
    <w:p w14:paraId="6E7E048C" w14:textId="77777777" w:rsidR="00E9008A" w:rsidRPr="003A0C5C" w:rsidRDefault="00E9008A" w:rsidP="00E9008A">
      <w:pPr>
        <w:pStyle w:val="Heading6"/>
        <w:ind w:left="720"/>
        <w:rPr>
          <w:bCs/>
        </w:rPr>
      </w:pPr>
      <w:r w:rsidRPr="003A0C5C">
        <w:rPr>
          <w:bCs/>
        </w:rPr>
        <w:t>Thresholds of Significance</w:t>
      </w:r>
    </w:p>
    <w:p w14:paraId="73815369" w14:textId="77777777" w:rsidR="00E9008A" w:rsidRPr="003A0C5C" w:rsidRDefault="00E9008A" w:rsidP="00E9008A">
      <w:pPr>
        <w:pStyle w:val="12spaceindentcontinue"/>
        <w:spacing w:after="180"/>
      </w:pPr>
      <w:r w:rsidRPr="003A0C5C">
        <w:t>The City of Carson’s noise ordinances regulate construction and operational noise. With respect to the community noise assessment, changes in noise levels of less than 3 dBA are generally not discernable to most people, while changes greater than 5 dBA are readily noticeable and would be considered a significant increase. Therefore, the significance threshold for mobile source noise is based on human perceptibility to changes in noise levels (increases) with consideration of existing ambient noise conditions and City’s land use noise compatibility guidelines. Therefore, the proposed project would result in a significant noise impact if:</w:t>
      </w:r>
    </w:p>
    <w:p w14:paraId="4369DA5B" w14:textId="6FB0252E" w:rsidR="00E9008A" w:rsidRPr="003A0C5C" w:rsidRDefault="00E9008A" w:rsidP="00430176">
      <w:pPr>
        <w:pStyle w:val="ListBullet"/>
        <w:numPr>
          <w:ilvl w:val="0"/>
          <w:numId w:val="11"/>
        </w:numPr>
        <w:spacing w:after="120"/>
        <w:ind w:left="1080"/>
      </w:pPr>
      <w:r w:rsidRPr="003A0C5C">
        <w:t>For sensitive receptors located in the City of Carson, project construction activities would generate noise levels</w:t>
      </w:r>
      <w:r w:rsidR="00C9208D" w:rsidRPr="003A0C5C">
        <w:t xml:space="preserve"> in one of the following two conditions: </w:t>
      </w:r>
      <w:r w:rsidR="003226C5" w:rsidRPr="003A0C5C">
        <w:t>(</w:t>
      </w:r>
      <w:r w:rsidR="00C9208D" w:rsidRPr="003A0C5C">
        <w:t>a)</w:t>
      </w:r>
      <w:r w:rsidRPr="003A0C5C">
        <w:t xml:space="preserve"> in single-family residential areas that exceed a maximum of 65 dBA for single-family residential uses or a maximum of 70 dBA for multi-family residential, semi-residential, or commercial uses between the hours of 7 a.m. and 8 p.m., Monday through Saturday</w:t>
      </w:r>
      <w:r w:rsidR="00430176" w:rsidRPr="003A0C5C">
        <w:t xml:space="preserve">; or </w:t>
      </w:r>
      <w:r w:rsidR="003226C5" w:rsidRPr="003A0C5C">
        <w:t>(</w:t>
      </w:r>
      <w:r w:rsidR="00430176" w:rsidRPr="003A0C5C">
        <w:t>b) in residential areas that exceed the ambient noise-based threshold (ambient noise + 5 dBA) between the hours of 7 a.m. and 8 p.m., Monday through Saturday.</w:t>
      </w:r>
      <w:r w:rsidRPr="003A0C5C">
        <w:t xml:space="preserve"> </w:t>
      </w:r>
    </w:p>
    <w:p w14:paraId="4EEAAE99" w14:textId="5B922C9E" w:rsidR="00E9008A" w:rsidRPr="003A0C5C" w:rsidRDefault="00E9008A" w:rsidP="00430176">
      <w:pPr>
        <w:pStyle w:val="ListBullet"/>
        <w:numPr>
          <w:ilvl w:val="0"/>
          <w:numId w:val="11"/>
        </w:numPr>
        <w:spacing w:after="120"/>
        <w:ind w:left="1080"/>
      </w:pPr>
      <w:r w:rsidRPr="003A0C5C">
        <w:t>Project on-site stationary sources (i.e., air conditioning units, pumps) increase existing ambient noise levels at adjacent sensitive receptors by 5 dBA or more if the existing noise levels do not already exceed the City’s exterior noise standards, or by 3 dBA or more if the existing noise levels already exceed the City’s exterior noise standards or if the resulting noise levels would result in the exceedance of the City’s exterior noise standards</w:t>
      </w:r>
      <w:r w:rsidR="003226C5" w:rsidRPr="003A0C5C">
        <w:t>.</w:t>
      </w:r>
    </w:p>
    <w:p w14:paraId="1E2851D9" w14:textId="77777777" w:rsidR="009C2D92" w:rsidRPr="003A0C5C" w:rsidRDefault="009C2D92" w:rsidP="009C2D92">
      <w:pPr>
        <w:pStyle w:val="ListBullet"/>
        <w:numPr>
          <w:ilvl w:val="0"/>
          <w:numId w:val="11"/>
        </w:numPr>
        <w:ind w:left="1080"/>
      </w:pPr>
      <w:r w:rsidRPr="003A0C5C">
        <w:t>Project-related off-site traffic increases ambient noise levels by 5 dBA CNEL or more along roadway segments with sensitive receptors, and the resulting noise level occurs on a noise-sensitive land use within an area categorized as “normally acceptable;” or causes ambient noise levels to increase by 3 dBA CNEL or more and the resulting noise occurs on a noise-sensitive land use within an area categorized as “conditionally acceptable,” “normally unacceptable,” or “clearly unacceptable.”</w:t>
      </w:r>
    </w:p>
    <w:tbl>
      <w:tblPr>
        <w:tblW w:w="0" w:type="auto"/>
        <w:jc w:val="center"/>
        <w:tblLayout w:type="fixed"/>
        <w:tblCellMar>
          <w:left w:w="86" w:type="dxa"/>
          <w:right w:w="86" w:type="dxa"/>
        </w:tblCellMar>
        <w:tblLook w:val="04A0" w:firstRow="1" w:lastRow="0" w:firstColumn="1" w:lastColumn="0" w:noHBand="0" w:noVBand="1"/>
      </w:tblPr>
      <w:tblGrid>
        <w:gridCol w:w="3690"/>
        <w:gridCol w:w="1080"/>
        <w:gridCol w:w="1350"/>
        <w:gridCol w:w="1223"/>
        <w:gridCol w:w="1297"/>
      </w:tblGrid>
      <w:tr w:rsidR="003A0C5C" w:rsidRPr="003A0C5C" w14:paraId="51B805E5" w14:textId="77777777" w:rsidTr="009C2D92">
        <w:trPr>
          <w:cantSplit/>
          <w:tblHeader/>
          <w:jc w:val="center"/>
        </w:trPr>
        <w:tc>
          <w:tcPr>
            <w:tcW w:w="8640" w:type="dxa"/>
            <w:gridSpan w:val="5"/>
            <w:tcBorders>
              <w:bottom w:val="single" w:sz="4" w:space="0" w:color="auto"/>
            </w:tcBorders>
            <w:vAlign w:val="bottom"/>
          </w:tcPr>
          <w:p w14:paraId="1C38FFBF" w14:textId="77777777" w:rsidR="00E9008A" w:rsidRPr="003A0C5C" w:rsidRDefault="00E9008A" w:rsidP="00313B2A">
            <w:pPr>
              <w:pStyle w:val="TableNoTitle"/>
            </w:pPr>
            <w:bookmarkStart w:id="84" w:name="_Toc101792203"/>
            <w:r w:rsidRPr="003A0C5C">
              <w:lastRenderedPageBreak/>
              <w:t>Table 11</w:t>
            </w:r>
            <w:r w:rsidRPr="003A0C5C">
              <w:br/>
            </w:r>
            <w:r w:rsidRPr="003A0C5C">
              <w:tab/>
              <w:t>City of Carson Guidelines for Noise Compatible Land Use</w:t>
            </w:r>
            <w:bookmarkEnd w:id="84"/>
          </w:p>
        </w:tc>
      </w:tr>
      <w:tr w:rsidR="003A0C5C" w:rsidRPr="003A0C5C" w14:paraId="69CBBC4E" w14:textId="77777777" w:rsidTr="009C2D92">
        <w:trPr>
          <w:cantSplit/>
          <w:tblHeader/>
          <w:jc w:val="center"/>
        </w:trPr>
        <w:tc>
          <w:tcPr>
            <w:tcW w:w="3690" w:type="dxa"/>
            <w:vMerge w:val="restart"/>
            <w:tcBorders>
              <w:top w:val="single" w:sz="4" w:space="0" w:color="auto"/>
              <w:bottom w:val="single" w:sz="4" w:space="0" w:color="auto"/>
            </w:tcBorders>
            <w:vAlign w:val="bottom"/>
          </w:tcPr>
          <w:p w14:paraId="1BC71549" w14:textId="77777777" w:rsidR="00E9008A" w:rsidRPr="003A0C5C" w:rsidRDefault="00E9008A" w:rsidP="00313B2A">
            <w:pPr>
              <w:pStyle w:val="Tablecolumnheading"/>
            </w:pPr>
            <w:r w:rsidRPr="003A0C5C">
              <w:t>Land Use Categories</w:t>
            </w:r>
          </w:p>
        </w:tc>
        <w:tc>
          <w:tcPr>
            <w:tcW w:w="4950" w:type="dxa"/>
            <w:gridSpan w:val="4"/>
            <w:tcBorders>
              <w:top w:val="single" w:sz="4" w:space="0" w:color="auto"/>
              <w:bottom w:val="single" w:sz="4" w:space="0" w:color="auto"/>
            </w:tcBorders>
            <w:vAlign w:val="bottom"/>
          </w:tcPr>
          <w:p w14:paraId="3F8844FF" w14:textId="77777777" w:rsidR="00E9008A" w:rsidRPr="003A0C5C" w:rsidRDefault="00E9008A" w:rsidP="00313B2A">
            <w:pPr>
              <w:pStyle w:val="Tablecolumnheading"/>
              <w:jc w:val="center"/>
              <w:rPr>
                <w:bCs/>
              </w:rPr>
            </w:pPr>
            <w:r w:rsidRPr="003A0C5C">
              <w:rPr>
                <w:bCs/>
              </w:rPr>
              <w:t>Community Noise Exposure (CNEL, dB)</w:t>
            </w:r>
          </w:p>
        </w:tc>
      </w:tr>
      <w:tr w:rsidR="003A0C5C" w:rsidRPr="003A0C5C" w14:paraId="73E88752" w14:textId="77777777" w:rsidTr="009C2D92">
        <w:trPr>
          <w:cantSplit/>
          <w:tblHeader/>
          <w:jc w:val="center"/>
        </w:trPr>
        <w:tc>
          <w:tcPr>
            <w:tcW w:w="3690" w:type="dxa"/>
            <w:vMerge/>
            <w:tcBorders>
              <w:top w:val="single" w:sz="4" w:space="0" w:color="auto"/>
              <w:bottom w:val="single" w:sz="12" w:space="0" w:color="auto"/>
            </w:tcBorders>
            <w:vAlign w:val="bottom"/>
          </w:tcPr>
          <w:p w14:paraId="4803FC17" w14:textId="77777777" w:rsidR="00E9008A" w:rsidRPr="003A0C5C" w:rsidRDefault="00E9008A" w:rsidP="00313B2A">
            <w:pPr>
              <w:pStyle w:val="Tablecolumnheading"/>
            </w:pPr>
          </w:p>
        </w:tc>
        <w:tc>
          <w:tcPr>
            <w:tcW w:w="1080" w:type="dxa"/>
            <w:tcBorders>
              <w:top w:val="single" w:sz="4" w:space="0" w:color="auto"/>
              <w:bottom w:val="single" w:sz="12" w:space="0" w:color="auto"/>
            </w:tcBorders>
            <w:vAlign w:val="bottom"/>
          </w:tcPr>
          <w:p w14:paraId="5BEACC94" w14:textId="77777777" w:rsidR="00E9008A" w:rsidRPr="003A0C5C" w:rsidRDefault="00E9008A" w:rsidP="00313B2A">
            <w:pPr>
              <w:pStyle w:val="Tablecolumnheading"/>
              <w:jc w:val="center"/>
            </w:pPr>
            <w:r w:rsidRPr="003A0C5C">
              <w:t>Normally Acceptable</w:t>
            </w:r>
          </w:p>
        </w:tc>
        <w:tc>
          <w:tcPr>
            <w:tcW w:w="1350" w:type="dxa"/>
            <w:tcBorders>
              <w:top w:val="single" w:sz="4" w:space="0" w:color="auto"/>
              <w:bottom w:val="single" w:sz="12" w:space="0" w:color="auto"/>
            </w:tcBorders>
            <w:vAlign w:val="bottom"/>
          </w:tcPr>
          <w:p w14:paraId="59B73BE1" w14:textId="77777777" w:rsidR="00E9008A" w:rsidRPr="003A0C5C" w:rsidRDefault="00E9008A" w:rsidP="00313B2A">
            <w:pPr>
              <w:pStyle w:val="Tablecolumnheading"/>
              <w:jc w:val="center"/>
            </w:pPr>
            <w:r w:rsidRPr="003A0C5C">
              <w:t>Conditionally Acceptable</w:t>
            </w:r>
          </w:p>
        </w:tc>
        <w:tc>
          <w:tcPr>
            <w:tcW w:w="1223" w:type="dxa"/>
            <w:tcBorders>
              <w:top w:val="single" w:sz="4" w:space="0" w:color="auto"/>
              <w:bottom w:val="single" w:sz="12" w:space="0" w:color="auto"/>
            </w:tcBorders>
            <w:vAlign w:val="bottom"/>
          </w:tcPr>
          <w:p w14:paraId="65811914" w14:textId="77777777" w:rsidR="00E9008A" w:rsidRPr="003A0C5C" w:rsidRDefault="00E9008A" w:rsidP="00313B2A">
            <w:pPr>
              <w:pStyle w:val="Tablecolumnheading"/>
              <w:jc w:val="center"/>
            </w:pPr>
            <w:r w:rsidRPr="003A0C5C">
              <w:t>Normally Unacceptable</w:t>
            </w:r>
          </w:p>
        </w:tc>
        <w:tc>
          <w:tcPr>
            <w:tcW w:w="1297" w:type="dxa"/>
            <w:tcBorders>
              <w:top w:val="single" w:sz="4" w:space="0" w:color="auto"/>
              <w:bottom w:val="single" w:sz="12" w:space="0" w:color="auto"/>
            </w:tcBorders>
            <w:vAlign w:val="bottom"/>
          </w:tcPr>
          <w:p w14:paraId="24ABF526" w14:textId="77777777" w:rsidR="00E9008A" w:rsidRPr="003A0C5C" w:rsidRDefault="00E9008A" w:rsidP="00313B2A">
            <w:pPr>
              <w:pStyle w:val="Tablecolumnheading"/>
              <w:jc w:val="center"/>
            </w:pPr>
            <w:r w:rsidRPr="003A0C5C">
              <w:t>Clearly Unacceptable</w:t>
            </w:r>
          </w:p>
        </w:tc>
      </w:tr>
      <w:tr w:rsidR="003A0C5C" w:rsidRPr="003A0C5C" w14:paraId="616760C2" w14:textId="77777777" w:rsidTr="009C2D92">
        <w:trPr>
          <w:cantSplit/>
          <w:jc w:val="center"/>
        </w:trPr>
        <w:tc>
          <w:tcPr>
            <w:tcW w:w="3690" w:type="dxa"/>
            <w:tcBorders>
              <w:top w:val="single" w:sz="12" w:space="0" w:color="auto"/>
            </w:tcBorders>
          </w:tcPr>
          <w:p w14:paraId="3A9C50CC" w14:textId="77777777" w:rsidR="00E9008A" w:rsidRPr="003A0C5C" w:rsidRDefault="00E9008A" w:rsidP="00313B2A">
            <w:pPr>
              <w:pStyle w:val="Tabletext"/>
              <w:keepNext/>
            </w:pPr>
            <w:r w:rsidRPr="003A0C5C">
              <w:t>Residential – Low Density</w:t>
            </w:r>
          </w:p>
        </w:tc>
        <w:tc>
          <w:tcPr>
            <w:tcW w:w="1080" w:type="dxa"/>
            <w:tcBorders>
              <w:top w:val="single" w:sz="12" w:space="0" w:color="auto"/>
            </w:tcBorders>
          </w:tcPr>
          <w:p w14:paraId="19D46D44" w14:textId="77777777" w:rsidR="00E9008A" w:rsidRPr="003A0C5C" w:rsidRDefault="00E9008A" w:rsidP="00313B2A">
            <w:pPr>
              <w:pStyle w:val="Tabletext"/>
              <w:jc w:val="center"/>
            </w:pPr>
            <w:r w:rsidRPr="003A0C5C">
              <w:t>50–60</w:t>
            </w:r>
          </w:p>
        </w:tc>
        <w:tc>
          <w:tcPr>
            <w:tcW w:w="1350" w:type="dxa"/>
            <w:tcBorders>
              <w:top w:val="single" w:sz="12" w:space="0" w:color="auto"/>
            </w:tcBorders>
          </w:tcPr>
          <w:p w14:paraId="0570844D" w14:textId="77777777" w:rsidR="00E9008A" w:rsidRPr="003A0C5C" w:rsidRDefault="00E9008A" w:rsidP="00313B2A">
            <w:pPr>
              <w:pStyle w:val="Tabletext"/>
              <w:jc w:val="center"/>
            </w:pPr>
            <w:r w:rsidRPr="003A0C5C">
              <w:t>60–65</w:t>
            </w:r>
          </w:p>
        </w:tc>
        <w:tc>
          <w:tcPr>
            <w:tcW w:w="1223" w:type="dxa"/>
            <w:tcBorders>
              <w:top w:val="single" w:sz="12" w:space="0" w:color="auto"/>
            </w:tcBorders>
          </w:tcPr>
          <w:p w14:paraId="48903319" w14:textId="77777777" w:rsidR="00E9008A" w:rsidRPr="003A0C5C" w:rsidRDefault="00E9008A" w:rsidP="00313B2A">
            <w:pPr>
              <w:pStyle w:val="Tabletext"/>
              <w:jc w:val="center"/>
            </w:pPr>
            <w:r w:rsidRPr="003A0C5C">
              <w:t>65–75</w:t>
            </w:r>
          </w:p>
        </w:tc>
        <w:tc>
          <w:tcPr>
            <w:tcW w:w="1297" w:type="dxa"/>
            <w:tcBorders>
              <w:top w:val="single" w:sz="12" w:space="0" w:color="auto"/>
            </w:tcBorders>
          </w:tcPr>
          <w:p w14:paraId="5F05179A" w14:textId="77777777" w:rsidR="00E9008A" w:rsidRPr="003A0C5C" w:rsidRDefault="00E9008A" w:rsidP="00313B2A">
            <w:pPr>
              <w:pStyle w:val="Tabletext"/>
              <w:jc w:val="center"/>
            </w:pPr>
            <w:r w:rsidRPr="003A0C5C">
              <w:t>75–85</w:t>
            </w:r>
          </w:p>
        </w:tc>
      </w:tr>
      <w:tr w:rsidR="003A0C5C" w:rsidRPr="003A0C5C" w14:paraId="706C852B" w14:textId="77777777" w:rsidTr="009C2D92">
        <w:trPr>
          <w:cantSplit/>
          <w:jc w:val="center"/>
        </w:trPr>
        <w:tc>
          <w:tcPr>
            <w:tcW w:w="3690" w:type="dxa"/>
          </w:tcPr>
          <w:p w14:paraId="55F7EF4E" w14:textId="7D476BAA" w:rsidR="00E9008A" w:rsidRPr="003A0C5C" w:rsidRDefault="00E9008A" w:rsidP="00313B2A">
            <w:pPr>
              <w:pStyle w:val="Tabletext"/>
              <w:keepNext/>
            </w:pPr>
            <w:r w:rsidRPr="003A0C5C">
              <w:t>Residential Multi-Family</w:t>
            </w:r>
          </w:p>
        </w:tc>
        <w:tc>
          <w:tcPr>
            <w:tcW w:w="1080" w:type="dxa"/>
          </w:tcPr>
          <w:p w14:paraId="23A474B4" w14:textId="77777777" w:rsidR="00E9008A" w:rsidRPr="003A0C5C" w:rsidRDefault="00E9008A" w:rsidP="00313B2A">
            <w:pPr>
              <w:pStyle w:val="Tabletext"/>
              <w:jc w:val="center"/>
            </w:pPr>
            <w:r w:rsidRPr="003A0C5C">
              <w:t>50–60</w:t>
            </w:r>
          </w:p>
        </w:tc>
        <w:tc>
          <w:tcPr>
            <w:tcW w:w="1350" w:type="dxa"/>
          </w:tcPr>
          <w:p w14:paraId="771DF068" w14:textId="77777777" w:rsidR="00E9008A" w:rsidRPr="003A0C5C" w:rsidRDefault="00E9008A" w:rsidP="00313B2A">
            <w:pPr>
              <w:pStyle w:val="Tabletext"/>
              <w:jc w:val="center"/>
            </w:pPr>
            <w:r w:rsidRPr="003A0C5C">
              <w:t>60–65</w:t>
            </w:r>
          </w:p>
        </w:tc>
        <w:tc>
          <w:tcPr>
            <w:tcW w:w="1223" w:type="dxa"/>
          </w:tcPr>
          <w:p w14:paraId="529CCFE0" w14:textId="77777777" w:rsidR="00E9008A" w:rsidRPr="003A0C5C" w:rsidRDefault="00E9008A" w:rsidP="00313B2A">
            <w:pPr>
              <w:pStyle w:val="Tabletext"/>
              <w:jc w:val="center"/>
            </w:pPr>
            <w:r w:rsidRPr="003A0C5C">
              <w:t>65–75</w:t>
            </w:r>
          </w:p>
        </w:tc>
        <w:tc>
          <w:tcPr>
            <w:tcW w:w="1297" w:type="dxa"/>
          </w:tcPr>
          <w:p w14:paraId="64DF9539" w14:textId="77777777" w:rsidR="00E9008A" w:rsidRPr="003A0C5C" w:rsidRDefault="00E9008A" w:rsidP="00313B2A">
            <w:pPr>
              <w:pStyle w:val="Tabletext"/>
              <w:jc w:val="center"/>
            </w:pPr>
            <w:r w:rsidRPr="003A0C5C">
              <w:t>75–85</w:t>
            </w:r>
          </w:p>
        </w:tc>
      </w:tr>
      <w:tr w:rsidR="003A0C5C" w:rsidRPr="003A0C5C" w14:paraId="63E2E9AA" w14:textId="77777777" w:rsidTr="009C2D92">
        <w:trPr>
          <w:cantSplit/>
          <w:jc w:val="center"/>
        </w:trPr>
        <w:tc>
          <w:tcPr>
            <w:tcW w:w="3690" w:type="dxa"/>
          </w:tcPr>
          <w:p w14:paraId="0E3DBE2E" w14:textId="77777777" w:rsidR="00E9008A" w:rsidRPr="003A0C5C" w:rsidRDefault="00E9008A" w:rsidP="00313B2A">
            <w:pPr>
              <w:pStyle w:val="Tabletext"/>
              <w:keepNext/>
            </w:pPr>
            <w:r w:rsidRPr="003A0C5C">
              <w:t xml:space="preserve">Transient Lodging, Hotel, Motel </w:t>
            </w:r>
          </w:p>
        </w:tc>
        <w:tc>
          <w:tcPr>
            <w:tcW w:w="1080" w:type="dxa"/>
          </w:tcPr>
          <w:p w14:paraId="71B5B26A" w14:textId="77777777" w:rsidR="00E9008A" w:rsidRPr="003A0C5C" w:rsidRDefault="00E9008A" w:rsidP="00313B2A">
            <w:pPr>
              <w:pStyle w:val="Tabletext"/>
              <w:jc w:val="center"/>
            </w:pPr>
            <w:r w:rsidRPr="003A0C5C">
              <w:t>50–65</w:t>
            </w:r>
          </w:p>
        </w:tc>
        <w:tc>
          <w:tcPr>
            <w:tcW w:w="1350" w:type="dxa"/>
          </w:tcPr>
          <w:p w14:paraId="628A8631" w14:textId="77777777" w:rsidR="00E9008A" w:rsidRPr="003A0C5C" w:rsidRDefault="00E9008A" w:rsidP="00313B2A">
            <w:pPr>
              <w:pStyle w:val="Tabletext"/>
              <w:jc w:val="center"/>
            </w:pPr>
            <w:r w:rsidRPr="003A0C5C">
              <w:t>65–70</w:t>
            </w:r>
          </w:p>
        </w:tc>
        <w:tc>
          <w:tcPr>
            <w:tcW w:w="1223" w:type="dxa"/>
          </w:tcPr>
          <w:p w14:paraId="774ADF0A" w14:textId="77777777" w:rsidR="00E9008A" w:rsidRPr="003A0C5C" w:rsidRDefault="00E9008A" w:rsidP="00313B2A">
            <w:pPr>
              <w:pStyle w:val="Tabletext"/>
              <w:jc w:val="center"/>
            </w:pPr>
            <w:r w:rsidRPr="003A0C5C">
              <w:t>70–80</w:t>
            </w:r>
          </w:p>
        </w:tc>
        <w:tc>
          <w:tcPr>
            <w:tcW w:w="1297" w:type="dxa"/>
          </w:tcPr>
          <w:p w14:paraId="0E5B694A" w14:textId="77777777" w:rsidR="00E9008A" w:rsidRPr="003A0C5C" w:rsidRDefault="00E9008A" w:rsidP="00313B2A">
            <w:pPr>
              <w:pStyle w:val="Tabletext"/>
              <w:jc w:val="center"/>
            </w:pPr>
            <w:r w:rsidRPr="003A0C5C">
              <w:t>80–85</w:t>
            </w:r>
          </w:p>
        </w:tc>
      </w:tr>
      <w:tr w:rsidR="003A0C5C" w:rsidRPr="003A0C5C" w14:paraId="701A1C7D" w14:textId="77777777" w:rsidTr="009C2D92">
        <w:trPr>
          <w:cantSplit/>
          <w:jc w:val="center"/>
        </w:trPr>
        <w:tc>
          <w:tcPr>
            <w:tcW w:w="3690" w:type="dxa"/>
          </w:tcPr>
          <w:p w14:paraId="132AF7ED" w14:textId="77777777" w:rsidR="00E9008A" w:rsidRPr="003A0C5C" w:rsidRDefault="00E9008A" w:rsidP="00313B2A">
            <w:pPr>
              <w:pStyle w:val="Tabletext"/>
              <w:keepNext/>
            </w:pPr>
            <w:r w:rsidRPr="003A0C5C">
              <w:t>School, Library, Church, Hospital, Nursing Home</w:t>
            </w:r>
          </w:p>
        </w:tc>
        <w:tc>
          <w:tcPr>
            <w:tcW w:w="1080" w:type="dxa"/>
          </w:tcPr>
          <w:p w14:paraId="7275F86A" w14:textId="77777777" w:rsidR="00E9008A" w:rsidRPr="003A0C5C" w:rsidRDefault="00E9008A" w:rsidP="00313B2A">
            <w:pPr>
              <w:pStyle w:val="Tabletext"/>
              <w:jc w:val="center"/>
            </w:pPr>
            <w:r w:rsidRPr="003A0C5C">
              <w:t>50–60</w:t>
            </w:r>
          </w:p>
        </w:tc>
        <w:tc>
          <w:tcPr>
            <w:tcW w:w="1350" w:type="dxa"/>
          </w:tcPr>
          <w:p w14:paraId="32C7F8FD" w14:textId="77777777" w:rsidR="00E9008A" w:rsidRPr="003A0C5C" w:rsidRDefault="00E9008A" w:rsidP="00313B2A">
            <w:pPr>
              <w:pStyle w:val="Tabletext"/>
              <w:jc w:val="center"/>
            </w:pPr>
            <w:r w:rsidRPr="003A0C5C">
              <w:t>60–65</w:t>
            </w:r>
          </w:p>
        </w:tc>
        <w:tc>
          <w:tcPr>
            <w:tcW w:w="1223" w:type="dxa"/>
          </w:tcPr>
          <w:p w14:paraId="3CA7CCC4" w14:textId="77777777" w:rsidR="00E9008A" w:rsidRPr="003A0C5C" w:rsidRDefault="00E9008A" w:rsidP="00313B2A">
            <w:pPr>
              <w:pStyle w:val="Tabletext"/>
              <w:jc w:val="center"/>
            </w:pPr>
            <w:r w:rsidRPr="003A0C5C">
              <w:t>65–80</w:t>
            </w:r>
          </w:p>
        </w:tc>
        <w:tc>
          <w:tcPr>
            <w:tcW w:w="1297" w:type="dxa"/>
          </w:tcPr>
          <w:p w14:paraId="0C67404A" w14:textId="77777777" w:rsidR="00E9008A" w:rsidRPr="003A0C5C" w:rsidRDefault="00E9008A" w:rsidP="00313B2A">
            <w:pPr>
              <w:pStyle w:val="Tabletext"/>
              <w:jc w:val="center"/>
            </w:pPr>
            <w:r w:rsidRPr="003A0C5C">
              <w:t>80–85</w:t>
            </w:r>
          </w:p>
        </w:tc>
      </w:tr>
      <w:tr w:rsidR="003A0C5C" w:rsidRPr="003A0C5C" w14:paraId="5232709C" w14:textId="77777777" w:rsidTr="009C2D92">
        <w:trPr>
          <w:cantSplit/>
          <w:jc w:val="center"/>
        </w:trPr>
        <w:tc>
          <w:tcPr>
            <w:tcW w:w="3690" w:type="dxa"/>
          </w:tcPr>
          <w:p w14:paraId="34C3DDCC" w14:textId="77777777" w:rsidR="00E9008A" w:rsidRPr="003A0C5C" w:rsidRDefault="00E9008A" w:rsidP="00313B2A">
            <w:pPr>
              <w:pStyle w:val="Tabletext"/>
              <w:keepNext/>
            </w:pPr>
            <w:r w:rsidRPr="003A0C5C">
              <w:t>Auditorium, Concert Hall, Amphitheater</w:t>
            </w:r>
          </w:p>
        </w:tc>
        <w:tc>
          <w:tcPr>
            <w:tcW w:w="1080" w:type="dxa"/>
          </w:tcPr>
          <w:p w14:paraId="5920B4A6" w14:textId="77777777" w:rsidR="00E9008A" w:rsidRPr="003A0C5C" w:rsidRDefault="00E9008A" w:rsidP="00313B2A">
            <w:pPr>
              <w:pStyle w:val="Tabletext"/>
              <w:jc w:val="center"/>
            </w:pPr>
            <w:r w:rsidRPr="003A0C5C">
              <w:t>N/A</w:t>
            </w:r>
          </w:p>
        </w:tc>
        <w:tc>
          <w:tcPr>
            <w:tcW w:w="1350" w:type="dxa"/>
          </w:tcPr>
          <w:p w14:paraId="56BF2077" w14:textId="77777777" w:rsidR="00E9008A" w:rsidRPr="003A0C5C" w:rsidRDefault="00E9008A" w:rsidP="00313B2A">
            <w:pPr>
              <w:pStyle w:val="Tabletext"/>
              <w:jc w:val="center"/>
            </w:pPr>
            <w:r w:rsidRPr="003A0C5C">
              <w:t>50–65</w:t>
            </w:r>
          </w:p>
        </w:tc>
        <w:tc>
          <w:tcPr>
            <w:tcW w:w="1223" w:type="dxa"/>
          </w:tcPr>
          <w:p w14:paraId="7D4D5F1A" w14:textId="77777777" w:rsidR="00E9008A" w:rsidRPr="003A0C5C" w:rsidRDefault="00E9008A" w:rsidP="00313B2A">
            <w:pPr>
              <w:pStyle w:val="Tabletext"/>
              <w:jc w:val="center"/>
            </w:pPr>
            <w:r w:rsidRPr="003A0C5C">
              <w:t>N/A</w:t>
            </w:r>
          </w:p>
        </w:tc>
        <w:tc>
          <w:tcPr>
            <w:tcW w:w="1297" w:type="dxa"/>
          </w:tcPr>
          <w:p w14:paraId="1C465B8A" w14:textId="77777777" w:rsidR="00E9008A" w:rsidRPr="003A0C5C" w:rsidRDefault="00E9008A" w:rsidP="00313B2A">
            <w:pPr>
              <w:pStyle w:val="Tabletext"/>
              <w:jc w:val="center"/>
            </w:pPr>
            <w:r w:rsidRPr="003A0C5C">
              <w:t>65–85</w:t>
            </w:r>
          </w:p>
        </w:tc>
      </w:tr>
      <w:tr w:rsidR="003A0C5C" w:rsidRPr="003A0C5C" w14:paraId="029717B0" w14:textId="77777777" w:rsidTr="009C2D92">
        <w:trPr>
          <w:cantSplit/>
          <w:jc w:val="center"/>
        </w:trPr>
        <w:tc>
          <w:tcPr>
            <w:tcW w:w="3690" w:type="dxa"/>
          </w:tcPr>
          <w:p w14:paraId="7416E257" w14:textId="77777777" w:rsidR="00E9008A" w:rsidRPr="003A0C5C" w:rsidRDefault="00E9008A" w:rsidP="00313B2A">
            <w:pPr>
              <w:pStyle w:val="Tabletext"/>
              <w:keepNext/>
            </w:pPr>
            <w:r w:rsidRPr="003A0C5C">
              <w:t>Sports Arena, Outdoor Spectator Sports</w:t>
            </w:r>
          </w:p>
        </w:tc>
        <w:tc>
          <w:tcPr>
            <w:tcW w:w="1080" w:type="dxa"/>
          </w:tcPr>
          <w:p w14:paraId="2CF6235C" w14:textId="77777777" w:rsidR="00E9008A" w:rsidRPr="003A0C5C" w:rsidRDefault="00E9008A" w:rsidP="00313B2A">
            <w:pPr>
              <w:pStyle w:val="Tabletext"/>
              <w:jc w:val="center"/>
            </w:pPr>
            <w:r w:rsidRPr="003A0C5C">
              <w:t>N/A</w:t>
            </w:r>
          </w:p>
        </w:tc>
        <w:tc>
          <w:tcPr>
            <w:tcW w:w="1350" w:type="dxa"/>
          </w:tcPr>
          <w:p w14:paraId="79B74EB8" w14:textId="77777777" w:rsidR="00E9008A" w:rsidRPr="003A0C5C" w:rsidRDefault="00E9008A" w:rsidP="00313B2A">
            <w:pPr>
              <w:pStyle w:val="Tabletext"/>
              <w:jc w:val="center"/>
            </w:pPr>
            <w:r w:rsidRPr="003A0C5C">
              <w:t>50–70</w:t>
            </w:r>
          </w:p>
        </w:tc>
        <w:tc>
          <w:tcPr>
            <w:tcW w:w="1223" w:type="dxa"/>
          </w:tcPr>
          <w:p w14:paraId="0853E1EE" w14:textId="77777777" w:rsidR="00E9008A" w:rsidRPr="003A0C5C" w:rsidRDefault="00E9008A" w:rsidP="00313B2A">
            <w:pPr>
              <w:pStyle w:val="Tabletext"/>
              <w:jc w:val="center"/>
            </w:pPr>
            <w:r w:rsidRPr="003A0C5C">
              <w:t>N/A</w:t>
            </w:r>
          </w:p>
        </w:tc>
        <w:tc>
          <w:tcPr>
            <w:tcW w:w="1297" w:type="dxa"/>
          </w:tcPr>
          <w:p w14:paraId="150F2F52" w14:textId="77777777" w:rsidR="00E9008A" w:rsidRPr="003A0C5C" w:rsidRDefault="00E9008A" w:rsidP="00313B2A">
            <w:pPr>
              <w:pStyle w:val="Tabletext"/>
              <w:jc w:val="center"/>
            </w:pPr>
            <w:r w:rsidRPr="003A0C5C">
              <w:t>70–85</w:t>
            </w:r>
          </w:p>
        </w:tc>
      </w:tr>
      <w:tr w:rsidR="003A0C5C" w:rsidRPr="003A0C5C" w14:paraId="5FAD78D7" w14:textId="77777777" w:rsidTr="009C2D92">
        <w:trPr>
          <w:cantSplit/>
          <w:jc w:val="center"/>
        </w:trPr>
        <w:tc>
          <w:tcPr>
            <w:tcW w:w="3690" w:type="dxa"/>
          </w:tcPr>
          <w:p w14:paraId="79746592" w14:textId="77777777" w:rsidR="00E9008A" w:rsidRPr="003A0C5C" w:rsidRDefault="00E9008A" w:rsidP="00313B2A">
            <w:pPr>
              <w:pStyle w:val="Tabletext"/>
              <w:keepNext/>
            </w:pPr>
            <w:r w:rsidRPr="003A0C5C">
              <w:t>Playground, Neighborhood Park</w:t>
            </w:r>
          </w:p>
        </w:tc>
        <w:tc>
          <w:tcPr>
            <w:tcW w:w="1080" w:type="dxa"/>
          </w:tcPr>
          <w:p w14:paraId="01697972" w14:textId="77777777" w:rsidR="00E9008A" w:rsidRPr="003A0C5C" w:rsidRDefault="00E9008A" w:rsidP="00313B2A">
            <w:pPr>
              <w:pStyle w:val="Tabletext"/>
              <w:jc w:val="center"/>
            </w:pPr>
            <w:r w:rsidRPr="003A0C5C">
              <w:t>50–70</w:t>
            </w:r>
          </w:p>
        </w:tc>
        <w:tc>
          <w:tcPr>
            <w:tcW w:w="1350" w:type="dxa"/>
          </w:tcPr>
          <w:p w14:paraId="4664C814" w14:textId="77777777" w:rsidR="00E9008A" w:rsidRPr="003A0C5C" w:rsidRDefault="00E9008A" w:rsidP="00313B2A">
            <w:pPr>
              <w:pStyle w:val="Tabletext"/>
              <w:jc w:val="center"/>
            </w:pPr>
            <w:r w:rsidRPr="003A0C5C">
              <w:t>N/A</w:t>
            </w:r>
          </w:p>
        </w:tc>
        <w:tc>
          <w:tcPr>
            <w:tcW w:w="1223" w:type="dxa"/>
          </w:tcPr>
          <w:p w14:paraId="235C93EA" w14:textId="77777777" w:rsidR="00E9008A" w:rsidRPr="003A0C5C" w:rsidRDefault="00E9008A" w:rsidP="00313B2A">
            <w:pPr>
              <w:pStyle w:val="Tabletext"/>
              <w:jc w:val="center"/>
            </w:pPr>
            <w:r w:rsidRPr="003A0C5C">
              <w:t>70–75</w:t>
            </w:r>
          </w:p>
        </w:tc>
        <w:tc>
          <w:tcPr>
            <w:tcW w:w="1297" w:type="dxa"/>
          </w:tcPr>
          <w:p w14:paraId="31A3457C" w14:textId="77777777" w:rsidR="00E9008A" w:rsidRPr="003A0C5C" w:rsidRDefault="00E9008A" w:rsidP="00313B2A">
            <w:pPr>
              <w:pStyle w:val="Tabletext"/>
              <w:jc w:val="center"/>
            </w:pPr>
            <w:r w:rsidRPr="003A0C5C">
              <w:t>75–85</w:t>
            </w:r>
          </w:p>
        </w:tc>
      </w:tr>
      <w:tr w:rsidR="003A0C5C" w:rsidRPr="003A0C5C" w14:paraId="1EFD66E6" w14:textId="77777777" w:rsidTr="009C2D92">
        <w:trPr>
          <w:cantSplit/>
          <w:jc w:val="center"/>
        </w:trPr>
        <w:tc>
          <w:tcPr>
            <w:tcW w:w="3690" w:type="dxa"/>
          </w:tcPr>
          <w:p w14:paraId="1D01C54C" w14:textId="77777777" w:rsidR="00E9008A" w:rsidRPr="003A0C5C" w:rsidRDefault="00E9008A" w:rsidP="00313B2A">
            <w:pPr>
              <w:pStyle w:val="Tabletext"/>
              <w:keepNext/>
            </w:pPr>
            <w:r w:rsidRPr="003A0C5C">
              <w:t>Golf Course, Riding Stable, Water Recreation, Cemetery</w:t>
            </w:r>
          </w:p>
        </w:tc>
        <w:tc>
          <w:tcPr>
            <w:tcW w:w="1080" w:type="dxa"/>
          </w:tcPr>
          <w:p w14:paraId="67FAAB61" w14:textId="77777777" w:rsidR="00E9008A" w:rsidRPr="003A0C5C" w:rsidRDefault="00E9008A" w:rsidP="00313B2A">
            <w:pPr>
              <w:pStyle w:val="Tabletext"/>
              <w:jc w:val="center"/>
            </w:pPr>
            <w:r w:rsidRPr="003A0C5C">
              <w:t>50–70</w:t>
            </w:r>
          </w:p>
        </w:tc>
        <w:tc>
          <w:tcPr>
            <w:tcW w:w="1350" w:type="dxa"/>
          </w:tcPr>
          <w:p w14:paraId="168D9FFA" w14:textId="77777777" w:rsidR="00E9008A" w:rsidRPr="003A0C5C" w:rsidRDefault="00E9008A" w:rsidP="00313B2A">
            <w:pPr>
              <w:pStyle w:val="Tabletext"/>
              <w:jc w:val="center"/>
            </w:pPr>
            <w:r w:rsidRPr="003A0C5C">
              <w:t>N/A</w:t>
            </w:r>
          </w:p>
        </w:tc>
        <w:tc>
          <w:tcPr>
            <w:tcW w:w="1223" w:type="dxa"/>
          </w:tcPr>
          <w:p w14:paraId="523EF756" w14:textId="77777777" w:rsidR="00E9008A" w:rsidRPr="003A0C5C" w:rsidRDefault="00E9008A" w:rsidP="00313B2A">
            <w:pPr>
              <w:pStyle w:val="Tabletext"/>
              <w:jc w:val="center"/>
            </w:pPr>
            <w:r w:rsidRPr="003A0C5C">
              <w:t>70–80</w:t>
            </w:r>
          </w:p>
        </w:tc>
        <w:tc>
          <w:tcPr>
            <w:tcW w:w="1297" w:type="dxa"/>
          </w:tcPr>
          <w:p w14:paraId="54A37CF3" w14:textId="77777777" w:rsidR="00E9008A" w:rsidRPr="003A0C5C" w:rsidRDefault="00E9008A" w:rsidP="00313B2A">
            <w:pPr>
              <w:pStyle w:val="Tabletext"/>
              <w:jc w:val="center"/>
            </w:pPr>
            <w:r w:rsidRPr="003A0C5C">
              <w:t>80–85</w:t>
            </w:r>
          </w:p>
        </w:tc>
      </w:tr>
      <w:tr w:rsidR="003A0C5C" w:rsidRPr="003A0C5C" w14:paraId="2575243A" w14:textId="77777777" w:rsidTr="009C2D92">
        <w:trPr>
          <w:cantSplit/>
          <w:jc w:val="center"/>
        </w:trPr>
        <w:tc>
          <w:tcPr>
            <w:tcW w:w="3690" w:type="dxa"/>
          </w:tcPr>
          <w:p w14:paraId="7A613941" w14:textId="77777777" w:rsidR="00E9008A" w:rsidRPr="003A0C5C" w:rsidRDefault="00E9008A" w:rsidP="00313B2A">
            <w:pPr>
              <w:pStyle w:val="Tabletext"/>
              <w:keepNext/>
            </w:pPr>
            <w:r w:rsidRPr="003A0C5C">
              <w:t>Office Building, Business, Commercial, Professional</w:t>
            </w:r>
          </w:p>
        </w:tc>
        <w:tc>
          <w:tcPr>
            <w:tcW w:w="1080" w:type="dxa"/>
          </w:tcPr>
          <w:p w14:paraId="7EDE5930" w14:textId="77777777" w:rsidR="00E9008A" w:rsidRPr="003A0C5C" w:rsidRDefault="00E9008A" w:rsidP="00313B2A">
            <w:pPr>
              <w:pStyle w:val="Tabletext"/>
              <w:jc w:val="center"/>
            </w:pPr>
            <w:r w:rsidRPr="003A0C5C">
              <w:t>50–67.5</w:t>
            </w:r>
          </w:p>
        </w:tc>
        <w:tc>
          <w:tcPr>
            <w:tcW w:w="1350" w:type="dxa"/>
          </w:tcPr>
          <w:p w14:paraId="331079E7" w14:textId="77777777" w:rsidR="00E9008A" w:rsidRPr="003A0C5C" w:rsidRDefault="00E9008A" w:rsidP="00313B2A">
            <w:pPr>
              <w:pStyle w:val="Tabletext"/>
              <w:jc w:val="center"/>
            </w:pPr>
            <w:r w:rsidRPr="003A0C5C">
              <w:t>67.5–75</w:t>
            </w:r>
          </w:p>
        </w:tc>
        <w:tc>
          <w:tcPr>
            <w:tcW w:w="1223" w:type="dxa"/>
          </w:tcPr>
          <w:p w14:paraId="1A216950" w14:textId="77777777" w:rsidR="00E9008A" w:rsidRPr="003A0C5C" w:rsidRDefault="00E9008A" w:rsidP="00313B2A">
            <w:pPr>
              <w:pStyle w:val="Tabletext"/>
              <w:jc w:val="center"/>
            </w:pPr>
            <w:r w:rsidRPr="003A0C5C">
              <w:t>75–85</w:t>
            </w:r>
          </w:p>
        </w:tc>
        <w:tc>
          <w:tcPr>
            <w:tcW w:w="1297" w:type="dxa"/>
          </w:tcPr>
          <w:p w14:paraId="0ED1E61A" w14:textId="77777777" w:rsidR="00E9008A" w:rsidRPr="003A0C5C" w:rsidRDefault="00E9008A" w:rsidP="00313B2A">
            <w:pPr>
              <w:pStyle w:val="Tabletext"/>
              <w:jc w:val="center"/>
            </w:pPr>
            <w:r w:rsidRPr="003A0C5C">
              <w:t>N/A</w:t>
            </w:r>
          </w:p>
        </w:tc>
      </w:tr>
      <w:tr w:rsidR="003A0C5C" w:rsidRPr="003A0C5C" w14:paraId="7D948FBB" w14:textId="77777777" w:rsidTr="009C2D92">
        <w:trPr>
          <w:cantSplit/>
          <w:jc w:val="center"/>
        </w:trPr>
        <w:tc>
          <w:tcPr>
            <w:tcW w:w="3690" w:type="dxa"/>
            <w:tcBorders>
              <w:bottom w:val="single" w:sz="4" w:space="0" w:color="auto"/>
            </w:tcBorders>
          </w:tcPr>
          <w:p w14:paraId="19FB8211" w14:textId="77777777" w:rsidR="00E9008A" w:rsidRPr="003A0C5C" w:rsidRDefault="00E9008A" w:rsidP="00313B2A">
            <w:pPr>
              <w:pStyle w:val="Tabletext"/>
              <w:keepNext/>
            </w:pPr>
            <w:r w:rsidRPr="003A0C5C">
              <w:t>Agriculture, Industrial, Manufacturing, Utilities</w:t>
            </w:r>
          </w:p>
        </w:tc>
        <w:tc>
          <w:tcPr>
            <w:tcW w:w="1080" w:type="dxa"/>
            <w:tcBorders>
              <w:bottom w:val="single" w:sz="4" w:space="0" w:color="auto"/>
            </w:tcBorders>
          </w:tcPr>
          <w:p w14:paraId="60B9741B" w14:textId="77777777" w:rsidR="00E9008A" w:rsidRPr="003A0C5C" w:rsidRDefault="00E9008A" w:rsidP="00313B2A">
            <w:pPr>
              <w:pStyle w:val="Tabletext"/>
              <w:jc w:val="center"/>
            </w:pPr>
            <w:r w:rsidRPr="003A0C5C">
              <w:t>50–70</w:t>
            </w:r>
          </w:p>
        </w:tc>
        <w:tc>
          <w:tcPr>
            <w:tcW w:w="1350" w:type="dxa"/>
            <w:tcBorders>
              <w:bottom w:val="single" w:sz="4" w:space="0" w:color="auto"/>
            </w:tcBorders>
          </w:tcPr>
          <w:p w14:paraId="45A816E9" w14:textId="77777777" w:rsidR="00E9008A" w:rsidRPr="003A0C5C" w:rsidRDefault="00E9008A" w:rsidP="00313B2A">
            <w:pPr>
              <w:pStyle w:val="Tabletext"/>
              <w:jc w:val="center"/>
            </w:pPr>
            <w:r w:rsidRPr="003A0C5C">
              <w:t>70–75</w:t>
            </w:r>
          </w:p>
        </w:tc>
        <w:tc>
          <w:tcPr>
            <w:tcW w:w="1223" w:type="dxa"/>
            <w:tcBorders>
              <w:bottom w:val="single" w:sz="4" w:space="0" w:color="auto"/>
            </w:tcBorders>
          </w:tcPr>
          <w:p w14:paraId="5C83C016" w14:textId="77777777" w:rsidR="00E9008A" w:rsidRPr="003A0C5C" w:rsidRDefault="00E9008A" w:rsidP="00313B2A">
            <w:pPr>
              <w:pStyle w:val="Tabletext"/>
              <w:jc w:val="center"/>
            </w:pPr>
            <w:r w:rsidRPr="003A0C5C">
              <w:t>75–85</w:t>
            </w:r>
          </w:p>
        </w:tc>
        <w:tc>
          <w:tcPr>
            <w:tcW w:w="1297" w:type="dxa"/>
            <w:tcBorders>
              <w:bottom w:val="single" w:sz="4" w:space="0" w:color="auto"/>
            </w:tcBorders>
          </w:tcPr>
          <w:p w14:paraId="456CE4DB" w14:textId="77777777" w:rsidR="00E9008A" w:rsidRPr="003A0C5C" w:rsidRDefault="00E9008A" w:rsidP="00313B2A">
            <w:pPr>
              <w:pStyle w:val="Tabletext"/>
              <w:jc w:val="center"/>
            </w:pPr>
            <w:r w:rsidRPr="003A0C5C">
              <w:t>N/A</w:t>
            </w:r>
          </w:p>
        </w:tc>
      </w:tr>
      <w:tr w:rsidR="00E9008A" w:rsidRPr="003A0C5C" w14:paraId="177EA381" w14:textId="77777777" w:rsidTr="009C2D92">
        <w:trPr>
          <w:cantSplit/>
          <w:jc w:val="center"/>
        </w:trPr>
        <w:tc>
          <w:tcPr>
            <w:tcW w:w="8640" w:type="dxa"/>
            <w:gridSpan w:val="5"/>
            <w:tcBorders>
              <w:top w:val="single" w:sz="4" w:space="0" w:color="auto"/>
              <w:bottom w:val="single" w:sz="4" w:space="0" w:color="auto"/>
            </w:tcBorders>
          </w:tcPr>
          <w:p w14:paraId="475AE189" w14:textId="77777777" w:rsidR="00E9008A" w:rsidRPr="003A0C5C" w:rsidRDefault="00E9008A" w:rsidP="0083184D">
            <w:pPr>
              <w:pStyle w:val="TableNotes"/>
              <w:spacing w:before="120" w:after="60"/>
            </w:pPr>
            <w:r w:rsidRPr="003A0C5C">
              <w:t>NOTES:</w:t>
            </w:r>
          </w:p>
          <w:p w14:paraId="048B0E21" w14:textId="11C67DD9" w:rsidR="00E9008A" w:rsidRPr="003A0C5C" w:rsidRDefault="00E9008A" w:rsidP="0083184D">
            <w:pPr>
              <w:pStyle w:val="TableNotes"/>
              <w:spacing w:after="40"/>
            </w:pPr>
            <w:r w:rsidRPr="003A0C5C">
              <w:t>Based on the Governor’s Office of Planning and Research, “General Plan Guidelines” 1990. To help guide determination of appropriate land use and mitigation measures vis-a-vis existing or anticipated ambient noise levels.</w:t>
            </w:r>
          </w:p>
          <w:p w14:paraId="65A9B4CB" w14:textId="77777777" w:rsidR="00E9008A" w:rsidRPr="003A0C5C" w:rsidRDefault="00E9008A" w:rsidP="0083184D">
            <w:pPr>
              <w:pStyle w:val="Tablefootnotetext"/>
              <w:spacing w:after="40"/>
            </w:pPr>
            <w:r w:rsidRPr="003A0C5C">
              <w:t>A = Normally Acceptable: Specified land use is satisfactory, based upon the assumption buildings involved are conventional construction, without any special noise insulation.</w:t>
            </w:r>
          </w:p>
          <w:p w14:paraId="3A89C16A" w14:textId="77777777" w:rsidR="00E9008A" w:rsidRPr="003A0C5C" w:rsidRDefault="00E9008A" w:rsidP="0083184D">
            <w:pPr>
              <w:pStyle w:val="Tablefootnotetext"/>
              <w:spacing w:after="40"/>
            </w:pPr>
            <w:r w:rsidRPr="003A0C5C">
              <w:t>C = Conditionally Acceptable: New construction or development only after a detailed analysis of noise mitigation is made and needed noise insulation features are included in project design. Conventional construction, but with closed windows and fresh air supply systems or air conditioning will suffice.</w:t>
            </w:r>
          </w:p>
          <w:p w14:paraId="51CDC80A" w14:textId="77777777" w:rsidR="00E9008A" w:rsidRPr="003A0C5C" w:rsidRDefault="00E9008A" w:rsidP="0083184D">
            <w:pPr>
              <w:pStyle w:val="Tablefootnotetext"/>
              <w:spacing w:after="40"/>
            </w:pPr>
            <w:r w:rsidRPr="003A0C5C">
              <w:t>N = Normally Unacceptable: New construction or development generally should be discouraged. A detailed analysis of the noise reduction requirements must be made and noise insulation features included in the design of a project.</w:t>
            </w:r>
          </w:p>
          <w:p w14:paraId="5E7FFAE0" w14:textId="77777777" w:rsidR="00E9008A" w:rsidRPr="003A0C5C" w:rsidRDefault="00E9008A" w:rsidP="0083184D">
            <w:pPr>
              <w:pStyle w:val="Tablefootnotetext"/>
              <w:spacing w:after="40"/>
            </w:pPr>
            <w:r w:rsidRPr="003A0C5C">
              <w:t>U = Clearly Unacceptable: New construction or development should generally not be undertaken.</w:t>
            </w:r>
          </w:p>
          <w:p w14:paraId="6EC85C02" w14:textId="30AFEE85" w:rsidR="00E9008A" w:rsidRPr="003A0C5C" w:rsidRDefault="00E9008A" w:rsidP="0083184D">
            <w:pPr>
              <w:pStyle w:val="TableSource"/>
              <w:spacing w:before="120" w:after="120"/>
            </w:pPr>
            <w:r w:rsidRPr="003A0C5C">
              <w:t>SOURCE:</w:t>
            </w:r>
            <w:r w:rsidR="0010254B" w:rsidRPr="003A0C5C">
              <w:t xml:space="preserve"> </w:t>
            </w:r>
            <w:r w:rsidRPr="003A0C5C">
              <w:t>City of Carson 2002</w:t>
            </w:r>
          </w:p>
        </w:tc>
      </w:tr>
    </w:tbl>
    <w:p w14:paraId="70533931" w14:textId="77777777" w:rsidR="00E9008A" w:rsidRPr="003A0C5C" w:rsidRDefault="00E9008A" w:rsidP="00E9008A">
      <w:pPr>
        <w:pStyle w:val="ListBullet"/>
        <w:numPr>
          <w:ilvl w:val="0"/>
          <w:numId w:val="0"/>
        </w:numPr>
        <w:ind w:left="1080"/>
      </w:pPr>
    </w:p>
    <w:p w14:paraId="1F4F9826" w14:textId="77777777" w:rsidR="00E9008A" w:rsidRPr="003A0C5C" w:rsidRDefault="00E9008A" w:rsidP="00E9008A">
      <w:pPr>
        <w:pStyle w:val="Heading6"/>
        <w:ind w:left="720"/>
        <w:rPr>
          <w:bCs/>
        </w:rPr>
      </w:pPr>
      <w:r w:rsidRPr="003A0C5C">
        <w:rPr>
          <w:bCs/>
        </w:rPr>
        <w:t>Noise Sensitive Receptors</w:t>
      </w:r>
    </w:p>
    <w:p w14:paraId="4B8CBFAC" w14:textId="5F65E531" w:rsidR="00E9008A" w:rsidRPr="003A0C5C" w:rsidRDefault="00E9008A" w:rsidP="00E9008A">
      <w:pPr>
        <w:pStyle w:val="12spaceindentcontinue"/>
        <w:keepNext/>
        <w:spacing w:after="180"/>
        <w:rPr>
          <w:highlight w:val="yellow"/>
        </w:rPr>
      </w:pPr>
      <w:r w:rsidRPr="003A0C5C">
        <w:t>The project area is located at 21611 South Perry Street on the north side of East Carson Street east of I-405 and Dominguez Channel. The following land uses are located in proximity to the project area:</w:t>
      </w:r>
    </w:p>
    <w:p w14:paraId="71A20977" w14:textId="5BBB3739" w:rsidR="00E9008A" w:rsidRPr="003A0C5C" w:rsidRDefault="00E9008A" w:rsidP="001948EF">
      <w:pPr>
        <w:pStyle w:val="ListBullet"/>
        <w:numPr>
          <w:ilvl w:val="0"/>
          <w:numId w:val="11"/>
        </w:numPr>
        <w:spacing w:after="120"/>
        <w:ind w:left="1080"/>
      </w:pPr>
      <w:r w:rsidRPr="003A0C5C">
        <w:rPr>
          <w:rStyle w:val="Bold"/>
        </w:rPr>
        <w:t>West</w:t>
      </w:r>
      <w:r w:rsidRPr="003A0C5C">
        <w:t xml:space="preserve"> – Land use immediately west of the project area is </w:t>
      </w:r>
      <w:r w:rsidR="0034670B" w:rsidRPr="003A0C5C">
        <w:t xml:space="preserve">the </w:t>
      </w:r>
      <w:r w:rsidRPr="003A0C5C">
        <w:t>Dominguez Channel. Further west of the project area there is the I-405.</w:t>
      </w:r>
    </w:p>
    <w:p w14:paraId="70520E38" w14:textId="77777777" w:rsidR="00E9008A" w:rsidRPr="003A0C5C" w:rsidRDefault="00E9008A" w:rsidP="001948EF">
      <w:pPr>
        <w:pStyle w:val="ListBullet"/>
        <w:numPr>
          <w:ilvl w:val="0"/>
          <w:numId w:val="11"/>
        </w:numPr>
        <w:spacing w:after="120"/>
        <w:ind w:left="1080"/>
      </w:pPr>
      <w:r w:rsidRPr="003A0C5C">
        <w:rPr>
          <w:rStyle w:val="Bold"/>
        </w:rPr>
        <w:t>North</w:t>
      </w:r>
      <w:r w:rsidRPr="003A0C5C">
        <w:t xml:space="preserve"> – Land uses north of the project area consists of single-family residential uses approximately 50 feet from the project site.</w:t>
      </w:r>
    </w:p>
    <w:p w14:paraId="16F85B14" w14:textId="77777777" w:rsidR="00E9008A" w:rsidRPr="003A0C5C" w:rsidRDefault="00E9008A" w:rsidP="001948EF">
      <w:pPr>
        <w:pStyle w:val="ListBullet"/>
        <w:numPr>
          <w:ilvl w:val="0"/>
          <w:numId w:val="11"/>
        </w:numPr>
        <w:spacing w:after="120"/>
        <w:ind w:left="1080"/>
      </w:pPr>
      <w:r w:rsidRPr="003A0C5C">
        <w:rPr>
          <w:rStyle w:val="Bold"/>
        </w:rPr>
        <w:t>East</w:t>
      </w:r>
      <w:r w:rsidRPr="003A0C5C">
        <w:t xml:space="preserve"> – Land uses to the east of the project area consists of non-noise-sensitive commercial uses and noise-sensitive residential uses. </w:t>
      </w:r>
    </w:p>
    <w:p w14:paraId="50CAD4EC" w14:textId="77777777" w:rsidR="00E9008A" w:rsidRPr="003A0C5C" w:rsidRDefault="00E9008A" w:rsidP="001948EF">
      <w:pPr>
        <w:pStyle w:val="ListBullet"/>
        <w:numPr>
          <w:ilvl w:val="0"/>
          <w:numId w:val="11"/>
        </w:numPr>
        <w:ind w:left="1080"/>
      </w:pPr>
      <w:r w:rsidRPr="003A0C5C">
        <w:rPr>
          <w:rStyle w:val="Bold"/>
        </w:rPr>
        <w:t>South</w:t>
      </w:r>
      <w:r w:rsidRPr="003A0C5C">
        <w:t xml:space="preserve"> – Land uses to the south of the project site across East Carson Street consists of non-noise-sensitive commercial uses.</w:t>
      </w:r>
    </w:p>
    <w:p w14:paraId="10574697" w14:textId="77777777" w:rsidR="00E9008A" w:rsidRPr="003A0C5C" w:rsidRDefault="00E9008A" w:rsidP="00E9008A">
      <w:pPr>
        <w:pStyle w:val="Heading6"/>
        <w:ind w:firstLine="720"/>
      </w:pPr>
      <w:r w:rsidRPr="003A0C5C">
        <w:t>Existing Conditions</w:t>
      </w:r>
    </w:p>
    <w:p w14:paraId="7F3BD50F" w14:textId="7EE2B4B0" w:rsidR="00E9008A" w:rsidRPr="003A0C5C" w:rsidRDefault="00E9008A" w:rsidP="00E9008A">
      <w:pPr>
        <w:pStyle w:val="12spaceindentcontinue"/>
      </w:pPr>
      <w:r w:rsidRPr="003A0C5C">
        <w:t xml:space="preserve">The proposed project is located in an area surrounded by a mixture of land uses including residential and commercial uses. The project site is located north of East Carson Street, </w:t>
      </w:r>
      <w:r w:rsidRPr="003A0C5C">
        <w:lastRenderedPageBreak/>
        <w:t xml:space="preserve">east of I-405 and </w:t>
      </w:r>
      <w:r w:rsidR="0034670B" w:rsidRPr="003A0C5C">
        <w:t xml:space="preserve">the </w:t>
      </w:r>
      <w:r w:rsidRPr="003A0C5C">
        <w:t>Dominguez Channel, west of South Perry Street, and south/southwest of Perry Street Mini-Park and single-family residential neighborhoods. A</w:t>
      </w:r>
      <w:r w:rsidR="0034670B" w:rsidRPr="003A0C5C">
        <w:t>n a</w:t>
      </w:r>
      <w:r w:rsidRPr="003A0C5C">
        <w:t>uto repair facilit</w:t>
      </w:r>
      <w:r w:rsidR="0034670B" w:rsidRPr="003A0C5C">
        <w:t xml:space="preserve">y </w:t>
      </w:r>
      <w:r w:rsidRPr="003A0C5C">
        <w:t xml:space="preserve">and </w:t>
      </w:r>
      <w:r w:rsidR="0034670B" w:rsidRPr="003A0C5C">
        <w:t xml:space="preserve">a </w:t>
      </w:r>
      <w:r w:rsidRPr="003A0C5C">
        <w:t>truck dealer are located to the east and south across South Perry and East Carson Streets. The City of Carson’s General Plan designates the project site as Light Industrial.</w:t>
      </w:r>
    </w:p>
    <w:p w14:paraId="3569A838" w14:textId="77777777" w:rsidR="00E9008A" w:rsidRPr="003A0C5C" w:rsidRDefault="00E9008A" w:rsidP="00E9008A">
      <w:pPr>
        <w:pStyle w:val="12spaceindentcontinue"/>
        <w:rPr>
          <w:highlight w:val="yellow"/>
        </w:rPr>
      </w:pPr>
      <w:r w:rsidRPr="003A0C5C">
        <w:t>To quantify the existing noise environment of the project site, four short-term (15</w:t>
      </w:r>
      <w:r w:rsidRPr="003A0C5C">
        <w:noBreakHyphen/>
        <w:t xml:space="preserve">minute) noise measurements were conducted at locations R1 through R4, located around the project site to the north, northwest, east, and southeast along South Perry Street and East Carson Street. Ambient sound measurements were conducted on Thursday, October 21, 2021, to characterize the existing noise environment in the project vicinity. </w:t>
      </w:r>
    </w:p>
    <w:p w14:paraId="31674B47" w14:textId="77777777" w:rsidR="00E9008A" w:rsidRPr="003A0C5C" w:rsidRDefault="00E9008A" w:rsidP="00E9008A">
      <w:pPr>
        <w:pStyle w:val="12spaceindentcontinue"/>
      </w:pPr>
      <w:r w:rsidRPr="003A0C5C">
        <w:t xml:space="preserve">The ambient noise measurement was conducted in accordance with the City’s standards. The ambient noise measurement was conducted using a Larson-Davis Model </w:t>
      </w:r>
      <w:proofErr w:type="spellStart"/>
      <w:r w:rsidRPr="003A0C5C">
        <w:t>LxT</w:t>
      </w:r>
      <w:proofErr w:type="spellEnd"/>
      <w:r w:rsidRPr="003A0C5C">
        <w:t xml:space="preserve"> Sound Level Meter (SLM). The Larson-Davis </w:t>
      </w:r>
      <w:proofErr w:type="spellStart"/>
      <w:r w:rsidRPr="003A0C5C">
        <w:t>LxT</w:t>
      </w:r>
      <w:proofErr w:type="spellEnd"/>
      <w:r w:rsidRPr="003A0C5C">
        <w:t xml:space="preserve"> SLM is a Type 1 standard instrument, as defined in the American National Standard Institute (ANSI) S1.4. The SLM was calibrated and operated according to manufacturer specifications. The SLM microphone was placed at a height of 5 feet above ground level.</w:t>
      </w:r>
    </w:p>
    <w:p w14:paraId="62BFC1F3" w14:textId="77777777" w:rsidR="00E9008A" w:rsidRPr="003A0C5C" w:rsidRDefault="00E9008A" w:rsidP="00E9008A">
      <w:pPr>
        <w:pStyle w:val="12spaceindentcontinue"/>
      </w:pPr>
      <w:r w:rsidRPr="003A0C5C">
        <w:t xml:space="preserve">This monitoring location provides a representative characterization of the existing noise conditions within the vicinity of the project site. The results of the ambient noise measurement data are summarized in </w:t>
      </w:r>
      <w:r w:rsidRPr="003A0C5C">
        <w:rPr>
          <w:rStyle w:val="Bold"/>
        </w:rPr>
        <w:t>Table 12</w:t>
      </w:r>
      <w:r w:rsidRPr="003A0C5C">
        <w:t xml:space="preserve">, </w:t>
      </w:r>
      <w:r w:rsidRPr="003A0C5C">
        <w:rPr>
          <w:rStyle w:val="Italic"/>
        </w:rPr>
        <w:t>Summary of Ambient Noise Measurements</w:t>
      </w:r>
      <w:r w:rsidRPr="003A0C5C">
        <w:t xml:space="preserve">. As shown in </w:t>
      </w:r>
      <w:r w:rsidRPr="003A0C5C">
        <w:rPr>
          <w:rStyle w:val="Bold"/>
          <w:b w:val="0"/>
          <w:bCs/>
        </w:rPr>
        <w:t>Table 12</w:t>
      </w:r>
      <w:r w:rsidRPr="003A0C5C">
        <w:t xml:space="preserve">, the measured </w:t>
      </w:r>
      <w:proofErr w:type="spellStart"/>
      <w:r w:rsidRPr="003A0C5C">
        <w:t>L</w:t>
      </w:r>
      <w:r w:rsidRPr="003A0C5C">
        <w:rPr>
          <w:vertAlign w:val="subscript"/>
        </w:rPr>
        <w:t>eq</w:t>
      </w:r>
      <w:proofErr w:type="spellEnd"/>
      <w:r w:rsidRPr="003A0C5C">
        <w:t xml:space="preserve"> ranges from 56.5 to 72.0 dBA. Vehicular traffic is the dominant source for noise in the project area. </w:t>
      </w:r>
    </w:p>
    <w:tbl>
      <w:tblPr>
        <w:tblW w:w="0" w:type="auto"/>
        <w:tblInd w:w="720" w:type="dxa"/>
        <w:tblCellMar>
          <w:left w:w="86" w:type="dxa"/>
          <w:right w:w="86" w:type="dxa"/>
        </w:tblCellMar>
        <w:tblLook w:val="04A0" w:firstRow="1" w:lastRow="0" w:firstColumn="1" w:lastColumn="0" w:noHBand="0" w:noVBand="1"/>
      </w:tblPr>
      <w:tblGrid>
        <w:gridCol w:w="3499"/>
        <w:gridCol w:w="1001"/>
        <w:gridCol w:w="990"/>
        <w:gridCol w:w="978"/>
        <w:gridCol w:w="484"/>
        <w:gridCol w:w="484"/>
        <w:gridCol w:w="484"/>
      </w:tblGrid>
      <w:tr w:rsidR="003A0C5C" w:rsidRPr="003A0C5C" w14:paraId="0AFAB92A" w14:textId="77777777" w:rsidTr="00313B2A">
        <w:trPr>
          <w:cantSplit/>
          <w:tblHeader/>
        </w:trPr>
        <w:tc>
          <w:tcPr>
            <w:tcW w:w="0" w:type="auto"/>
            <w:gridSpan w:val="7"/>
            <w:tcBorders>
              <w:bottom w:val="single" w:sz="4" w:space="0" w:color="auto"/>
            </w:tcBorders>
            <w:vAlign w:val="bottom"/>
          </w:tcPr>
          <w:p w14:paraId="6908A04E" w14:textId="77777777" w:rsidR="00E9008A" w:rsidRPr="003A0C5C" w:rsidRDefault="00E9008A" w:rsidP="00313B2A">
            <w:pPr>
              <w:pStyle w:val="TableNoTitle"/>
            </w:pPr>
            <w:bookmarkStart w:id="85" w:name="_Toc527376544"/>
            <w:bookmarkStart w:id="86" w:name="_Toc527633093"/>
            <w:bookmarkStart w:id="87" w:name="_Toc101792204"/>
            <w:r w:rsidRPr="003A0C5C">
              <w:t>Table 12</w:t>
            </w:r>
            <w:r w:rsidRPr="003A0C5C">
              <w:br/>
            </w:r>
            <w:r w:rsidRPr="003A0C5C">
              <w:tab/>
              <w:t>Summary of Ambient Noise Measurements</w:t>
            </w:r>
            <w:bookmarkEnd w:id="85"/>
            <w:bookmarkEnd w:id="86"/>
            <w:bookmarkEnd w:id="87"/>
          </w:p>
        </w:tc>
      </w:tr>
      <w:tr w:rsidR="003A0C5C" w:rsidRPr="003A0C5C" w14:paraId="7A7E4A4A" w14:textId="77777777" w:rsidTr="00160F99">
        <w:trPr>
          <w:cantSplit/>
          <w:tblHeader/>
        </w:trPr>
        <w:tc>
          <w:tcPr>
            <w:tcW w:w="3499" w:type="dxa"/>
            <w:tcBorders>
              <w:top w:val="single" w:sz="4" w:space="0" w:color="auto"/>
              <w:bottom w:val="single" w:sz="12" w:space="0" w:color="auto"/>
            </w:tcBorders>
            <w:vAlign w:val="bottom"/>
          </w:tcPr>
          <w:p w14:paraId="4F9E3827" w14:textId="77777777" w:rsidR="00E9008A" w:rsidRPr="003A0C5C" w:rsidRDefault="00E9008A" w:rsidP="00313B2A">
            <w:pPr>
              <w:pStyle w:val="Tablecolumnheading"/>
            </w:pPr>
            <w:r w:rsidRPr="003A0C5C">
              <w:rPr>
                <w:snapToGrid w:val="0"/>
              </w:rPr>
              <w:t>Site ID</w:t>
            </w:r>
          </w:p>
        </w:tc>
        <w:tc>
          <w:tcPr>
            <w:tcW w:w="1001" w:type="dxa"/>
            <w:tcBorders>
              <w:top w:val="single" w:sz="4" w:space="0" w:color="auto"/>
              <w:bottom w:val="single" w:sz="12" w:space="0" w:color="auto"/>
            </w:tcBorders>
            <w:vAlign w:val="bottom"/>
          </w:tcPr>
          <w:p w14:paraId="03DD1D58" w14:textId="77777777" w:rsidR="00E9008A" w:rsidRPr="003A0C5C" w:rsidRDefault="00E9008A" w:rsidP="00313B2A">
            <w:pPr>
              <w:pStyle w:val="Tablecolumnheading"/>
              <w:jc w:val="center"/>
              <w:rPr>
                <w:snapToGrid w:val="0"/>
              </w:rPr>
            </w:pPr>
            <w:r w:rsidRPr="003A0C5C">
              <w:rPr>
                <w:snapToGrid w:val="0"/>
              </w:rPr>
              <w:t>Monitoring</w:t>
            </w:r>
            <w:r w:rsidRPr="003A0C5C">
              <w:rPr>
                <w:snapToGrid w:val="0"/>
              </w:rPr>
              <w:br/>
              <w:t>Date(s)</w:t>
            </w:r>
          </w:p>
        </w:tc>
        <w:tc>
          <w:tcPr>
            <w:tcW w:w="990" w:type="dxa"/>
            <w:tcBorders>
              <w:top w:val="single" w:sz="4" w:space="0" w:color="auto"/>
              <w:bottom w:val="single" w:sz="12" w:space="0" w:color="auto"/>
            </w:tcBorders>
            <w:vAlign w:val="bottom"/>
          </w:tcPr>
          <w:p w14:paraId="54BB5F08" w14:textId="77777777" w:rsidR="00E9008A" w:rsidRPr="003A0C5C" w:rsidRDefault="00E9008A" w:rsidP="00313B2A">
            <w:pPr>
              <w:pStyle w:val="Tablecolumnheading"/>
              <w:jc w:val="center"/>
            </w:pPr>
            <w:r w:rsidRPr="003A0C5C">
              <w:rPr>
                <w:snapToGrid w:val="0"/>
              </w:rPr>
              <w:t>Start</w:t>
            </w:r>
            <w:r w:rsidRPr="003A0C5C">
              <w:rPr>
                <w:snapToGrid w:val="0"/>
              </w:rPr>
              <w:br/>
            </w:r>
            <w:r w:rsidRPr="003A0C5C">
              <w:t>Time</w:t>
            </w:r>
          </w:p>
        </w:tc>
        <w:tc>
          <w:tcPr>
            <w:tcW w:w="978" w:type="dxa"/>
            <w:tcBorders>
              <w:top w:val="single" w:sz="4" w:space="0" w:color="auto"/>
              <w:bottom w:val="single" w:sz="12" w:space="0" w:color="auto"/>
            </w:tcBorders>
            <w:vAlign w:val="bottom"/>
          </w:tcPr>
          <w:p w14:paraId="33399A3D" w14:textId="77777777" w:rsidR="00E9008A" w:rsidRPr="003A0C5C" w:rsidRDefault="00E9008A" w:rsidP="00313B2A">
            <w:pPr>
              <w:pStyle w:val="Tablecolumnheading"/>
              <w:jc w:val="center"/>
            </w:pPr>
            <w:r w:rsidRPr="003A0C5C">
              <w:rPr>
                <w:snapToGrid w:val="0"/>
              </w:rPr>
              <w:t>End</w:t>
            </w:r>
            <w:r w:rsidRPr="003A0C5C">
              <w:rPr>
                <w:snapToGrid w:val="0"/>
              </w:rPr>
              <w:br/>
            </w:r>
            <w:r w:rsidRPr="003A0C5C">
              <w:t>Time</w:t>
            </w:r>
          </w:p>
        </w:tc>
        <w:tc>
          <w:tcPr>
            <w:tcW w:w="0" w:type="auto"/>
            <w:tcBorders>
              <w:top w:val="single" w:sz="4" w:space="0" w:color="auto"/>
              <w:bottom w:val="single" w:sz="12" w:space="0" w:color="auto"/>
            </w:tcBorders>
            <w:vAlign w:val="bottom"/>
          </w:tcPr>
          <w:p w14:paraId="43DED1F4" w14:textId="77777777" w:rsidR="00E9008A" w:rsidRPr="003A0C5C" w:rsidRDefault="00E9008A" w:rsidP="00313B2A">
            <w:pPr>
              <w:pStyle w:val="Tablecolumnheading"/>
              <w:jc w:val="center"/>
            </w:pPr>
            <w:proofErr w:type="spellStart"/>
            <w:r w:rsidRPr="003A0C5C">
              <w:rPr>
                <w:snapToGrid w:val="0"/>
              </w:rPr>
              <w:t>L</w:t>
            </w:r>
            <w:r w:rsidRPr="003A0C5C">
              <w:rPr>
                <w:snapToGrid w:val="0"/>
                <w:vertAlign w:val="subscript"/>
              </w:rPr>
              <w:t>eq</w:t>
            </w:r>
            <w:proofErr w:type="spellEnd"/>
          </w:p>
        </w:tc>
        <w:tc>
          <w:tcPr>
            <w:tcW w:w="0" w:type="auto"/>
            <w:tcBorders>
              <w:top w:val="single" w:sz="4" w:space="0" w:color="auto"/>
              <w:bottom w:val="single" w:sz="12" w:space="0" w:color="auto"/>
            </w:tcBorders>
            <w:vAlign w:val="bottom"/>
          </w:tcPr>
          <w:p w14:paraId="56295588" w14:textId="77777777" w:rsidR="00E9008A" w:rsidRPr="003A0C5C" w:rsidRDefault="00E9008A" w:rsidP="00313B2A">
            <w:pPr>
              <w:pStyle w:val="Tablecolumnheading"/>
              <w:jc w:val="center"/>
              <w:rPr>
                <w:snapToGrid w:val="0"/>
              </w:rPr>
            </w:pPr>
            <w:proofErr w:type="spellStart"/>
            <w:r w:rsidRPr="003A0C5C">
              <w:rPr>
                <w:snapToGrid w:val="0"/>
              </w:rPr>
              <w:t>L</w:t>
            </w:r>
            <w:r w:rsidRPr="003A0C5C">
              <w:rPr>
                <w:snapToGrid w:val="0"/>
                <w:vertAlign w:val="subscript"/>
              </w:rPr>
              <w:t>max</w:t>
            </w:r>
            <w:proofErr w:type="spellEnd"/>
          </w:p>
        </w:tc>
        <w:tc>
          <w:tcPr>
            <w:tcW w:w="0" w:type="auto"/>
            <w:tcBorders>
              <w:top w:val="single" w:sz="4" w:space="0" w:color="auto"/>
              <w:bottom w:val="single" w:sz="12" w:space="0" w:color="auto"/>
            </w:tcBorders>
            <w:vAlign w:val="bottom"/>
          </w:tcPr>
          <w:p w14:paraId="0AC31EB9" w14:textId="77777777" w:rsidR="00E9008A" w:rsidRPr="003A0C5C" w:rsidRDefault="00E9008A" w:rsidP="00313B2A">
            <w:pPr>
              <w:pStyle w:val="Tablecolumnheading"/>
              <w:jc w:val="center"/>
              <w:rPr>
                <w:snapToGrid w:val="0"/>
              </w:rPr>
            </w:pPr>
            <w:proofErr w:type="spellStart"/>
            <w:r w:rsidRPr="003A0C5C">
              <w:rPr>
                <w:snapToGrid w:val="0"/>
              </w:rPr>
              <w:t>L</w:t>
            </w:r>
            <w:r w:rsidRPr="003A0C5C">
              <w:rPr>
                <w:snapToGrid w:val="0"/>
                <w:vertAlign w:val="subscript"/>
              </w:rPr>
              <w:t>min</w:t>
            </w:r>
            <w:proofErr w:type="spellEnd"/>
          </w:p>
        </w:tc>
      </w:tr>
      <w:tr w:rsidR="003A0C5C" w:rsidRPr="003A0C5C" w14:paraId="4CC3C0A9" w14:textId="77777777" w:rsidTr="00160F99">
        <w:trPr>
          <w:cantSplit/>
        </w:trPr>
        <w:tc>
          <w:tcPr>
            <w:tcW w:w="3499" w:type="dxa"/>
            <w:tcBorders>
              <w:top w:val="single" w:sz="12" w:space="0" w:color="auto"/>
            </w:tcBorders>
          </w:tcPr>
          <w:p w14:paraId="59F4E3BB" w14:textId="77777777" w:rsidR="00E9008A" w:rsidRPr="003A0C5C" w:rsidRDefault="00E9008A" w:rsidP="00313B2A">
            <w:pPr>
              <w:pStyle w:val="Tabletext"/>
              <w:keepNext/>
            </w:pPr>
            <w:r w:rsidRPr="003A0C5C">
              <w:t>R1 north of project site along residential property line</w:t>
            </w:r>
          </w:p>
        </w:tc>
        <w:tc>
          <w:tcPr>
            <w:tcW w:w="1001" w:type="dxa"/>
            <w:tcBorders>
              <w:top w:val="single" w:sz="12" w:space="0" w:color="auto"/>
            </w:tcBorders>
          </w:tcPr>
          <w:p w14:paraId="22D157AD" w14:textId="77777777" w:rsidR="00E9008A" w:rsidRPr="003A0C5C" w:rsidRDefault="00E9008A" w:rsidP="00313B2A">
            <w:pPr>
              <w:pStyle w:val="Tabletext"/>
              <w:jc w:val="center"/>
            </w:pPr>
            <w:r w:rsidRPr="003A0C5C">
              <w:t>10/21/2021</w:t>
            </w:r>
          </w:p>
        </w:tc>
        <w:tc>
          <w:tcPr>
            <w:tcW w:w="990" w:type="dxa"/>
            <w:tcBorders>
              <w:top w:val="single" w:sz="12" w:space="0" w:color="auto"/>
            </w:tcBorders>
          </w:tcPr>
          <w:p w14:paraId="541D3A0C" w14:textId="77777777" w:rsidR="00E9008A" w:rsidRPr="003A0C5C" w:rsidRDefault="00E9008A" w:rsidP="00313B2A">
            <w:pPr>
              <w:pStyle w:val="Tabletext"/>
              <w:jc w:val="center"/>
            </w:pPr>
            <w:r w:rsidRPr="003A0C5C">
              <w:t>8:55 a.m.</w:t>
            </w:r>
          </w:p>
        </w:tc>
        <w:tc>
          <w:tcPr>
            <w:tcW w:w="978" w:type="dxa"/>
            <w:tcBorders>
              <w:top w:val="single" w:sz="12" w:space="0" w:color="auto"/>
            </w:tcBorders>
          </w:tcPr>
          <w:p w14:paraId="0048D307" w14:textId="77777777" w:rsidR="00E9008A" w:rsidRPr="003A0C5C" w:rsidRDefault="00E9008A" w:rsidP="00313B2A">
            <w:pPr>
              <w:pStyle w:val="Tabletext"/>
              <w:jc w:val="center"/>
            </w:pPr>
            <w:r w:rsidRPr="003A0C5C">
              <w:t>9:10 a.m.</w:t>
            </w:r>
          </w:p>
        </w:tc>
        <w:tc>
          <w:tcPr>
            <w:tcW w:w="0" w:type="auto"/>
            <w:tcBorders>
              <w:top w:val="single" w:sz="12" w:space="0" w:color="auto"/>
            </w:tcBorders>
          </w:tcPr>
          <w:p w14:paraId="04D45FE8" w14:textId="77777777" w:rsidR="00E9008A" w:rsidRPr="003A0C5C" w:rsidRDefault="00E9008A" w:rsidP="00313B2A">
            <w:pPr>
              <w:pStyle w:val="Tabletext"/>
              <w:jc w:val="center"/>
              <w:rPr>
                <w:rFonts w:cs="Arial"/>
                <w:bCs/>
              </w:rPr>
            </w:pPr>
            <w:r w:rsidRPr="003A0C5C">
              <w:rPr>
                <w:rFonts w:cs="Arial"/>
                <w:bCs/>
              </w:rPr>
              <w:t>58.6</w:t>
            </w:r>
          </w:p>
        </w:tc>
        <w:tc>
          <w:tcPr>
            <w:tcW w:w="0" w:type="auto"/>
            <w:tcBorders>
              <w:top w:val="single" w:sz="12" w:space="0" w:color="auto"/>
            </w:tcBorders>
          </w:tcPr>
          <w:p w14:paraId="626FE8C6" w14:textId="77777777" w:rsidR="00E9008A" w:rsidRPr="003A0C5C" w:rsidRDefault="00E9008A" w:rsidP="00313B2A">
            <w:pPr>
              <w:pStyle w:val="Tabletext"/>
              <w:jc w:val="center"/>
              <w:rPr>
                <w:rFonts w:cs="Arial"/>
                <w:bCs/>
              </w:rPr>
            </w:pPr>
            <w:r w:rsidRPr="003A0C5C">
              <w:rPr>
                <w:rFonts w:cs="Arial"/>
                <w:bCs/>
              </w:rPr>
              <w:t>63.1</w:t>
            </w:r>
          </w:p>
        </w:tc>
        <w:tc>
          <w:tcPr>
            <w:tcW w:w="0" w:type="auto"/>
            <w:tcBorders>
              <w:top w:val="single" w:sz="12" w:space="0" w:color="auto"/>
            </w:tcBorders>
          </w:tcPr>
          <w:p w14:paraId="7A41E38E" w14:textId="77777777" w:rsidR="00E9008A" w:rsidRPr="003A0C5C" w:rsidRDefault="00E9008A" w:rsidP="00313B2A">
            <w:pPr>
              <w:pStyle w:val="Tabletext"/>
              <w:jc w:val="center"/>
              <w:rPr>
                <w:rFonts w:cs="Arial"/>
                <w:bCs/>
              </w:rPr>
            </w:pPr>
            <w:r w:rsidRPr="003A0C5C">
              <w:rPr>
                <w:rFonts w:cs="Arial"/>
                <w:bCs/>
              </w:rPr>
              <w:t>53.8</w:t>
            </w:r>
          </w:p>
        </w:tc>
      </w:tr>
      <w:tr w:rsidR="003A0C5C" w:rsidRPr="003A0C5C" w14:paraId="096CA26A" w14:textId="77777777" w:rsidTr="00160F99">
        <w:trPr>
          <w:cantSplit/>
        </w:trPr>
        <w:tc>
          <w:tcPr>
            <w:tcW w:w="3499" w:type="dxa"/>
          </w:tcPr>
          <w:p w14:paraId="0CC2F9D3" w14:textId="77777777" w:rsidR="00E9008A" w:rsidRPr="003A0C5C" w:rsidRDefault="00E9008A" w:rsidP="00313B2A">
            <w:pPr>
              <w:pStyle w:val="Tabletext"/>
              <w:keepNext/>
            </w:pPr>
            <w:r w:rsidRPr="003A0C5C">
              <w:t>R2 at northeast corner of South Perry Street and East 216th Street</w:t>
            </w:r>
          </w:p>
        </w:tc>
        <w:tc>
          <w:tcPr>
            <w:tcW w:w="1001" w:type="dxa"/>
          </w:tcPr>
          <w:p w14:paraId="2EF6D2BE" w14:textId="77777777" w:rsidR="00E9008A" w:rsidRPr="003A0C5C" w:rsidRDefault="00E9008A" w:rsidP="00313B2A">
            <w:pPr>
              <w:pStyle w:val="Tabletext"/>
              <w:jc w:val="center"/>
            </w:pPr>
            <w:r w:rsidRPr="003A0C5C">
              <w:t>10/21/2021</w:t>
            </w:r>
          </w:p>
        </w:tc>
        <w:tc>
          <w:tcPr>
            <w:tcW w:w="990" w:type="dxa"/>
          </w:tcPr>
          <w:p w14:paraId="4DFF9A9D" w14:textId="77777777" w:rsidR="00E9008A" w:rsidRPr="003A0C5C" w:rsidRDefault="00E9008A" w:rsidP="00313B2A">
            <w:pPr>
              <w:pStyle w:val="Tabletext"/>
              <w:jc w:val="center"/>
            </w:pPr>
            <w:r w:rsidRPr="003A0C5C">
              <w:t>9:17 a.m.</w:t>
            </w:r>
          </w:p>
        </w:tc>
        <w:tc>
          <w:tcPr>
            <w:tcW w:w="978" w:type="dxa"/>
          </w:tcPr>
          <w:p w14:paraId="61DB5FD6" w14:textId="77777777" w:rsidR="00E9008A" w:rsidRPr="003A0C5C" w:rsidRDefault="00E9008A" w:rsidP="00313B2A">
            <w:pPr>
              <w:pStyle w:val="Tabletext"/>
              <w:jc w:val="center"/>
            </w:pPr>
            <w:r w:rsidRPr="003A0C5C">
              <w:t>9:32 a.m.</w:t>
            </w:r>
          </w:p>
        </w:tc>
        <w:tc>
          <w:tcPr>
            <w:tcW w:w="0" w:type="auto"/>
          </w:tcPr>
          <w:p w14:paraId="37F876AD" w14:textId="77777777" w:rsidR="00E9008A" w:rsidRPr="003A0C5C" w:rsidRDefault="00E9008A" w:rsidP="00313B2A">
            <w:pPr>
              <w:pStyle w:val="Tabletext"/>
              <w:jc w:val="center"/>
              <w:rPr>
                <w:rFonts w:cs="Arial"/>
                <w:bCs/>
              </w:rPr>
            </w:pPr>
            <w:r w:rsidRPr="003A0C5C">
              <w:rPr>
                <w:rFonts w:cs="Arial"/>
                <w:bCs/>
              </w:rPr>
              <w:t>56.5</w:t>
            </w:r>
          </w:p>
        </w:tc>
        <w:tc>
          <w:tcPr>
            <w:tcW w:w="0" w:type="auto"/>
          </w:tcPr>
          <w:p w14:paraId="51ED8DD5" w14:textId="77777777" w:rsidR="00E9008A" w:rsidRPr="003A0C5C" w:rsidRDefault="00E9008A" w:rsidP="00313B2A">
            <w:pPr>
              <w:pStyle w:val="Tabletext"/>
              <w:jc w:val="center"/>
              <w:rPr>
                <w:rFonts w:cs="Arial"/>
                <w:bCs/>
              </w:rPr>
            </w:pPr>
            <w:r w:rsidRPr="003A0C5C">
              <w:rPr>
                <w:rFonts w:cs="Arial"/>
                <w:bCs/>
              </w:rPr>
              <w:t>68.7</w:t>
            </w:r>
          </w:p>
        </w:tc>
        <w:tc>
          <w:tcPr>
            <w:tcW w:w="0" w:type="auto"/>
          </w:tcPr>
          <w:p w14:paraId="21670D0E" w14:textId="77777777" w:rsidR="00E9008A" w:rsidRPr="003A0C5C" w:rsidRDefault="00E9008A" w:rsidP="00313B2A">
            <w:pPr>
              <w:pStyle w:val="Tabletext"/>
              <w:jc w:val="center"/>
              <w:rPr>
                <w:rFonts w:cs="Arial"/>
                <w:bCs/>
              </w:rPr>
            </w:pPr>
            <w:r w:rsidRPr="003A0C5C">
              <w:rPr>
                <w:rFonts w:cs="Arial"/>
                <w:bCs/>
              </w:rPr>
              <w:t>50.6</w:t>
            </w:r>
          </w:p>
        </w:tc>
      </w:tr>
      <w:tr w:rsidR="003A0C5C" w:rsidRPr="003A0C5C" w14:paraId="5D085D0A" w14:textId="77777777" w:rsidTr="009C2D92">
        <w:trPr>
          <w:cantSplit/>
        </w:trPr>
        <w:tc>
          <w:tcPr>
            <w:tcW w:w="3499" w:type="dxa"/>
          </w:tcPr>
          <w:p w14:paraId="279F6532" w14:textId="77777777" w:rsidR="00E9008A" w:rsidRPr="003A0C5C" w:rsidRDefault="00E9008A" w:rsidP="00313B2A">
            <w:pPr>
              <w:pStyle w:val="Tabletext"/>
              <w:keepNext/>
            </w:pPr>
            <w:r w:rsidRPr="003A0C5C">
              <w:t>R3 east of project site along South Perry Street</w:t>
            </w:r>
          </w:p>
        </w:tc>
        <w:tc>
          <w:tcPr>
            <w:tcW w:w="1001" w:type="dxa"/>
          </w:tcPr>
          <w:p w14:paraId="28F9FAD8" w14:textId="77777777" w:rsidR="00E9008A" w:rsidRPr="003A0C5C" w:rsidRDefault="00E9008A" w:rsidP="00313B2A">
            <w:pPr>
              <w:pStyle w:val="Tabletext"/>
              <w:jc w:val="center"/>
            </w:pPr>
            <w:r w:rsidRPr="003A0C5C">
              <w:t>10/21/2021</w:t>
            </w:r>
          </w:p>
        </w:tc>
        <w:tc>
          <w:tcPr>
            <w:tcW w:w="990" w:type="dxa"/>
          </w:tcPr>
          <w:p w14:paraId="1918F57B" w14:textId="77777777" w:rsidR="00E9008A" w:rsidRPr="003A0C5C" w:rsidRDefault="00E9008A" w:rsidP="00313B2A">
            <w:pPr>
              <w:pStyle w:val="Tabletext"/>
              <w:jc w:val="center"/>
            </w:pPr>
            <w:r w:rsidRPr="003A0C5C">
              <w:t>9:33 a.m.</w:t>
            </w:r>
          </w:p>
        </w:tc>
        <w:tc>
          <w:tcPr>
            <w:tcW w:w="978" w:type="dxa"/>
          </w:tcPr>
          <w:p w14:paraId="6D8E2E52" w14:textId="77777777" w:rsidR="00E9008A" w:rsidRPr="003A0C5C" w:rsidRDefault="00E9008A" w:rsidP="00313B2A">
            <w:pPr>
              <w:pStyle w:val="Tabletext"/>
              <w:jc w:val="center"/>
            </w:pPr>
            <w:r w:rsidRPr="003A0C5C">
              <w:t>9:48 a.m.</w:t>
            </w:r>
          </w:p>
        </w:tc>
        <w:tc>
          <w:tcPr>
            <w:tcW w:w="0" w:type="auto"/>
          </w:tcPr>
          <w:p w14:paraId="0293FA4D" w14:textId="77777777" w:rsidR="00E9008A" w:rsidRPr="003A0C5C" w:rsidRDefault="00E9008A" w:rsidP="00313B2A">
            <w:pPr>
              <w:pStyle w:val="Tabletext"/>
              <w:jc w:val="center"/>
              <w:rPr>
                <w:rFonts w:cs="Arial"/>
                <w:bCs/>
              </w:rPr>
            </w:pPr>
            <w:r w:rsidRPr="003A0C5C">
              <w:rPr>
                <w:rFonts w:cs="Arial"/>
                <w:bCs/>
              </w:rPr>
              <w:t>57.1</w:t>
            </w:r>
          </w:p>
        </w:tc>
        <w:tc>
          <w:tcPr>
            <w:tcW w:w="0" w:type="auto"/>
          </w:tcPr>
          <w:p w14:paraId="01F60EDA" w14:textId="77777777" w:rsidR="00E9008A" w:rsidRPr="003A0C5C" w:rsidRDefault="00E9008A" w:rsidP="00313B2A">
            <w:pPr>
              <w:pStyle w:val="Tabletext"/>
              <w:jc w:val="center"/>
              <w:rPr>
                <w:rFonts w:cs="Arial"/>
                <w:bCs/>
              </w:rPr>
            </w:pPr>
            <w:r w:rsidRPr="003A0C5C">
              <w:rPr>
                <w:rFonts w:cs="Arial"/>
                <w:bCs/>
              </w:rPr>
              <w:t>70.2</w:t>
            </w:r>
          </w:p>
        </w:tc>
        <w:tc>
          <w:tcPr>
            <w:tcW w:w="0" w:type="auto"/>
          </w:tcPr>
          <w:p w14:paraId="57A4817C" w14:textId="77777777" w:rsidR="00E9008A" w:rsidRPr="003A0C5C" w:rsidRDefault="00E9008A" w:rsidP="00313B2A">
            <w:pPr>
              <w:pStyle w:val="Tabletext"/>
              <w:jc w:val="center"/>
              <w:rPr>
                <w:rFonts w:cs="Arial"/>
                <w:bCs/>
              </w:rPr>
            </w:pPr>
            <w:r w:rsidRPr="003A0C5C">
              <w:rPr>
                <w:rFonts w:cs="Arial"/>
                <w:bCs/>
              </w:rPr>
              <w:t>52.3</w:t>
            </w:r>
          </w:p>
        </w:tc>
      </w:tr>
      <w:tr w:rsidR="003A0C5C" w:rsidRPr="003A0C5C" w14:paraId="12B5D71B" w14:textId="77777777" w:rsidTr="009C2D92">
        <w:trPr>
          <w:cantSplit/>
        </w:trPr>
        <w:tc>
          <w:tcPr>
            <w:tcW w:w="3499" w:type="dxa"/>
            <w:tcBorders>
              <w:bottom w:val="single" w:sz="4" w:space="0" w:color="auto"/>
            </w:tcBorders>
          </w:tcPr>
          <w:p w14:paraId="24E62984" w14:textId="77777777" w:rsidR="00E9008A" w:rsidRPr="003A0C5C" w:rsidRDefault="00E9008A" w:rsidP="00313B2A">
            <w:pPr>
              <w:pStyle w:val="Tabletext"/>
              <w:keepNext/>
            </w:pPr>
            <w:r w:rsidRPr="003A0C5C">
              <w:t>R4 southeast of project site along and south of East Carson Street</w:t>
            </w:r>
          </w:p>
        </w:tc>
        <w:tc>
          <w:tcPr>
            <w:tcW w:w="1001" w:type="dxa"/>
            <w:tcBorders>
              <w:bottom w:val="single" w:sz="4" w:space="0" w:color="auto"/>
            </w:tcBorders>
          </w:tcPr>
          <w:p w14:paraId="2CD38179" w14:textId="77777777" w:rsidR="00E9008A" w:rsidRPr="003A0C5C" w:rsidRDefault="00E9008A" w:rsidP="00313B2A">
            <w:pPr>
              <w:pStyle w:val="Tabletext"/>
              <w:jc w:val="center"/>
            </w:pPr>
            <w:r w:rsidRPr="003A0C5C">
              <w:t>10/21/2021</w:t>
            </w:r>
          </w:p>
        </w:tc>
        <w:tc>
          <w:tcPr>
            <w:tcW w:w="990" w:type="dxa"/>
            <w:tcBorders>
              <w:bottom w:val="single" w:sz="4" w:space="0" w:color="auto"/>
            </w:tcBorders>
          </w:tcPr>
          <w:p w14:paraId="491AD49A" w14:textId="77777777" w:rsidR="00E9008A" w:rsidRPr="003A0C5C" w:rsidRDefault="00E9008A" w:rsidP="00313B2A">
            <w:pPr>
              <w:pStyle w:val="Tabletext"/>
              <w:jc w:val="center"/>
            </w:pPr>
            <w:r w:rsidRPr="003A0C5C">
              <w:t>10:02 a.m.</w:t>
            </w:r>
          </w:p>
        </w:tc>
        <w:tc>
          <w:tcPr>
            <w:tcW w:w="978" w:type="dxa"/>
            <w:tcBorders>
              <w:bottom w:val="single" w:sz="4" w:space="0" w:color="auto"/>
            </w:tcBorders>
          </w:tcPr>
          <w:p w14:paraId="255AE307" w14:textId="77777777" w:rsidR="00E9008A" w:rsidRPr="003A0C5C" w:rsidRDefault="00E9008A" w:rsidP="00313B2A">
            <w:pPr>
              <w:pStyle w:val="Tabletext"/>
              <w:jc w:val="center"/>
            </w:pPr>
            <w:r w:rsidRPr="003A0C5C">
              <w:t>10:17 a.m.</w:t>
            </w:r>
          </w:p>
        </w:tc>
        <w:tc>
          <w:tcPr>
            <w:tcW w:w="0" w:type="auto"/>
            <w:tcBorders>
              <w:bottom w:val="single" w:sz="4" w:space="0" w:color="auto"/>
            </w:tcBorders>
          </w:tcPr>
          <w:p w14:paraId="2AC4372C" w14:textId="77777777" w:rsidR="00E9008A" w:rsidRPr="003A0C5C" w:rsidRDefault="00E9008A" w:rsidP="00313B2A">
            <w:pPr>
              <w:pStyle w:val="Tabletext"/>
              <w:jc w:val="center"/>
              <w:rPr>
                <w:rFonts w:cs="Arial"/>
                <w:bCs/>
              </w:rPr>
            </w:pPr>
            <w:r w:rsidRPr="003A0C5C">
              <w:rPr>
                <w:rFonts w:cs="Arial"/>
                <w:bCs/>
              </w:rPr>
              <w:t>72.0</w:t>
            </w:r>
          </w:p>
        </w:tc>
        <w:tc>
          <w:tcPr>
            <w:tcW w:w="0" w:type="auto"/>
            <w:tcBorders>
              <w:bottom w:val="single" w:sz="4" w:space="0" w:color="auto"/>
            </w:tcBorders>
          </w:tcPr>
          <w:p w14:paraId="44854C3B" w14:textId="77777777" w:rsidR="00E9008A" w:rsidRPr="003A0C5C" w:rsidRDefault="00E9008A" w:rsidP="00313B2A">
            <w:pPr>
              <w:pStyle w:val="Tabletext"/>
              <w:jc w:val="center"/>
              <w:rPr>
                <w:rFonts w:cs="Arial"/>
                <w:bCs/>
              </w:rPr>
            </w:pPr>
            <w:r w:rsidRPr="003A0C5C">
              <w:rPr>
                <w:rFonts w:cs="Arial"/>
                <w:bCs/>
              </w:rPr>
              <w:t>82.9</w:t>
            </w:r>
          </w:p>
        </w:tc>
        <w:tc>
          <w:tcPr>
            <w:tcW w:w="0" w:type="auto"/>
            <w:tcBorders>
              <w:bottom w:val="single" w:sz="4" w:space="0" w:color="auto"/>
            </w:tcBorders>
          </w:tcPr>
          <w:p w14:paraId="48CA4495" w14:textId="77777777" w:rsidR="00E9008A" w:rsidRPr="003A0C5C" w:rsidRDefault="00E9008A" w:rsidP="00313B2A">
            <w:pPr>
              <w:pStyle w:val="Tabletext"/>
              <w:jc w:val="center"/>
              <w:rPr>
                <w:rFonts w:cs="Arial"/>
                <w:bCs/>
              </w:rPr>
            </w:pPr>
            <w:r w:rsidRPr="003A0C5C">
              <w:rPr>
                <w:rFonts w:cs="Arial"/>
                <w:bCs/>
              </w:rPr>
              <w:t>54.0</w:t>
            </w:r>
          </w:p>
        </w:tc>
      </w:tr>
      <w:tr w:rsidR="00E9008A" w:rsidRPr="003A0C5C" w14:paraId="489D1672" w14:textId="77777777" w:rsidTr="009C2D92">
        <w:trPr>
          <w:cantSplit/>
        </w:trPr>
        <w:tc>
          <w:tcPr>
            <w:tcW w:w="0" w:type="auto"/>
            <w:gridSpan w:val="7"/>
            <w:tcBorders>
              <w:top w:val="single" w:sz="4" w:space="0" w:color="auto"/>
              <w:bottom w:val="single" w:sz="4" w:space="0" w:color="auto"/>
            </w:tcBorders>
          </w:tcPr>
          <w:p w14:paraId="6509EB84" w14:textId="63166BEE" w:rsidR="00E9008A" w:rsidRPr="003A0C5C" w:rsidRDefault="00E9008A" w:rsidP="009C2D92">
            <w:pPr>
              <w:pStyle w:val="TableSource"/>
              <w:spacing w:before="120" w:after="120"/>
            </w:pPr>
            <w:r w:rsidRPr="003A0C5C">
              <w:t>SOURCE:</w:t>
            </w:r>
            <w:r w:rsidR="0010254B" w:rsidRPr="003A0C5C">
              <w:t xml:space="preserve"> </w:t>
            </w:r>
            <w:r w:rsidRPr="003A0C5C">
              <w:t>ESA 2022</w:t>
            </w:r>
          </w:p>
        </w:tc>
      </w:tr>
    </w:tbl>
    <w:p w14:paraId="4D72F80B" w14:textId="77777777" w:rsidR="00E9008A" w:rsidRPr="003A0C5C" w:rsidRDefault="00E9008A" w:rsidP="00E9008A">
      <w:pPr>
        <w:pStyle w:val="12spaceindentcontinue"/>
      </w:pPr>
    </w:p>
    <w:p w14:paraId="4EA295A9" w14:textId="77777777" w:rsidR="00E9008A" w:rsidRPr="003A0C5C" w:rsidRDefault="00E9008A" w:rsidP="00E9008A">
      <w:pPr>
        <w:pStyle w:val="Heading6"/>
        <w:ind w:left="720"/>
        <w:rPr>
          <w:bCs/>
        </w:rPr>
      </w:pPr>
      <w:r w:rsidRPr="003A0C5C">
        <w:rPr>
          <w:bCs/>
        </w:rPr>
        <w:t>Construction Noise</w:t>
      </w:r>
    </w:p>
    <w:p w14:paraId="4E54622A" w14:textId="6E376F36" w:rsidR="00E9008A" w:rsidRPr="003A0C5C" w:rsidRDefault="00E9008A" w:rsidP="00E9008A">
      <w:pPr>
        <w:pStyle w:val="12spaceindentcontinue"/>
        <w:rPr>
          <w:highlight w:val="yellow"/>
        </w:rPr>
      </w:pPr>
      <w:r w:rsidRPr="003A0C5C">
        <w:t>Project construction is expected to commence in first quarter of 2023 and would last through third quarter of 2024. The proposed project consists of (1) site preparation, (2) grading/excavation, (3) drainage/utilities/trenching, (4) foundations/concrete pour, (5)</w:t>
      </w:r>
      <w:r w:rsidR="00830A49" w:rsidRPr="003A0C5C">
        <w:t> </w:t>
      </w:r>
      <w:r w:rsidRPr="003A0C5C">
        <w:t>building construction, (6) paving, (7) architectural coating, and (8) landscaping.</w:t>
      </w:r>
    </w:p>
    <w:p w14:paraId="1646C312" w14:textId="77777777" w:rsidR="00E9008A" w:rsidRPr="003A0C5C" w:rsidRDefault="00E9008A" w:rsidP="00E9008A">
      <w:pPr>
        <w:pStyle w:val="Heading7"/>
        <w:ind w:left="720"/>
        <w:rPr>
          <w:bCs/>
          <w:iCs w:val="0"/>
        </w:rPr>
      </w:pPr>
      <w:r w:rsidRPr="003A0C5C">
        <w:rPr>
          <w:bCs/>
          <w:iCs w:val="0"/>
        </w:rPr>
        <w:lastRenderedPageBreak/>
        <w:t>On-Site Construction Activities</w:t>
      </w:r>
    </w:p>
    <w:p w14:paraId="33B64CE7" w14:textId="77777777" w:rsidR="00E9008A" w:rsidRPr="003A0C5C" w:rsidRDefault="00E9008A" w:rsidP="00E9008A">
      <w:pPr>
        <w:pStyle w:val="12spaceindentcontinue"/>
      </w:pPr>
      <w:r w:rsidRPr="003A0C5C">
        <w:t xml:space="preserve">Noise from construction activities would be generated by the operation of vehicles and equipment involved during various stages of construction: site preparation, building construction, etc. The noise levels generated by construction equipment would vary depending on factors such as the type and number of equipment, the specific model (horsepower rating), the construction activities being performed, and the maintenance condition of the equipment. To more accurately characterize construction-period noise levels, the average (Hourly </w:t>
      </w:r>
      <w:proofErr w:type="spellStart"/>
      <w:r w:rsidRPr="003A0C5C">
        <w:t>L</w:t>
      </w:r>
      <w:r w:rsidRPr="003A0C5C">
        <w:rPr>
          <w:vertAlign w:val="subscript"/>
        </w:rPr>
        <w:t>eq</w:t>
      </w:r>
      <w:proofErr w:type="spellEnd"/>
      <w:r w:rsidRPr="003A0C5C">
        <w:t>) noise level associated with each construction phase is estimated based on the quantity, type, and usage factors for each type of equipment used during each construction phase and are typically attributable to multiple pieces of equipment operating simultaneously. Over the course of a construction day, the highest noise levels would be generated when multiple pieces of construction equipment are operated concurrently.</w:t>
      </w:r>
    </w:p>
    <w:p w14:paraId="73B0F8B4" w14:textId="77777777" w:rsidR="00E9008A" w:rsidRPr="003A0C5C" w:rsidRDefault="00E9008A" w:rsidP="00E9008A">
      <w:pPr>
        <w:pStyle w:val="12spaceindentcontinue"/>
        <w:rPr>
          <w:highlight w:val="yellow"/>
        </w:rPr>
      </w:pPr>
      <w:r w:rsidRPr="003A0C5C">
        <w:t>Consistent with LACMC Section 12.08.440 (which was adopted by reference by the City of Carson), the construction noise levels were estimated at the property line of the closest sensitive receptor location. As previously stated, the project site is surrounded by a mix of land uses, including residential and commercial uses. The closest sensitive receptors to the project site are the single-family residences to the north located approximately 50 feet from the project site. It is conservatively assumed that multiple equipment would operate simultaneously. In reality, equipment would likely be dispersed throughout the project site; therefore, the noise levels represent a conservative maximum and actual noise levels could be lower. Further, the closest sensitive receptors in each affected area were analyzed and it is assumed that sensitive receptors located at further distances would experience lower noise levels than those disclosed below. Generally, noise attenuates at a rate of 6 dBA for every doubling of distance from the noise source.</w:t>
      </w:r>
      <w:r w:rsidRPr="003A0C5C">
        <w:rPr>
          <w:rStyle w:val="FootnoteReference"/>
        </w:rPr>
        <w:footnoteReference w:id="8"/>
      </w:r>
      <w:r w:rsidRPr="003A0C5C">
        <w:t xml:space="preserve"> </w:t>
      </w:r>
      <w:r w:rsidRPr="003A0C5C">
        <w:rPr>
          <w:rStyle w:val="Bold"/>
        </w:rPr>
        <w:t>Table 13</w:t>
      </w:r>
      <w:r w:rsidRPr="003A0C5C">
        <w:t xml:space="preserve">, </w:t>
      </w:r>
      <w:r w:rsidRPr="003A0C5C">
        <w:rPr>
          <w:rStyle w:val="Italic"/>
        </w:rPr>
        <w:t>Construction Equipment and Estimated Noise Levels</w:t>
      </w:r>
      <w:r w:rsidRPr="003A0C5C">
        <w:t>, presents the list of construction equipment including approximate quantities per construction phase with reference noise levels.</w:t>
      </w:r>
    </w:p>
    <w:p w14:paraId="674219D5" w14:textId="77777777" w:rsidR="00E9008A" w:rsidRPr="003A0C5C" w:rsidRDefault="00E9008A" w:rsidP="00E9008A">
      <w:pPr>
        <w:pStyle w:val="12spaceindentcontinue"/>
        <w:rPr>
          <w:highlight w:val="yellow"/>
        </w:rPr>
      </w:pPr>
      <w:r w:rsidRPr="003A0C5C">
        <w:t xml:space="preserve">The estimated noise levels, shown in </w:t>
      </w:r>
      <w:r w:rsidRPr="003A0C5C">
        <w:rPr>
          <w:rStyle w:val="Bold"/>
          <w:b w:val="0"/>
          <w:bCs/>
        </w:rPr>
        <w:t>Table 13</w:t>
      </w:r>
      <w:r w:rsidRPr="003A0C5C">
        <w:rPr>
          <w:b/>
          <w:bCs/>
        </w:rPr>
        <w:t>,</w:t>
      </w:r>
      <w:r w:rsidRPr="003A0C5C">
        <w:t xml:space="preserve"> assumes the project contractor(s) would equip the construction equipment, stationary or mobile, with properly operating and maintained noise mufflers, consistent with the manufacturers’ standard operation procedures. These assumptions represent a worst-case noise scenario as all construction equipment used in a given phase would not typically operate concurrently and at full power, and the location of activities is routinely spread across the construction site, rather than concentrated close to the nearest noise-sensitive receptors.</w:t>
      </w:r>
    </w:p>
    <w:tbl>
      <w:tblPr>
        <w:tblW w:w="0" w:type="auto"/>
        <w:tblInd w:w="720" w:type="dxa"/>
        <w:tblBorders>
          <w:top w:val="single" w:sz="4" w:space="0" w:color="auto"/>
          <w:bottom w:val="single" w:sz="4" w:space="0" w:color="auto"/>
        </w:tblBorders>
        <w:tblLayout w:type="fixed"/>
        <w:tblCellMar>
          <w:left w:w="86" w:type="dxa"/>
          <w:right w:w="86" w:type="dxa"/>
        </w:tblCellMar>
        <w:tblLook w:val="04A0" w:firstRow="1" w:lastRow="0" w:firstColumn="1" w:lastColumn="0" w:noHBand="0" w:noVBand="1"/>
      </w:tblPr>
      <w:tblGrid>
        <w:gridCol w:w="2857"/>
        <w:gridCol w:w="1241"/>
        <w:gridCol w:w="959"/>
        <w:gridCol w:w="613"/>
        <w:gridCol w:w="102"/>
        <w:gridCol w:w="618"/>
        <w:gridCol w:w="98"/>
        <w:gridCol w:w="716"/>
        <w:gridCol w:w="56"/>
        <w:gridCol w:w="660"/>
      </w:tblGrid>
      <w:tr w:rsidR="003A0C5C" w:rsidRPr="003A0C5C" w14:paraId="1DC1AE96" w14:textId="77777777" w:rsidTr="00313B2A">
        <w:trPr>
          <w:cantSplit/>
          <w:tblHeader/>
        </w:trPr>
        <w:tc>
          <w:tcPr>
            <w:tcW w:w="7920" w:type="dxa"/>
            <w:gridSpan w:val="10"/>
            <w:tcBorders>
              <w:top w:val="nil"/>
              <w:bottom w:val="single" w:sz="4" w:space="0" w:color="auto"/>
            </w:tcBorders>
            <w:shd w:val="clear" w:color="auto" w:fill="auto"/>
            <w:vAlign w:val="bottom"/>
          </w:tcPr>
          <w:p w14:paraId="718F33C3" w14:textId="77777777" w:rsidR="00E9008A" w:rsidRPr="003A0C5C" w:rsidRDefault="00E9008A" w:rsidP="00313B2A">
            <w:pPr>
              <w:pStyle w:val="TableNoTitle"/>
            </w:pPr>
            <w:bookmarkStart w:id="88" w:name="_Toc527376545"/>
            <w:bookmarkStart w:id="89" w:name="_Toc527633094"/>
            <w:bookmarkStart w:id="90" w:name="_Toc101792205"/>
            <w:r w:rsidRPr="003A0C5C">
              <w:t>Table 13</w:t>
            </w:r>
            <w:r w:rsidRPr="003A0C5C">
              <w:br/>
            </w:r>
            <w:r w:rsidRPr="003A0C5C">
              <w:tab/>
              <w:t>Construction Equipment and Estimated Noise Levels</w:t>
            </w:r>
            <w:bookmarkEnd w:id="88"/>
            <w:bookmarkEnd w:id="89"/>
            <w:bookmarkEnd w:id="90"/>
          </w:p>
        </w:tc>
      </w:tr>
      <w:tr w:rsidR="003A0C5C" w:rsidRPr="003A0C5C" w14:paraId="14685B39" w14:textId="77777777" w:rsidTr="00313B2A">
        <w:trPr>
          <w:cantSplit/>
          <w:tblHeader/>
        </w:trPr>
        <w:tc>
          <w:tcPr>
            <w:tcW w:w="2857" w:type="dxa"/>
            <w:tcBorders>
              <w:top w:val="single" w:sz="4" w:space="0" w:color="auto"/>
              <w:bottom w:val="single" w:sz="12" w:space="0" w:color="auto"/>
            </w:tcBorders>
            <w:shd w:val="clear" w:color="auto" w:fill="auto"/>
            <w:vAlign w:val="bottom"/>
            <w:hideMark/>
          </w:tcPr>
          <w:p w14:paraId="2A5375F4" w14:textId="77777777" w:rsidR="00E9008A" w:rsidRPr="003A0C5C" w:rsidRDefault="00E9008A" w:rsidP="00313B2A">
            <w:pPr>
              <w:pStyle w:val="Tablecolumnheading"/>
            </w:pPr>
            <w:r w:rsidRPr="003A0C5C">
              <w:t>Construction Phase</w:t>
            </w:r>
            <w:r w:rsidRPr="003A0C5C">
              <w:br/>
              <w:t>and Equipment</w:t>
            </w:r>
          </w:p>
        </w:tc>
        <w:tc>
          <w:tcPr>
            <w:tcW w:w="1241" w:type="dxa"/>
            <w:tcBorders>
              <w:top w:val="single" w:sz="4" w:space="0" w:color="auto"/>
              <w:bottom w:val="single" w:sz="12" w:space="0" w:color="auto"/>
            </w:tcBorders>
            <w:shd w:val="clear" w:color="auto" w:fill="auto"/>
            <w:vAlign w:val="bottom"/>
            <w:hideMark/>
          </w:tcPr>
          <w:p w14:paraId="5EE0D3BA" w14:textId="77777777" w:rsidR="00E9008A" w:rsidRPr="003A0C5C" w:rsidRDefault="00E9008A" w:rsidP="00313B2A">
            <w:pPr>
              <w:pStyle w:val="Tablecolumnheading"/>
              <w:jc w:val="center"/>
            </w:pPr>
            <w:r w:rsidRPr="003A0C5C">
              <w:t>Noise Level</w:t>
            </w:r>
            <w:r w:rsidRPr="003A0C5C">
              <w:br/>
            </w:r>
            <w:proofErr w:type="spellStart"/>
            <w:r w:rsidRPr="003A0C5C">
              <w:t>L</w:t>
            </w:r>
            <w:r w:rsidRPr="003A0C5C">
              <w:rPr>
                <w:vertAlign w:val="subscript"/>
              </w:rPr>
              <w:t>max</w:t>
            </w:r>
            <w:proofErr w:type="spellEnd"/>
            <w:r w:rsidRPr="003A0C5C">
              <w:t xml:space="preserve"> at</w:t>
            </w:r>
            <w:r w:rsidRPr="003A0C5C">
              <w:br/>
              <w:t>50 feet</w:t>
            </w:r>
            <w:r w:rsidRPr="003A0C5C">
              <w:br/>
              <w:t>(dBA)</w:t>
            </w:r>
          </w:p>
        </w:tc>
        <w:tc>
          <w:tcPr>
            <w:tcW w:w="959" w:type="dxa"/>
            <w:tcBorders>
              <w:top w:val="single" w:sz="4" w:space="0" w:color="auto"/>
              <w:bottom w:val="single" w:sz="12" w:space="0" w:color="auto"/>
            </w:tcBorders>
            <w:shd w:val="clear" w:color="auto" w:fill="auto"/>
            <w:vAlign w:val="bottom"/>
            <w:hideMark/>
          </w:tcPr>
          <w:p w14:paraId="72276859" w14:textId="77777777" w:rsidR="00E9008A" w:rsidRPr="003A0C5C" w:rsidRDefault="00E9008A" w:rsidP="00313B2A">
            <w:pPr>
              <w:pStyle w:val="Tablecolumnheading"/>
              <w:jc w:val="center"/>
            </w:pPr>
            <w:r w:rsidRPr="003A0C5C">
              <w:t>Hourly</w:t>
            </w:r>
            <w:r w:rsidRPr="003A0C5C">
              <w:br/>
              <w:t>Quantity</w:t>
            </w:r>
          </w:p>
        </w:tc>
        <w:tc>
          <w:tcPr>
            <w:tcW w:w="613" w:type="dxa"/>
            <w:tcBorders>
              <w:top w:val="single" w:sz="4" w:space="0" w:color="auto"/>
              <w:bottom w:val="single" w:sz="12" w:space="0" w:color="auto"/>
            </w:tcBorders>
            <w:shd w:val="clear" w:color="auto" w:fill="auto"/>
            <w:noWrap/>
            <w:vAlign w:val="bottom"/>
            <w:hideMark/>
          </w:tcPr>
          <w:p w14:paraId="6CDB201B" w14:textId="77777777" w:rsidR="00E9008A" w:rsidRPr="003A0C5C" w:rsidRDefault="00E9008A" w:rsidP="00313B2A">
            <w:pPr>
              <w:pStyle w:val="Tablecolumnheading"/>
              <w:jc w:val="center"/>
            </w:pPr>
          </w:p>
        </w:tc>
        <w:tc>
          <w:tcPr>
            <w:tcW w:w="2250" w:type="dxa"/>
            <w:gridSpan w:val="6"/>
            <w:tcBorders>
              <w:top w:val="single" w:sz="4" w:space="0" w:color="auto"/>
              <w:bottom w:val="single" w:sz="12" w:space="0" w:color="auto"/>
            </w:tcBorders>
            <w:noWrap/>
            <w:vAlign w:val="bottom"/>
          </w:tcPr>
          <w:p w14:paraId="2D6B9CBA" w14:textId="77777777" w:rsidR="00E9008A" w:rsidRPr="003A0C5C" w:rsidRDefault="00E9008A" w:rsidP="00313B2A">
            <w:pPr>
              <w:pStyle w:val="Tablecolumnheading"/>
              <w:jc w:val="center"/>
            </w:pPr>
            <w:r w:rsidRPr="003A0C5C">
              <w:t>Estimated Hourly</w:t>
            </w:r>
            <w:r w:rsidRPr="003A0C5C">
              <w:br/>
              <w:t xml:space="preserve">Noise Level </w:t>
            </w:r>
            <w:proofErr w:type="spellStart"/>
            <w:r w:rsidRPr="003A0C5C">
              <w:t>L</w:t>
            </w:r>
            <w:r w:rsidRPr="003A0C5C">
              <w:rPr>
                <w:vertAlign w:val="subscript"/>
              </w:rPr>
              <w:t>eq</w:t>
            </w:r>
            <w:proofErr w:type="spellEnd"/>
            <w:r w:rsidRPr="003A0C5C">
              <w:t xml:space="preserve"> at</w:t>
            </w:r>
            <w:r w:rsidRPr="003A0C5C">
              <w:br/>
              <w:t xml:space="preserve">Residences (dBA) </w:t>
            </w:r>
          </w:p>
        </w:tc>
      </w:tr>
      <w:tr w:rsidR="003A0C5C" w:rsidRPr="003A0C5C" w14:paraId="0F997030" w14:textId="77777777" w:rsidTr="00313B2A">
        <w:trPr>
          <w:cantSplit/>
        </w:trPr>
        <w:tc>
          <w:tcPr>
            <w:tcW w:w="7920" w:type="dxa"/>
            <w:gridSpan w:val="10"/>
            <w:tcBorders>
              <w:top w:val="single" w:sz="12" w:space="0" w:color="auto"/>
              <w:bottom w:val="nil"/>
            </w:tcBorders>
            <w:shd w:val="clear" w:color="auto" w:fill="D9D9D9" w:themeFill="background1" w:themeFillShade="D9"/>
          </w:tcPr>
          <w:p w14:paraId="02805069" w14:textId="77777777" w:rsidR="00E9008A" w:rsidRPr="003A0C5C" w:rsidRDefault="00E9008A" w:rsidP="00313B2A">
            <w:pPr>
              <w:pStyle w:val="Tablerowheading"/>
            </w:pPr>
            <w:r w:rsidRPr="003A0C5C">
              <w:t>Site Preparation</w:t>
            </w:r>
          </w:p>
        </w:tc>
      </w:tr>
      <w:tr w:rsidR="003A0C5C" w:rsidRPr="003A0C5C" w14:paraId="664B8BDA" w14:textId="77777777" w:rsidTr="00313B2A">
        <w:trPr>
          <w:cantSplit/>
        </w:trPr>
        <w:tc>
          <w:tcPr>
            <w:tcW w:w="2857" w:type="dxa"/>
            <w:tcBorders>
              <w:top w:val="nil"/>
              <w:bottom w:val="nil"/>
            </w:tcBorders>
            <w:shd w:val="clear" w:color="auto" w:fill="auto"/>
            <w:hideMark/>
          </w:tcPr>
          <w:p w14:paraId="0C71A315" w14:textId="77777777" w:rsidR="00E9008A" w:rsidRPr="003A0C5C" w:rsidRDefault="00E9008A" w:rsidP="00313B2A">
            <w:pPr>
              <w:pStyle w:val="Tabletext"/>
              <w:keepNext/>
            </w:pPr>
            <w:r w:rsidRPr="003A0C5C">
              <w:t>Air Compressors</w:t>
            </w:r>
          </w:p>
        </w:tc>
        <w:tc>
          <w:tcPr>
            <w:tcW w:w="1241" w:type="dxa"/>
            <w:tcBorders>
              <w:top w:val="nil"/>
              <w:bottom w:val="nil"/>
            </w:tcBorders>
            <w:shd w:val="clear" w:color="auto" w:fill="auto"/>
            <w:hideMark/>
          </w:tcPr>
          <w:p w14:paraId="7E8A053D" w14:textId="77777777" w:rsidR="00E9008A" w:rsidRPr="003A0C5C" w:rsidRDefault="00E9008A" w:rsidP="00313B2A">
            <w:pPr>
              <w:pStyle w:val="Tabletext"/>
              <w:jc w:val="center"/>
            </w:pPr>
            <w:r w:rsidRPr="003A0C5C">
              <w:t>80</w:t>
            </w:r>
          </w:p>
        </w:tc>
        <w:tc>
          <w:tcPr>
            <w:tcW w:w="959" w:type="dxa"/>
            <w:tcBorders>
              <w:top w:val="nil"/>
              <w:bottom w:val="nil"/>
            </w:tcBorders>
            <w:shd w:val="clear" w:color="auto" w:fill="auto"/>
            <w:hideMark/>
          </w:tcPr>
          <w:p w14:paraId="0FF7E03C" w14:textId="77777777" w:rsidR="00E9008A" w:rsidRPr="003A0C5C" w:rsidRDefault="00E9008A" w:rsidP="00313B2A">
            <w:pPr>
              <w:pStyle w:val="Tabletext"/>
              <w:jc w:val="center"/>
            </w:pPr>
            <w:r w:rsidRPr="003A0C5C">
              <w:t>2</w:t>
            </w:r>
          </w:p>
        </w:tc>
        <w:tc>
          <w:tcPr>
            <w:tcW w:w="613" w:type="dxa"/>
            <w:vMerge w:val="restart"/>
            <w:tcBorders>
              <w:top w:val="nil"/>
            </w:tcBorders>
            <w:shd w:val="clear" w:color="auto" w:fill="auto"/>
          </w:tcPr>
          <w:p w14:paraId="33622701" w14:textId="77777777" w:rsidR="00E9008A" w:rsidRPr="003A0C5C" w:rsidDel="001B3D07" w:rsidRDefault="00E9008A" w:rsidP="00313B2A">
            <w:pPr>
              <w:pStyle w:val="Tabletext"/>
              <w:jc w:val="center"/>
            </w:pPr>
            <w:r w:rsidRPr="003A0C5C">
              <w:t>R1</w:t>
            </w:r>
          </w:p>
        </w:tc>
        <w:tc>
          <w:tcPr>
            <w:tcW w:w="720" w:type="dxa"/>
            <w:gridSpan w:val="2"/>
            <w:vMerge w:val="restart"/>
            <w:tcBorders>
              <w:top w:val="nil"/>
            </w:tcBorders>
            <w:shd w:val="clear" w:color="auto" w:fill="auto"/>
          </w:tcPr>
          <w:p w14:paraId="577F1699" w14:textId="77777777" w:rsidR="00E9008A" w:rsidRPr="003A0C5C" w:rsidDel="001B3D07" w:rsidRDefault="00E9008A" w:rsidP="00313B2A">
            <w:pPr>
              <w:pStyle w:val="Tabletext"/>
              <w:jc w:val="center"/>
            </w:pPr>
            <w:r w:rsidRPr="003A0C5C">
              <w:t>R2</w:t>
            </w:r>
          </w:p>
        </w:tc>
        <w:tc>
          <w:tcPr>
            <w:tcW w:w="870" w:type="dxa"/>
            <w:gridSpan w:val="3"/>
            <w:vMerge w:val="restart"/>
            <w:tcBorders>
              <w:top w:val="nil"/>
            </w:tcBorders>
            <w:shd w:val="clear" w:color="auto" w:fill="auto"/>
          </w:tcPr>
          <w:p w14:paraId="4192BF21" w14:textId="77777777" w:rsidR="00E9008A" w:rsidRPr="003A0C5C" w:rsidDel="001B3D07" w:rsidRDefault="00E9008A" w:rsidP="00313B2A">
            <w:pPr>
              <w:pStyle w:val="Tabletext"/>
              <w:jc w:val="center"/>
            </w:pPr>
            <w:r w:rsidRPr="003A0C5C">
              <w:t>R3</w:t>
            </w:r>
          </w:p>
        </w:tc>
        <w:tc>
          <w:tcPr>
            <w:tcW w:w="660" w:type="dxa"/>
            <w:vMerge w:val="restart"/>
            <w:tcBorders>
              <w:top w:val="nil"/>
            </w:tcBorders>
            <w:shd w:val="clear" w:color="auto" w:fill="auto"/>
          </w:tcPr>
          <w:p w14:paraId="35BB1CC5" w14:textId="77777777" w:rsidR="00E9008A" w:rsidRPr="003A0C5C" w:rsidDel="001B3D07" w:rsidRDefault="00E9008A" w:rsidP="00313B2A">
            <w:pPr>
              <w:pStyle w:val="Tabletext"/>
              <w:jc w:val="center"/>
            </w:pPr>
            <w:r w:rsidRPr="003A0C5C">
              <w:t>R4</w:t>
            </w:r>
          </w:p>
        </w:tc>
      </w:tr>
      <w:tr w:rsidR="003A0C5C" w:rsidRPr="003A0C5C" w14:paraId="6AE8D686" w14:textId="77777777" w:rsidTr="00313B2A">
        <w:trPr>
          <w:cantSplit/>
        </w:trPr>
        <w:tc>
          <w:tcPr>
            <w:tcW w:w="2857" w:type="dxa"/>
            <w:tcBorders>
              <w:top w:val="nil"/>
              <w:bottom w:val="nil"/>
            </w:tcBorders>
            <w:shd w:val="clear" w:color="auto" w:fill="auto"/>
          </w:tcPr>
          <w:p w14:paraId="7B4125AD" w14:textId="77777777" w:rsidR="00E9008A" w:rsidRPr="003A0C5C" w:rsidRDefault="00E9008A" w:rsidP="00313B2A">
            <w:pPr>
              <w:pStyle w:val="Tabletext"/>
              <w:keepNext/>
            </w:pPr>
            <w:r w:rsidRPr="003A0C5C">
              <w:t>Loaders</w:t>
            </w:r>
          </w:p>
        </w:tc>
        <w:tc>
          <w:tcPr>
            <w:tcW w:w="1241" w:type="dxa"/>
            <w:tcBorders>
              <w:top w:val="nil"/>
              <w:bottom w:val="nil"/>
            </w:tcBorders>
            <w:shd w:val="clear" w:color="auto" w:fill="auto"/>
          </w:tcPr>
          <w:p w14:paraId="0D4F44E1" w14:textId="77777777" w:rsidR="00E9008A" w:rsidRPr="003A0C5C" w:rsidRDefault="00E9008A" w:rsidP="00313B2A">
            <w:pPr>
              <w:pStyle w:val="Tabletext"/>
              <w:jc w:val="center"/>
            </w:pPr>
            <w:r w:rsidRPr="003A0C5C">
              <w:t>80</w:t>
            </w:r>
          </w:p>
        </w:tc>
        <w:tc>
          <w:tcPr>
            <w:tcW w:w="959" w:type="dxa"/>
            <w:tcBorders>
              <w:top w:val="nil"/>
              <w:bottom w:val="nil"/>
            </w:tcBorders>
            <w:shd w:val="clear" w:color="auto" w:fill="auto"/>
          </w:tcPr>
          <w:p w14:paraId="351215ED" w14:textId="77777777" w:rsidR="00E9008A" w:rsidRPr="003A0C5C" w:rsidRDefault="00E9008A" w:rsidP="00313B2A">
            <w:pPr>
              <w:pStyle w:val="Tabletext"/>
              <w:jc w:val="center"/>
            </w:pPr>
            <w:r w:rsidRPr="003A0C5C">
              <w:t>2</w:t>
            </w:r>
          </w:p>
        </w:tc>
        <w:tc>
          <w:tcPr>
            <w:tcW w:w="613" w:type="dxa"/>
            <w:vMerge/>
            <w:shd w:val="clear" w:color="auto" w:fill="auto"/>
          </w:tcPr>
          <w:p w14:paraId="11DFE2B1" w14:textId="77777777" w:rsidR="00E9008A" w:rsidRPr="003A0C5C" w:rsidRDefault="00E9008A" w:rsidP="00313B2A">
            <w:pPr>
              <w:pStyle w:val="Tabletext"/>
              <w:jc w:val="center"/>
            </w:pPr>
          </w:p>
        </w:tc>
        <w:tc>
          <w:tcPr>
            <w:tcW w:w="720" w:type="dxa"/>
            <w:gridSpan w:val="2"/>
            <w:vMerge/>
            <w:shd w:val="clear" w:color="auto" w:fill="auto"/>
          </w:tcPr>
          <w:p w14:paraId="55085F9D" w14:textId="77777777" w:rsidR="00E9008A" w:rsidRPr="003A0C5C" w:rsidRDefault="00E9008A" w:rsidP="00313B2A">
            <w:pPr>
              <w:pStyle w:val="Tabletext"/>
              <w:jc w:val="center"/>
            </w:pPr>
          </w:p>
        </w:tc>
        <w:tc>
          <w:tcPr>
            <w:tcW w:w="870" w:type="dxa"/>
            <w:gridSpan w:val="3"/>
            <w:vMerge/>
            <w:shd w:val="clear" w:color="auto" w:fill="auto"/>
          </w:tcPr>
          <w:p w14:paraId="3D48F688" w14:textId="77777777" w:rsidR="00E9008A" w:rsidRPr="003A0C5C" w:rsidRDefault="00E9008A" w:rsidP="00313B2A">
            <w:pPr>
              <w:pStyle w:val="Tabletext"/>
              <w:jc w:val="center"/>
            </w:pPr>
          </w:p>
        </w:tc>
        <w:tc>
          <w:tcPr>
            <w:tcW w:w="660" w:type="dxa"/>
            <w:vMerge/>
            <w:shd w:val="clear" w:color="auto" w:fill="auto"/>
          </w:tcPr>
          <w:p w14:paraId="332699D9" w14:textId="77777777" w:rsidR="00E9008A" w:rsidRPr="003A0C5C" w:rsidRDefault="00E9008A" w:rsidP="00313B2A">
            <w:pPr>
              <w:pStyle w:val="Tabletext"/>
              <w:jc w:val="center"/>
            </w:pPr>
          </w:p>
        </w:tc>
      </w:tr>
      <w:tr w:rsidR="003A0C5C" w:rsidRPr="003A0C5C" w14:paraId="2EFD6BEE" w14:textId="77777777" w:rsidTr="00313B2A">
        <w:trPr>
          <w:cantSplit/>
        </w:trPr>
        <w:tc>
          <w:tcPr>
            <w:tcW w:w="2857" w:type="dxa"/>
            <w:tcBorders>
              <w:top w:val="nil"/>
              <w:bottom w:val="nil"/>
            </w:tcBorders>
            <w:shd w:val="clear" w:color="auto" w:fill="auto"/>
          </w:tcPr>
          <w:p w14:paraId="017AB178" w14:textId="77777777" w:rsidR="00E9008A" w:rsidRPr="003A0C5C" w:rsidRDefault="00E9008A" w:rsidP="00313B2A">
            <w:pPr>
              <w:pStyle w:val="Tabletext"/>
              <w:keepNext/>
            </w:pPr>
            <w:r w:rsidRPr="003A0C5C">
              <w:t>Skid Steer Loaders</w:t>
            </w:r>
          </w:p>
        </w:tc>
        <w:tc>
          <w:tcPr>
            <w:tcW w:w="1241" w:type="dxa"/>
            <w:tcBorders>
              <w:top w:val="nil"/>
              <w:bottom w:val="nil"/>
            </w:tcBorders>
            <w:shd w:val="clear" w:color="auto" w:fill="auto"/>
          </w:tcPr>
          <w:p w14:paraId="5AF6F387" w14:textId="77777777" w:rsidR="00E9008A" w:rsidRPr="003A0C5C" w:rsidRDefault="00E9008A" w:rsidP="00313B2A">
            <w:pPr>
              <w:pStyle w:val="Tabletext"/>
              <w:jc w:val="center"/>
            </w:pPr>
            <w:r w:rsidRPr="003A0C5C">
              <w:t>80</w:t>
            </w:r>
          </w:p>
        </w:tc>
        <w:tc>
          <w:tcPr>
            <w:tcW w:w="959" w:type="dxa"/>
            <w:tcBorders>
              <w:top w:val="nil"/>
              <w:bottom w:val="nil"/>
            </w:tcBorders>
            <w:shd w:val="clear" w:color="auto" w:fill="auto"/>
          </w:tcPr>
          <w:p w14:paraId="4EE95EF4" w14:textId="77777777" w:rsidR="00E9008A" w:rsidRPr="003A0C5C" w:rsidRDefault="00E9008A" w:rsidP="00313B2A">
            <w:pPr>
              <w:pStyle w:val="Tabletext"/>
              <w:jc w:val="center"/>
            </w:pPr>
            <w:r w:rsidRPr="003A0C5C">
              <w:t>1</w:t>
            </w:r>
          </w:p>
        </w:tc>
        <w:tc>
          <w:tcPr>
            <w:tcW w:w="613" w:type="dxa"/>
            <w:vMerge/>
            <w:shd w:val="clear" w:color="auto" w:fill="auto"/>
          </w:tcPr>
          <w:p w14:paraId="69ECA4EF" w14:textId="77777777" w:rsidR="00E9008A" w:rsidRPr="003A0C5C" w:rsidRDefault="00E9008A" w:rsidP="00313B2A">
            <w:pPr>
              <w:pStyle w:val="Tabletext"/>
              <w:jc w:val="center"/>
            </w:pPr>
          </w:p>
        </w:tc>
        <w:tc>
          <w:tcPr>
            <w:tcW w:w="720" w:type="dxa"/>
            <w:gridSpan w:val="2"/>
            <w:vMerge/>
            <w:shd w:val="clear" w:color="auto" w:fill="auto"/>
          </w:tcPr>
          <w:p w14:paraId="36804D0D" w14:textId="77777777" w:rsidR="00E9008A" w:rsidRPr="003A0C5C" w:rsidRDefault="00E9008A" w:rsidP="00313B2A">
            <w:pPr>
              <w:pStyle w:val="Tabletext"/>
              <w:jc w:val="center"/>
            </w:pPr>
          </w:p>
        </w:tc>
        <w:tc>
          <w:tcPr>
            <w:tcW w:w="870" w:type="dxa"/>
            <w:gridSpan w:val="3"/>
            <w:vMerge/>
            <w:shd w:val="clear" w:color="auto" w:fill="auto"/>
          </w:tcPr>
          <w:p w14:paraId="7318B899" w14:textId="77777777" w:rsidR="00E9008A" w:rsidRPr="003A0C5C" w:rsidRDefault="00E9008A" w:rsidP="00313B2A">
            <w:pPr>
              <w:pStyle w:val="Tabletext"/>
              <w:jc w:val="center"/>
            </w:pPr>
          </w:p>
        </w:tc>
        <w:tc>
          <w:tcPr>
            <w:tcW w:w="660" w:type="dxa"/>
            <w:vMerge/>
            <w:shd w:val="clear" w:color="auto" w:fill="auto"/>
          </w:tcPr>
          <w:p w14:paraId="166EAD5C" w14:textId="77777777" w:rsidR="00E9008A" w:rsidRPr="003A0C5C" w:rsidRDefault="00E9008A" w:rsidP="00313B2A">
            <w:pPr>
              <w:pStyle w:val="Tabletext"/>
              <w:jc w:val="center"/>
            </w:pPr>
          </w:p>
        </w:tc>
      </w:tr>
      <w:tr w:rsidR="003A0C5C" w:rsidRPr="003A0C5C" w14:paraId="7ABF715E" w14:textId="77777777" w:rsidTr="00313B2A">
        <w:trPr>
          <w:cantSplit/>
        </w:trPr>
        <w:tc>
          <w:tcPr>
            <w:tcW w:w="2857" w:type="dxa"/>
            <w:tcBorders>
              <w:top w:val="nil"/>
              <w:bottom w:val="nil"/>
            </w:tcBorders>
            <w:shd w:val="clear" w:color="auto" w:fill="auto"/>
          </w:tcPr>
          <w:p w14:paraId="4B224434" w14:textId="77777777" w:rsidR="00E9008A" w:rsidRPr="003A0C5C" w:rsidRDefault="00E9008A" w:rsidP="00313B2A">
            <w:pPr>
              <w:pStyle w:val="Tabletext"/>
              <w:keepNext/>
            </w:pPr>
            <w:r w:rsidRPr="003A0C5C">
              <w:t>Sweepers</w:t>
            </w:r>
          </w:p>
        </w:tc>
        <w:tc>
          <w:tcPr>
            <w:tcW w:w="1241" w:type="dxa"/>
            <w:tcBorders>
              <w:top w:val="nil"/>
              <w:bottom w:val="nil"/>
            </w:tcBorders>
            <w:shd w:val="clear" w:color="auto" w:fill="auto"/>
          </w:tcPr>
          <w:p w14:paraId="7C9F6850" w14:textId="77777777" w:rsidR="00E9008A" w:rsidRPr="003A0C5C" w:rsidRDefault="00E9008A" w:rsidP="00313B2A">
            <w:pPr>
              <w:pStyle w:val="Tabletext"/>
              <w:jc w:val="center"/>
            </w:pPr>
            <w:r w:rsidRPr="003A0C5C">
              <w:t>85</w:t>
            </w:r>
          </w:p>
        </w:tc>
        <w:tc>
          <w:tcPr>
            <w:tcW w:w="959" w:type="dxa"/>
            <w:tcBorders>
              <w:top w:val="nil"/>
              <w:bottom w:val="nil"/>
            </w:tcBorders>
            <w:shd w:val="clear" w:color="auto" w:fill="auto"/>
          </w:tcPr>
          <w:p w14:paraId="0A71B4B6" w14:textId="77777777" w:rsidR="00E9008A" w:rsidRPr="003A0C5C" w:rsidRDefault="00E9008A" w:rsidP="00313B2A">
            <w:pPr>
              <w:pStyle w:val="Tabletext"/>
              <w:jc w:val="center"/>
            </w:pPr>
            <w:r w:rsidRPr="003A0C5C">
              <w:t>1</w:t>
            </w:r>
          </w:p>
        </w:tc>
        <w:tc>
          <w:tcPr>
            <w:tcW w:w="613" w:type="dxa"/>
            <w:vMerge/>
            <w:shd w:val="clear" w:color="auto" w:fill="auto"/>
          </w:tcPr>
          <w:p w14:paraId="472E501B" w14:textId="77777777" w:rsidR="00E9008A" w:rsidRPr="003A0C5C" w:rsidRDefault="00E9008A" w:rsidP="00313B2A">
            <w:pPr>
              <w:pStyle w:val="Tabletext"/>
              <w:jc w:val="center"/>
            </w:pPr>
          </w:p>
        </w:tc>
        <w:tc>
          <w:tcPr>
            <w:tcW w:w="720" w:type="dxa"/>
            <w:gridSpan w:val="2"/>
            <w:vMerge/>
            <w:shd w:val="clear" w:color="auto" w:fill="auto"/>
          </w:tcPr>
          <w:p w14:paraId="56C3F92B" w14:textId="77777777" w:rsidR="00E9008A" w:rsidRPr="003A0C5C" w:rsidRDefault="00E9008A" w:rsidP="00313B2A">
            <w:pPr>
              <w:pStyle w:val="Tabletext"/>
              <w:jc w:val="center"/>
            </w:pPr>
          </w:p>
        </w:tc>
        <w:tc>
          <w:tcPr>
            <w:tcW w:w="870" w:type="dxa"/>
            <w:gridSpan w:val="3"/>
            <w:vMerge/>
            <w:shd w:val="clear" w:color="auto" w:fill="auto"/>
          </w:tcPr>
          <w:p w14:paraId="373ACCE6" w14:textId="77777777" w:rsidR="00E9008A" w:rsidRPr="003A0C5C" w:rsidRDefault="00E9008A" w:rsidP="00313B2A">
            <w:pPr>
              <w:pStyle w:val="Tabletext"/>
              <w:jc w:val="center"/>
            </w:pPr>
          </w:p>
        </w:tc>
        <w:tc>
          <w:tcPr>
            <w:tcW w:w="660" w:type="dxa"/>
            <w:vMerge/>
            <w:shd w:val="clear" w:color="auto" w:fill="auto"/>
          </w:tcPr>
          <w:p w14:paraId="65D36B12" w14:textId="77777777" w:rsidR="00E9008A" w:rsidRPr="003A0C5C" w:rsidRDefault="00E9008A" w:rsidP="00313B2A">
            <w:pPr>
              <w:pStyle w:val="Tabletext"/>
              <w:jc w:val="center"/>
            </w:pPr>
          </w:p>
        </w:tc>
      </w:tr>
      <w:tr w:rsidR="003A0C5C" w:rsidRPr="003A0C5C" w14:paraId="30D3CD7B" w14:textId="77777777" w:rsidTr="00313B2A">
        <w:trPr>
          <w:cantSplit/>
        </w:trPr>
        <w:tc>
          <w:tcPr>
            <w:tcW w:w="2857" w:type="dxa"/>
            <w:tcBorders>
              <w:top w:val="nil"/>
              <w:bottom w:val="nil"/>
            </w:tcBorders>
            <w:shd w:val="clear" w:color="auto" w:fill="auto"/>
          </w:tcPr>
          <w:p w14:paraId="1D6D2F91" w14:textId="77777777" w:rsidR="00ED505C" w:rsidRPr="003A0C5C" w:rsidRDefault="00ED505C" w:rsidP="00ED505C">
            <w:pPr>
              <w:pStyle w:val="Tabletext"/>
              <w:keepNext/>
            </w:pPr>
            <w:r w:rsidRPr="003A0C5C">
              <w:t>Dumpers/Tenders</w:t>
            </w:r>
          </w:p>
        </w:tc>
        <w:tc>
          <w:tcPr>
            <w:tcW w:w="1241" w:type="dxa"/>
            <w:tcBorders>
              <w:top w:val="nil"/>
              <w:bottom w:val="nil"/>
            </w:tcBorders>
            <w:shd w:val="clear" w:color="auto" w:fill="auto"/>
          </w:tcPr>
          <w:p w14:paraId="00C69071" w14:textId="77777777" w:rsidR="00ED505C" w:rsidRPr="003A0C5C" w:rsidRDefault="00ED505C" w:rsidP="00ED505C">
            <w:pPr>
              <w:pStyle w:val="Tabletext"/>
              <w:jc w:val="center"/>
            </w:pPr>
            <w:r w:rsidRPr="003A0C5C">
              <w:t>84</w:t>
            </w:r>
          </w:p>
        </w:tc>
        <w:tc>
          <w:tcPr>
            <w:tcW w:w="959" w:type="dxa"/>
            <w:tcBorders>
              <w:top w:val="nil"/>
              <w:bottom w:val="nil"/>
            </w:tcBorders>
            <w:shd w:val="clear" w:color="auto" w:fill="auto"/>
          </w:tcPr>
          <w:p w14:paraId="5C9FEC75" w14:textId="77777777" w:rsidR="00ED505C" w:rsidRPr="003A0C5C" w:rsidRDefault="00ED505C" w:rsidP="00ED505C">
            <w:pPr>
              <w:pStyle w:val="Tabletext"/>
              <w:jc w:val="center"/>
            </w:pPr>
            <w:r w:rsidRPr="003A0C5C">
              <w:t>2</w:t>
            </w:r>
          </w:p>
        </w:tc>
        <w:tc>
          <w:tcPr>
            <w:tcW w:w="613" w:type="dxa"/>
            <w:vMerge w:val="restart"/>
            <w:shd w:val="clear" w:color="auto" w:fill="auto"/>
          </w:tcPr>
          <w:p w14:paraId="7E3F2130" w14:textId="5FB25E15" w:rsidR="00ED505C" w:rsidRPr="003A0C5C" w:rsidRDefault="00ED505C" w:rsidP="00ED505C">
            <w:pPr>
              <w:pStyle w:val="Tabletext"/>
              <w:jc w:val="center"/>
            </w:pPr>
            <w:r w:rsidRPr="003A0C5C">
              <w:t>74</w:t>
            </w:r>
          </w:p>
        </w:tc>
        <w:tc>
          <w:tcPr>
            <w:tcW w:w="720" w:type="dxa"/>
            <w:gridSpan w:val="2"/>
            <w:vMerge w:val="restart"/>
            <w:shd w:val="clear" w:color="auto" w:fill="auto"/>
          </w:tcPr>
          <w:p w14:paraId="56E92E30" w14:textId="58D02205" w:rsidR="00ED505C" w:rsidRPr="003A0C5C" w:rsidRDefault="00ED505C" w:rsidP="00ED505C">
            <w:pPr>
              <w:pStyle w:val="Tabletext"/>
              <w:jc w:val="center"/>
            </w:pPr>
            <w:r w:rsidRPr="003A0C5C">
              <w:t>71</w:t>
            </w:r>
          </w:p>
        </w:tc>
        <w:tc>
          <w:tcPr>
            <w:tcW w:w="870" w:type="dxa"/>
            <w:gridSpan w:val="3"/>
            <w:vMerge w:val="restart"/>
            <w:shd w:val="clear" w:color="auto" w:fill="auto"/>
          </w:tcPr>
          <w:p w14:paraId="4A9DDC1A" w14:textId="43B60437" w:rsidR="00ED505C" w:rsidRPr="003A0C5C" w:rsidRDefault="00ED505C" w:rsidP="00ED505C">
            <w:pPr>
              <w:pStyle w:val="Tabletext"/>
              <w:jc w:val="center"/>
            </w:pPr>
            <w:r w:rsidRPr="003A0C5C">
              <w:t>73</w:t>
            </w:r>
          </w:p>
        </w:tc>
        <w:tc>
          <w:tcPr>
            <w:tcW w:w="660" w:type="dxa"/>
            <w:vMerge w:val="restart"/>
            <w:shd w:val="clear" w:color="auto" w:fill="auto"/>
          </w:tcPr>
          <w:p w14:paraId="2511A42B" w14:textId="38CC891F" w:rsidR="00ED505C" w:rsidRPr="003A0C5C" w:rsidRDefault="00ED505C" w:rsidP="00ED505C">
            <w:pPr>
              <w:pStyle w:val="Tabletext"/>
              <w:jc w:val="center"/>
            </w:pPr>
            <w:r w:rsidRPr="003A0C5C">
              <w:t>67</w:t>
            </w:r>
          </w:p>
        </w:tc>
      </w:tr>
      <w:tr w:rsidR="003A0C5C" w:rsidRPr="003A0C5C" w14:paraId="0E10BE5D" w14:textId="77777777" w:rsidTr="00313B2A">
        <w:trPr>
          <w:cantSplit/>
        </w:trPr>
        <w:tc>
          <w:tcPr>
            <w:tcW w:w="2857" w:type="dxa"/>
            <w:tcBorders>
              <w:top w:val="nil"/>
              <w:bottom w:val="nil"/>
            </w:tcBorders>
            <w:shd w:val="clear" w:color="auto" w:fill="auto"/>
          </w:tcPr>
          <w:p w14:paraId="487EA294" w14:textId="77777777" w:rsidR="00E9008A" w:rsidRPr="003A0C5C" w:rsidRDefault="00E9008A" w:rsidP="00313B2A">
            <w:pPr>
              <w:pStyle w:val="Tabletext"/>
              <w:keepNext/>
            </w:pPr>
            <w:r w:rsidRPr="003A0C5C">
              <w:t>Generator</w:t>
            </w:r>
          </w:p>
        </w:tc>
        <w:tc>
          <w:tcPr>
            <w:tcW w:w="1241" w:type="dxa"/>
            <w:tcBorders>
              <w:top w:val="nil"/>
              <w:bottom w:val="nil"/>
            </w:tcBorders>
            <w:shd w:val="clear" w:color="auto" w:fill="auto"/>
          </w:tcPr>
          <w:p w14:paraId="3D2FD8C3" w14:textId="77777777" w:rsidR="00E9008A" w:rsidRPr="003A0C5C" w:rsidRDefault="00E9008A" w:rsidP="00313B2A">
            <w:pPr>
              <w:pStyle w:val="Tabletext"/>
              <w:jc w:val="center"/>
            </w:pPr>
            <w:r w:rsidRPr="003A0C5C">
              <w:t>82</w:t>
            </w:r>
          </w:p>
        </w:tc>
        <w:tc>
          <w:tcPr>
            <w:tcW w:w="959" w:type="dxa"/>
            <w:tcBorders>
              <w:top w:val="nil"/>
              <w:bottom w:val="nil"/>
            </w:tcBorders>
            <w:shd w:val="clear" w:color="auto" w:fill="auto"/>
          </w:tcPr>
          <w:p w14:paraId="6F9B983D" w14:textId="77777777" w:rsidR="00E9008A" w:rsidRPr="003A0C5C" w:rsidRDefault="00E9008A" w:rsidP="00313B2A">
            <w:pPr>
              <w:pStyle w:val="Tabletext"/>
              <w:jc w:val="center"/>
            </w:pPr>
            <w:r w:rsidRPr="003A0C5C">
              <w:t>1</w:t>
            </w:r>
          </w:p>
        </w:tc>
        <w:tc>
          <w:tcPr>
            <w:tcW w:w="613" w:type="dxa"/>
            <w:vMerge/>
            <w:shd w:val="clear" w:color="auto" w:fill="auto"/>
          </w:tcPr>
          <w:p w14:paraId="3F2C4F7A" w14:textId="77777777" w:rsidR="00E9008A" w:rsidRPr="003A0C5C" w:rsidRDefault="00E9008A" w:rsidP="00313B2A">
            <w:pPr>
              <w:pStyle w:val="Tabletext"/>
            </w:pPr>
          </w:p>
        </w:tc>
        <w:tc>
          <w:tcPr>
            <w:tcW w:w="720" w:type="dxa"/>
            <w:gridSpan w:val="2"/>
            <w:vMerge/>
            <w:shd w:val="clear" w:color="auto" w:fill="auto"/>
          </w:tcPr>
          <w:p w14:paraId="21F1C3C7" w14:textId="77777777" w:rsidR="00E9008A" w:rsidRPr="003A0C5C" w:rsidRDefault="00E9008A" w:rsidP="00313B2A">
            <w:pPr>
              <w:pStyle w:val="Tabletext"/>
            </w:pPr>
          </w:p>
        </w:tc>
        <w:tc>
          <w:tcPr>
            <w:tcW w:w="870" w:type="dxa"/>
            <w:gridSpan w:val="3"/>
            <w:vMerge/>
            <w:shd w:val="clear" w:color="auto" w:fill="auto"/>
          </w:tcPr>
          <w:p w14:paraId="52F07592" w14:textId="77777777" w:rsidR="00E9008A" w:rsidRPr="003A0C5C" w:rsidRDefault="00E9008A" w:rsidP="00313B2A">
            <w:pPr>
              <w:pStyle w:val="Tabletext"/>
            </w:pPr>
          </w:p>
        </w:tc>
        <w:tc>
          <w:tcPr>
            <w:tcW w:w="660" w:type="dxa"/>
            <w:vMerge/>
            <w:shd w:val="clear" w:color="auto" w:fill="auto"/>
          </w:tcPr>
          <w:p w14:paraId="6DDB386E" w14:textId="77777777" w:rsidR="00E9008A" w:rsidRPr="003A0C5C" w:rsidRDefault="00E9008A" w:rsidP="00313B2A">
            <w:pPr>
              <w:pStyle w:val="Tabletext"/>
            </w:pPr>
          </w:p>
        </w:tc>
      </w:tr>
      <w:tr w:rsidR="003A0C5C" w:rsidRPr="003A0C5C" w14:paraId="20A46BAC" w14:textId="77777777" w:rsidTr="00313B2A">
        <w:trPr>
          <w:cantSplit/>
        </w:trPr>
        <w:tc>
          <w:tcPr>
            <w:tcW w:w="2857" w:type="dxa"/>
            <w:tcBorders>
              <w:top w:val="nil"/>
              <w:bottom w:val="nil"/>
            </w:tcBorders>
            <w:shd w:val="clear" w:color="auto" w:fill="auto"/>
          </w:tcPr>
          <w:p w14:paraId="3363A691" w14:textId="77777777" w:rsidR="00E9008A" w:rsidRPr="003A0C5C" w:rsidRDefault="00E9008A" w:rsidP="00313B2A">
            <w:pPr>
              <w:pStyle w:val="Tabletext"/>
              <w:keepNext/>
            </w:pPr>
            <w:r w:rsidRPr="003A0C5C">
              <w:t>Excavator</w:t>
            </w:r>
          </w:p>
        </w:tc>
        <w:tc>
          <w:tcPr>
            <w:tcW w:w="1241" w:type="dxa"/>
            <w:tcBorders>
              <w:top w:val="nil"/>
              <w:bottom w:val="nil"/>
            </w:tcBorders>
            <w:shd w:val="clear" w:color="auto" w:fill="auto"/>
          </w:tcPr>
          <w:p w14:paraId="10F9C5AC" w14:textId="77777777" w:rsidR="00E9008A" w:rsidRPr="003A0C5C" w:rsidRDefault="00E9008A" w:rsidP="00313B2A">
            <w:pPr>
              <w:pStyle w:val="Tabletext"/>
              <w:jc w:val="center"/>
            </w:pPr>
            <w:r w:rsidRPr="003A0C5C">
              <w:t>85</w:t>
            </w:r>
          </w:p>
        </w:tc>
        <w:tc>
          <w:tcPr>
            <w:tcW w:w="959" w:type="dxa"/>
            <w:tcBorders>
              <w:top w:val="nil"/>
              <w:bottom w:val="nil"/>
            </w:tcBorders>
            <w:shd w:val="clear" w:color="auto" w:fill="auto"/>
          </w:tcPr>
          <w:p w14:paraId="5921056A" w14:textId="77777777" w:rsidR="00E9008A" w:rsidRPr="003A0C5C" w:rsidRDefault="00E9008A" w:rsidP="00313B2A">
            <w:pPr>
              <w:pStyle w:val="Tabletext"/>
              <w:jc w:val="center"/>
            </w:pPr>
            <w:r w:rsidRPr="003A0C5C">
              <w:t>1</w:t>
            </w:r>
          </w:p>
        </w:tc>
        <w:tc>
          <w:tcPr>
            <w:tcW w:w="613" w:type="dxa"/>
            <w:vMerge/>
            <w:shd w:val="clear" w:color="auto" w:fill="auto"/>
          </w:tcPr>
          <w:p w14:paraId="62D99A9B" w14:textId="77777777" w:rsidR="00E9008A" w:rsidRPr="003A0C5C" w:rsidRDefault="00E9008A" w:rsidP="00313B2A">
            <w:pPr>
              <w:pStyle w:val="Tabletext"/>
            </w:pPr>
          </w:p>
        </w:tc>
        <w:tc>
          <w:tcPr>
            <w:tcW w:w="720" w:type="dxa"/>
            <w:gridSpan w:val="2"/>
            <w:vMerge/>
            <w:shd w:val="clear" w:color="auto" w:fill="auto"/>
          </w:tcPr>
          <w:p w14:paraId="510D2A1D" w14:textId="77777777" w:rsidR="00E9008A" w:rsidRPr="003A0C5C" w:rsidRDefault="00E9008A" w:rsidP="00313B2A">
            <w:pPr>
              <w:pStyle w:val="Tabletext"/>
            </w:pPr>
          </w:p>
        </w:tc>
        <w:tc>
          <w:tcPr>
            <w:tcW w:w="870" w:type="dxa"/>
            <w:gridSpan w:val="3"/>
            <w:vMerge/>
            <w:shd w:val="clear" w:color="auto" w:fill="auto"/>
          </w:tcPr>
          <w:p w14:paraId="01157367" w14:textId="77777777" w:rsidR="00E9008A" w:rsidRPr="003A0C5C" w:rsidRDefault="00E9008A" w:rsidP="00313B2A">
            <w:pPr>
              <w:pStyle w:val="Tabletext"/>
            </w:pPr>
          </w:p>
        </w:tc>
        <w:tc>
          <w:tcPr>
            <w:tcW w:w="660" w:type="dxa"/>
            <w:vMerge/>
            <w:shd w:val="clear" w:color="auto" w:fill="auto"/>
          </w:tcPr>
          <w:p w14:paraId="2EF8FA3B" w14:textId="77777777" w:rsidR="00E9008A" w:rsidRPr="003A0C5C" w:rsidRDefault="00E9008A" w:rsidP="00313B2A">
            <w:pPr>
              <w:pStyle w:val="Tabletext"/>
            </w:pPr>
          </w:p>
        </w:tc>
      </w:tr>
      <w:tr w:rsidR="003A0C5C" w:rsidRPr="003A0C5C" w14:paraId="04FEAF61" w14:textId="77777777" w:rsidTr="00313B2A">
        <w:trPr>
          <w:cantSplit/>
        </w:trPr>
        <w:tc>
          <w:tcPr>
            <w:tcW w:w="2857" w:type="dxa"/>
            <w:tcBorders>
              <w:top w:val="nil"/>
              <w:bottom w:val="nil"/>
            </w:tcBorders>
            <w:shd w:val="clear" w:color="auto" w:fill="auto"/>
          </w:tcPr>
          <w:p w14:paraId="5EC37A57" w14:textId="77777777" w:rsidR="00E9008A" w:rsidRPr="003A0C5C" w:rsidRDefault="00E9008A" w:rsidP="00313B2A">
            <w:pPr>
              <w:pStyle w:val="Tabletext"/>
              <w:keepNext/>
            </w:pPr>
            <w:r w:rsidRPr="003A0C5C">
              <w:t>Backhoes</w:t>
            </w:r>
          </w:p>
        </w:tc>
        <w:tc>
          <w:tcPr>
            <w:tcW w:w="1241" w:type="dxa"/>
            <w:tcBorders>
              <w:top w:val="nil"/>
              <w:bottom w:val="nil"/>
            </w:tcBorders>
            <w:shd w:val="clear" w:color="auto" w:fill="auto"/>
          </w:tcPr>
          <w:p w14:paraId="0C393D6E" w14:textId="77777777" w:rsidR="00E9008A" w:rsidRPr="003A0C5C" w:rsidRDefault="00E9008A" w:rsidP="00313B2A">
            <w:pPr>
              <w:pStyle w:val="Tabletext"/>
              <w:jc w:val="center"/>
            </w:pPr>
            <w:r w:rsidRPr="003A0C5C">
              <w:t>80</w:t>
            </w:r>
          </w:p>
        </w:tc>
        <w:tc>
          <w:tcPr>
            <w:tcW w:w="959" w:type="dxa"/>
            <w:tcBorders>
              <w:top w:val="nil"/>
              <w:bottom w:val="nil"/>
            </w:tcBorders>
            <w:shd w:val="clear" w:color="auto" w:fill="auto"/>
          </w:tcPr>
          <w:p w14:paraId="0AF64A47" w14:textId="77777777" w:rsidR="00E9008A" w:rsidRPr="003A0C5C" w:rsidRDefault="00E9008A" w:rsidP="00313B2A">
            <w:pPr>
              <w:pStyle w:val="Tabletext"/>
              <w:jc w:val="center"/>
            </w:pPr>
            <w:r w:rsidRPr="003A0C5C">
              <w:t>1</w:t>
            </w:r>
          </w:p>
        </w:tc>
        <w:tc>
          <w:tcPr>
            <w:tcW w:w="613" w:type="dxa"/>
            <w:vMerge/>
            <w:tcBorders>
              <w:bottom w:val="nil"/>
            </w:tcBorders>
            <w:shd w:val="clear" w:color="auto" w:fill="auto"/>
          </w:tcPr>
          <w:p w14:paraId="258C4ACE" w14:textId="77777777" w:rsidR="00E9008A" w:rsidRPr="003A0C5C" w:rsidRDefault="00E9008A" w:rsidP="00313B2A">
            <w:pPr>
              <w:pStyle w:val="Tabletext"/>
            </w:pPr>
          </w:p>
        </w:tc>
        <w:tc>
          <w:tcPr>
            <w:tcW w:w="720" w:type="dxa"/>
            <w:gridSpan w:val="2"/>
            <w:vMerge/>
            <w:tcBorders>
              <w:bottom w:val="nil"/>
            </w:tcBorders>
            <w:shd w:val="clear" w:color="auto" w:fill="auto"/>
          </w:tcPr>
          <w:p w14:paraId="121E7F7B" w14:textId="77777777" w:rsidR="00E9008A" w:rsidRPr="003A0C5C" w:rsidRDefault="00E9008A" w:rsidP="00313B2A">
            <w:pPr>
              <w:pStyle w:val="Tabletext"/>
            </w:pPr>
          </w:p>
        </w:tc>
        <w:tc>
          <w:tcPr>
            <w:tcW w:w="870" w:type="dxa"/>
            <w:gridSpan w:val="3"/>
            <w:vMerge/>
            <w:tcBorders>
              <w:bottom w:val="nil"/>
            </w:tcBorders>
            <w:shd w:val="clear" w:color="auto" w:fill="auto"/>
          </w:tcPr>
          <w:p w14:paraId="370D3F77" w14:textId="77777777" w:rsidR="00E9008A" w:rsidRPr="003A0C5C" w:rsidRDefault="00E9008A" w:rsidP="00313B2A">
            <w:pPr>
              <w:pStyle w:val="Tabletext"/>
            </w:pPr>
          </w:p>
        </w:tc>
        <w:tc>
          <w:tcPr>
            <w:tcW w:w="660" w:type="dxa"/>
            <w:vMerge/>
            <w:tcBorders>
              <w:bottom w:val="nil"/>
            </w:tcBorders>
            <w:shd w:val="clear" w:color="auto" w:fill="auto"/>
          </w:tcPr>
          <w:p w14:paraId="12489166" w14:textId="77777777" w:rsidR="00E9008A" w:rsidRPr="003A0C5C" w:rsidRDefault="00E9008A" w:rsidP="00313B2A">
            <w:pPr>
              <w:pStyle w:val="Tabletext"/>
            </w:pPr>
          </w:p>
        </w:tc>
      </w:tr>
      <w:tr w:rsidR="003A0C5C" w:rsidRPr="003A0C5C" w14:paraId="02DD5422" w14:textId="77777777" w:rsidTr="00313B2A">
        <w:trPr>
          <w:cantSplit/>
        </w:trPr>
        <w:tc>
          <w:tcPr>
            <w:tcW w:w="7920" w:type="dxa"/>
            <w:gridSpan w:val="10"/>
            <w:tcBorders>
              <w:top w:val="nil"/>
              <w:bottom w:val="nil"/>
            </w:tcBorders>
            <w:shd w:val="clear" w:color="auto" w:fill="D9D9D9" w:themeFill="background1" w:themeFillShade="D9"/>
            <w:hideMark/>
          </w:tcPr>
          <w:p w14:paraId="399ACDFE" w14:textId="77777777" w:rsidR="00E9008A" w:rsidRPr="003A0C5C" w:rsidRDefault="00E9008A" w:rsidP="00313B2A">
            <w:pPr>
              <w:pStyle w:val="Tablerowheading"/>
            </w:pPr>
            <w:r w:rsidRPr="003A0C5C">
              <w:t>Grading/Excavation</w:t>
            </w:r>
          </w:p>
        </w:tc>
      </w:tr>
      <w:tr w:rsidR="003A0C5C" w:rsidRPr="003A0C5C" w14:paraId="490A5D60" w14:textId="77777777" w:rsidTr="00313B2A">
        <w:trPr>
          <w:cantSplit/>
        </w:trPr>
        <w:tc>
          <w:tcPr>
            <w:tcW w:w="2857" w:type="dxa"/>
            <w:tcBorders>
              <w:top w:val="nil"/>
              <w:bottom w:val="nil"/>
            </w:tcBorders>
            <w:shd w:val="clear" w:color="auto" w:fill="auto"/>
            <w:hideMark/>
          </w:tcPr>
          <w:p w14:paraId="7FF13B12" w14:textId="77777777" w:rsidR="00E9008A" w:rsidRPr="003A0C5C" w:rsidRDefault="00E9008A" w:rsidP="00313B2A">
            <w:pPr>
              <w:pStyle w:val="Tabletext"/>
              <w:keepNext/>
            </w:pPr>
            <w:r w:rsidRPr="003A0C5C">
              <w:t>Excavator</w:t>
            </w:r>
          </w:p>
        </w:tc>
        <w:tc>
          <w:tcPr>
            <w:tcW w:w="1241" w:type="dxa"/>
            <w:tcBorders>
              <w:top w:val="nil"/>
              <w:bottom w:val="nil"/>
            </w:tcBorders>
            <w:shd w:val="clear" w:color="auto" w:fill="auto"/>
            <w:hideMark/>
          </w:tcPr>
          <w:p w14:paraId="64740D83" w14:textId="77777777" w:rsidR="00E9008A" w:rsidRPr="003A0C5C" w:rsidRDefault="00E9008A" w:rsidP="00313B2A">
            <w:pPr>
              <w:pStyle w:val="Tabletext"/>
              <w:jc w:val="center"/>
            </w:pPr>
            <w:r w:rsidRPr="003A0C5C">
              <w:t>85</w:t>
            </w:r>
          </w:p>
        </w:tc>
        <w:tc>
          <w:tcPr>
            <w:tcW w:w="959" w:type="dxa"/>
            <w:tcBorders>
              <w:top w:val="nil"/>
              <w:bottom w:val="nil"/>
            </w:tcBorders>
            <w:shd w:val="clear" w:color="auto" w:fill="auto"/>
            <w:hideMark/>
          </w:tcPr>
          <w:p w14:paraId="5337419E" w14:textId="77777777" w:rsidR="00E9008A" w:rsidRPr="003A0C5C" w:rsidRDefault="00E9008A" w:rsidP="00313B2A">
            <w:pPr>
              <w:pStyle w:val="Tabletext"/>
              <w:jc w:val="center"/>
            </w:pPr>
            <w:r w:rsidRPr="003A0C5C">
              <w:t>1</w:t>
            </w:r>
          </w:p>
        </w:tc>
        <w:tc>
          <w:tcPr>
            <w:tcW w:w="715" w:type="dxa"/>
            <w:gridSpan w:val="2"/>
            <w:tcBorders>
              <w:top w:val="nil"/>
            </w:tcBorders>
            <w:shd w:val="clear" w:color="auto" w:fill="auto"/>
          </w:tcPr>
          <w:p w14:paraId="09DD1AE0" w14:textId="77777777" w:rsidR="00E9008A" w:rsidRPr="003A0C5C" w:rsidDel="001B3D07" w:rsidRDefault="00E9008A" w:rsidP="00313B2A">
            <w:pPr>
              <w:pStyle w:val="Tabletext"/>
              <w:jc w:val="center"/>
            </w:pPr>
            <w:r w:rsidRPr="003A0C5C">
              <w:t>R1</w:t>
            </w:r>
          </w:p>
        </w:tc>
        <w:tc>
          <w:tcPr>
            <w:tcW w:w="716" w:type="dxa"/>
            <w:gridSpan w:val="2"/>
            <w:tcBorders>
              <w:top w:val="nil"/>
            </w:tcBorders>
            <w:shd w:val="clear" w:color="auto" w:fill="auto"/>
          </w:tcPr>
          <w:p w14:paraId="025CBA00" w14:textId="77777777" w:rsidR="00E9008A" w:rsidRPr="003A0C5C" w:rsidDel="001B3D07" w:rsidRDefault="00E9008A" w:rsidP="00313B2A">
            <w:pPr>
              <w:pStyle w:val="Tabletext"/>
              <w:jc w:val="center"/>
            </w:pPr>
            <w:r w:rsidRPr="003A0C5C">
              <w:t>R2</w:t>
            </w:r>
          </w:p>
        </w:tc>
        <w:tc>
          <w:tcPr>
            <w:tcW w:w="716" w:type="dxa"/>
            <w:tcBorders>
              <w:top w:val="nil"/>
            </w:tcBorders>
            <w:shd w:val="clear" w:color="auto" w:fill="auto"/>
          </w:tcPr>
          <w:p w14:paraId="3A585570" w14:textId="77777777" w:rsidR="00E9008A" w:rsidRPr="003A0C5C" w:rsidDel="001B3D07" w:rsidRDefault="00E9008A" w:rsidP="00313B2A">
            <w:pPr>
              <w:pStyle w:val="Tabletext"/>
              <w:jc w:val="center"/>
            </w:pPr>
            <w:r w:rsidRPr="003A0C5C">
              <w:t>R3</w:t>
            </w:r>
          </w:p>
        </w:tc>
        <w:tc>
          <w:tcPr>
            <w:tcW w:w="716" w:type="dxa"/>
            <w:gridSpan w:val="2"/>
            <w:tcBorders>
              <w:top w:val="nil"/>
            </w:tcBorders>
            <w:shd w:val="clear" w:color="auto" w:fill="auto"/>
          </w:tcPr>
          <w:p w14:paraId="69D26F72" w14:textId="77777777" w:rsidR="00E9008A" w:rsidRPr="003A0C5C" w:rsidDel="001B3D07" w:rsidRDefault="00E9008A" w:rsidP="00313B2A">
            <w:pPr>
              <w:pStyle w:val="Tabletext"/>
              <w:jc w:val="center"/>
            </w:pPr>
            <w:r w:rsidRPr="003A0C5C">
              <w:t>R4</w:t>
            </w:r>
          </w:p>
        </w:tc>
      </w:tr>
      <w:tr w:rsidR="003A0C5C" w:rsidRPr="003A0C5C" w14:paraId="605E19FC" w14:textId="77777777" w:rsidTr="00313B2A">
        <w:trPr>
          <w:cantSplit/>
        </w:trPr>
        <w:tc>
          <w:tcPr>
            <w:tcW w:w="2857" w:type="dxa"/>
            <w:tcBorders>
              <w:top w:val="nil"/>
              <w:bottom w:val="nil"/>
            </w:tcBorders>
            <w:shd w:val="clear" w:color="auto" w:fill="auto"/>
          </w:tcPr>
          <w:p w14:paraId="2DAD1A78" w14:textId="77777777" w:rsidR="00E9008A" w:rsidRPr="003A0C5C" w:rsidRDefault="00E9008A" w:rsidP="00313B2A">
            <w:pPr>
              <w:pStyle w:val="Tabletext"/>
              <w:keepNext/>
            </w:pPr>
            <w:r w:rsidRPr="003A0C5C">
              <w:t>Graders</w:t>
            </w:r>
          </w:p>
        </w:tc>
        <w:tc>
          <w:tcPr>
            <w:tcW w:w="1241" w:type="dxa"/>
            <w:tcBorders>
              <w:top w:val="nil"/>
              <w:bottom w:val="nil"/>
            </w:tcBorders>
            <w:shd w:val="clear" w:color="auto" w:fill="auto"/>
          </w:tcPr>
          <w:p w14:paraId="64DD4B54" w14:textId="77777777" w:rsidR="00E9008A" w:rsidRPr="003A0C5C" w:rsidRDefault="00E9008A" w:rsidP="00313B2A">
            <w:pPr>
              <w:pStyle w:val="Tabletext"/>
              <w:jc w:val="center"/>
            </w:pPr>
            <w:r w:rsidRPr="003A0C5C">
              <w:t>85</w:t>
            </w:r>
          </w:p>
        </w:tc>
        <w:tc>
          <w:tcPr>
            <w:tcW w:w="959" w:type="dxa"/>
            <w:tcBorders>
              <w:top w:val="nil"/>
              <w:bottom w:val="nil"/>
            </w:tcBorders>
            <w:shd w:val="clear" w:color="auto" w:fill="auto"/>
          </w:tcPr>
          <w:p w14:paraId="189FB846" w14:textId="77777777" w:rsidR="00E9008A" w:rsidRPr="003A0C5C" w:rsidRDefault="00E9008A" w:rsidP="00313B2A">
            <w:pPr>
              <w:pStyle w:val="Tabletext"/>
              <w:jc w:val="center"/>
            </w:pPr>
            <w:r w:rsidRPr="003A0C5C">
              <w:t>1</w:t>
            </w:r>
          </w:p>
        </w:tc>
        <w:tc>
          <w:tcPr>
            <w:tcW w:w="715" w:type="dxa"/>
            <w:gridSpan w:val="2"/>
            <w:shd w:val="clear" w:color="auto" w:fill="auto"/>
          </w:tcPr>
          <w:p w14:paraId="426D1857" w14:textId="77777777" w:rsidR="00E9008A" w:rsidRPr="003A0C5C" w:rsidRDefault="00E9008A" w:rsidP="00313B2A">
            <w:pPr>
              <w:pStyle w:val="Tabletext"/>
              <w:jc w:val="center"/>
            </w:pPr>
          </w:p>
        </w:tc>
        <w:tc>
          <w:tcPr>
            <w:tcW w:w="716" w:type="dxa"/>
            <w:gridSpan w:val="2"/>
            <w:shd w:val="clear" w:color="auto" w:fill="auto"/>
          </w:tcPr>
          <w:p w14:paraId="6E4BA34F" w14:textId="77777777" w:rsidR="00E9008A" w:rsidRPr="003A0C5C" w:rsidRDefault="00E9008A" w:rsidP="00313B2A">
            <w:pPr>
              <w:pStyle w:val="Tabletext"/>
              <w:jc w:val="center"/>
            </w:pPr>
          </w:p>
        </w:tc>
        <w:tc>
          <w:tcPr>
            <w:tcW w:w="716" w:type="dxa"/>
            <w:shd w:val="clear" w:color="auto" w:fill="auto"/>
          </w:tcPr>
          <w:p w14:paraId="66C50881" w14:textId="77777777" w:rsidR="00E9008A" w:rsidRPr="003A0C5C" w:rsidRDefault="00E9008A" w:rsidP="00313B2A">
            <w:pPr>
              <w:pStyle w:val="Tabletext"/>
              <w:jc w:val="center"/>
            </w:pPr>
          </w:p>
        </w:tc>
        <w:tc>
          <w:tcPr>
            <w:tcW w:w="716" w:type="dxa"/>
            <w:gridSpan w:val="2"/>
            <w:shd w:val="clear" w:color="auto" w:fill="auto"/>
          </w:tcPr>
          <w:p w14:paraId="2FE431FA" w14:textId="77777777" w:rsidR="00E9008A" w:rsidRPr="003A0C5C" w:rsidRDefault="00E9008A" w:rsidP="00313B2A">
            <w:pPr>
              <w:pStyle w:val="Tabletext"/>
              <w:jc w:val="center"/>
            </w:pPr>
          </w:p>
        </w:tc>
      </w:tr>
      <w:tr w:rsidR="003A0C5C" w:rsidRPr="003A0C5C" w14:paraId="15D3A806" w14:textId="77777777" w:rsidTr="00313B2A">
        <w:trPr>
          <w:cantSplit/>
        </w:trPr>
        <w:tc>
          <w:tcPr>
            <w:tcW w:w="2857" w:type="dxa"/>
            <w:tcBorders>
              <w:top w:val="nil"/>
              <w:bottom w:val="nil"/>
            </w:tcBorders>
            <w:shd w:val="clear" w:color="auto" w:fill="auto"/>
          </w:tcPr>
          <w:p w14:paraId="1517D468" w14:textId="77777777" w:rsidR="00E9008A" w:rsidRPr="003A0C5C" w:rsidRDefault="00E9008A" w:rsidP="00313B2A">
            <w:pPr>
              <w:pStyle w:val="Tabletext"/>
              <w:keepNext/>
            </w:pPr>
            <w:r w:rsidRPr="003A0C5C">
              <w:t>Loaders</w:t>
            </w:r>
          </w:p>
        </w:tc>
        <w:tc>
          <w:tcPr>
            <w:tcW w:w="1241" w:type="dxa"/>
            <w:tcBorders>
              <w:top w:val="nil"/>
              <w:bottom w:val="nil"/>
            </w:tcBorders>
            <w:shd w:val="clear" w:color="auto" w:fill="auto"/>
          </w:tcPr>
          <w:p w14:paraId="4E3C56EC" w14:textId="77777777" w:rsidR="00E9008A" w:rsidRPr="003A0C5C" w:rsidRDefault="00E9008A" w:rsidP="00313B2A">
            <w:pPr>
              <w:pStyle w:val="Tabletext"/>
              <w:jc w:val="center"/>
            </w:pPr>
            <w:r w:rsidRPr="003A0C5C">
              <w:t>80</w:t>
            </w:r>
          </w:p>
        </w:tc>
        <w:tc>
          <w:tcPr>
            <w:tcW w:w="959" w:type="dxa"/>
            <w:tcBorders>
              <w:top w:val="nil"/>
              <w:bottom w:val="nil"/>
            </w:tcBorders>
            <w:shd w:val="clear" w:color="auto" w:fill="auto"/>
          </w:tcPr>
          <w:p w14:paraId="7BDF7DF6" w14:textId="77777777" w:rsidR="00E9008A" w:rsidRPr="003A0C5C" w:rsidRDefault="00E9008A" w:rsidP="00313B2A">
            <w:pPr>
              <w:pStyle w:val="Tabletext"/>
              <w:jc w:val="center"/>
            </w:pPr>
            <w:r w:rsidRPr="003A0C5C">
              <w:t>2</w:t>
            </w:r>
          </w:p>
        </w:tc>
        <w:tc>
          <w:tcPr>
            <w:tcW w:w="715" w:type="dxa"/>
            <w:gridSpan w:val="2"/>
            <w:shd w:val="clear" w:color="auto" w:fill="auto"/>
          </w:tcPr>
          <w:p w14:paraId="47F04B97" w14:textId="77777777" w:rsidR="00E9008A" w:rsidRPr="003A0C5C" w:rsidRDefault="00E9008A" w:rsidP="00313B2A">
            <w:pPr>
              <w:pStyle w:val="Tabletext"/>
              <w:jc w:val="center"/>
            </w:pPr>
          </w:p>
        </w:tc>
        <w:tc>
          <w:tcPr>
            <w:tcW w:w="716" w:type="dxa"/>
            <w:gridSpan w:val="2"/>
            <w:shd w:val="clear" w:color="auto" w:fill="auto"/>
          </w:tcPr>
          <w:p w14:paraId="6890B832" w14:textId="77777777" w:rsidR="00E9008A" w:rsidRPr="003A0C5C" w:rsidRDefault="00E9008A" w:rsidP="00313B2A">
            <w:pPr>
              <w:pStyle w:val="Tabletext"/>
              <w:jc w:val="center"/>
            </w:pPr>
          </w:p>
        </w:tc>
        <w:tc>
          <w:tcPr>
            <w:tcW w:w="716" w:type="dxa"/>
            <w:shd w:val="clear" w:color="auto" w:fill="auto"/>
          </w:tcPr>
          <w:p w14:paraId="12F735ED" w14:textId="77777777" w:rsidR="00E9008A" w:rsidRPr="003A0C5C" w:rsidRDefault="00E9008A" w:rsidP="00313B2A">
            <w:pPr>
              <w:pStyle w:val="Tabletext"/>
              <w:jc w:val="center"/>
            </w:pPr>
          </w:p>
        </w:tc>
        <w:tc>
          <w:tcPr>
            <w:tcW w:w="716" w:type="dxa"/>
            <w:gridSpan w:val="2"/>
            <w:shd w:val="clear" w:color="auto" w:fill="auto"/>
          </w:tcPr>
          <w:p w14:paraId="30DC7DD2" w14:textId="77777777" w:rsidR="00E9008A" w:rsidRPr="003A0C5C" w:rsidRDefault="00E9008A" w:rsidP="00313B2A">
            <w:pPr>
              <w:pStyle w:val="Tabletext"/>
              <w:jc w:val="center"/>
            </w:pPr>
          </w:p>
        </w:tc>
      </w:tr>
      <w:tr w:rsidR="003A0C5C" w:rsidRPr="003A0C5C" w14:paraId="27D3EB8C" w14:textId="77777777" w:rsidTr="00313B2A">
        <w:trPr>
          <w:cantSplit/>
        </w:trPr>
        <w:tc>
          <w:tcPr>
            <w:tcW w:w="2857" w:type="dxa"/>
            <w:tcBorders>
              <w:top w:val="nil"/>
              <w:bottom w:val="nil"/>
            </w:tcBorders>
            <w:shd w:val="clear" w:color="auto" w:fill="auto"/>
          </w:tcPr>
          <w:p w14:paraId="73E1B3A3" w14:textId="77777777" w:rsidR="00E9008A" w:rsidRPr="003A0C5C" w:rsidRDefault="00E9008A" w:rsidP="00313B2A">
            <w:pPr>
              <w:pStyle w:val="Tabletext"/>
              <w:keepNext/>
            </w:pPr>
            <w:r w:rsidRPr="003A0C5C">
              <w:t>Rollers</w:t>
            </w:r>
          </w:p>
        </w:tc>
        <w:tc>
          <w:tcPr>
            <w:tcW w:w="1241" w:type="dxa"/>
            <w:tcBorders>
              <w:top w:val="nil"/>
              <w:bottom w:val="nil"/>
            </w:tcBorders>
            <w:shd w:val="clear" w:color="auto" w:fill="auto"/>
          </w:tcPr>
          <w:p w14:paraId="34B55CAA" w14:textId="77777777" w:rsidR="00E9008A" w:rsidRPr="003A0C5C" w:rsidRDefault="00E9008A" w:rsidP="00313B2A">
            <w:pPr>
              <w:pStyle w:val="Tabletext"/>
              <w:jc w:val="center"/>
            </w:pPr>
            <w:r w:rsidRPr="003A0C5C">
              <w:t>85</w:t>
            </w:r>
          </w:p>
        </w:tc>
        <w:tc>
          <w:tcPr>
            <w:tcW w:w="959" w:type="dxa"/>
            <w:tcBorders>
              <w:top w:val="nil"/>
              <w:bottom w:val="nil"/>
            </w:tcBorders>
            <w:shd w:val="clear" w:color="auto" w:fill="auto"/>
          </w:tcPr>
          <w:p w14:paraId="2CB0C7B1" w14:textId="77777777" w:rsidR="00E9008A" w:rsidRPr="003A0C5C" w:rsidRDefault="00E9008A" w:rsidP="00313B2A">
            <w:pPr>
              <w:pStyle w:val="Tabletext"/>
              <w:jc w:val="center"/>
            </w:pPr>
            <w:r w:rsidRPr="003A0C5C">
              <w:t>1</w:t>
            </w:r>
          </w:p>
        </w:tc>
        <w:tc>
          <w:tcPr>
            <w:tcW w:w="715" w:type="dxa"/>
            <w:gridSpan w:val="2"/>
            <w:shd w:val="clear" w:color="auto" w:fill="auto"/>
          </w:tcPr>
          <w:p w14:paraId="14E9944A" w14:textId="77777777" w:rsidR="00E9008A" w:rsidRPr="003A0C5C" w:rsidRDefault="00E9008A" w:rsidP="00313B2A">
            <w:pPr>
              <w:pStyle w:val="Tabletext"/>
              <w:jc w:val="center"/>
            </w:pPr>
          </w:p>
        </w:tc>
        <w:tc>
          <w:tcPr>
            <w:tcW w:w="716" w:type="dxa"/>
            <w:gridSpan w:val="2"/>
            <w:shd w:val="clear" w:color="auto" w:fill="auto"/>
          </w:tcPr>
          <w:p w14:paraId="5FEA9D31" w14:textId="77777777" w:rsidR="00E9008A" w:rsidRPr="003A0C5C" w:rsidRDefault="00E9008A" w:rsidP="00313B2A">
            <w:pPr>
              <w:pStyle w:val="Tabletext"/>
              <w:jc w:val="center"/>
            </w:pPr>
          </w:p>
        </w:tc>
        <w:tc>
          <w:tcPr>
            <w:tcW w:w="716" w:type="dxa"/>
            <w:shd w:val="clear" w:color="auto" w:fill="auto"/>
          </w:tcPr>
          <w:p w14:paraId="469D577D" w14:textId="77777777" w:rsidR="00E9008A" w:rsidRPr="003A0C5C" w:rsidRDefault="00E9008A" w:rsidP="00313B2A">
            <w:pPr>
              <w:pStyle w:val="Tabletext"/>
              <w:jc w:val="center"/>
            </w:pPr>
          </w:p>
        </w:tc>
        <w:tc>
          <w:tcPr>
            <w:tcW w:w="716" w:type="dxa"/>
            <w:gridSpan w:val="2"/>
            <w:shd w:val="clear" w:color="auto" w:fill="auto"/>
          </w:tcPr>
          <w:p w14:paraId="1D322576" w14:textId="77777777" w:rsidR="00E9008A" w:rsidRPr="003A0C5C" w:rsidRDefault="00E9008A" w:rsidP="00313B2A">
            <w:pPr>
              <w:pStyle w:val="Tabletext"/>
              <w:jc w:val="center"/>
            </w:pPr>
          </w:p>
        </w:tc>
      </w:tr>
      <w:tr w:rsidR="003A0C5C" w:rsidRPr="003A0C5C" w14:paraId="1362DF78" w14:textId="77777777" w:rsidTr="00313B2A">
        <w:trPr>
          <w:cantSplit/>
        </w:trPr>
        <w:tc>
          <w:tcPr>
            <w:tcW w:w="2857" w:type="dxa"/>
            <w:tcBorders>
              <w:top w:val="nil"/>
              <w:bottom w:val="nil"/>
            </w:tcBorders>
            <w:shd w:val="clear" w:color="auto" w:fill="auto"/>
          </w:tcPr>
          <w:p w14:paraId="08001EDF" w14:textId="77777777" w:rsidR="00727104" w:rsidRPr="003A0C5C" w:rsidRDefault="00727104" w:rsidP="00727104">
            <w:pPr>
              <w:pStyle w:val="Tabletext"/>
              <w:keepNext/>
            </w:pPr>
            <w:r w:rsidRPr="003A0C5C">
              <w:t>Scrapers</w:t>
            </w:r>
          </w:p>
        </w:tc>
        <w:tc>
          <w:tcPr>
            <w:tcW w:w="1241" w:type="dxa"/>
            <w:tcBorders>
              <w:top w:val="nil"/>
              <w:bottom w:val="nil"/>
            </w:tcBorders>
            <w:shd w:val="clear" w:color="auto" w:fill="auto"/>
          </w:tcPr>
          <w:p w14:paraId="07AD0FA8" w14:textId="77777777" w:rsidR="00727104" w:rsidRPr="003A0C5C" w:rsidRDefault="00727104" w:rsidP="00727104">
            <w:pPr>
              <w:pStyle w:val="Tabletext"/>
              <w:jc w:val="center"/>
            </w:pPr>
            <w:r w:rsidRPr="003A0C5C">
              <w:t>85</w:t>
            </w:r>
          </w:p>
        </w:tc>
        <w:tc>
          <w:tcPr>
            <w:tcW w:w="959" w:type="dxa"/>
            <w:tcBorders>
              <w:top w:val="nil"/>
              <w:bottom w:val="nil"/>
            </w:tcBorders>
            <w:shd w:val="clear" w:color="auto" w:fill="auto"/>
          </w:tcPr>
          <w:p w14:paraId="153E4DD1" w14:textId="77777777" w:rsidR="00727104" w:rsidRPr="003A0C5C" w:rsidRDefault="00727104" w:rsidP="00727104">
            <w:pPr>
              <w:pStyle w:val="Tabletext"/>
              <w:jc w:val="center"/>
            </w:pPr>
            <w:r w:rsidRPr="003A0C5C">
              <w:t>3</w:t>
            </w:r>
          </w:p>
        </w:tc>
        <w:tc>
          <w:tcPr>
            <w:tcW w:w="715" w:type="dxa"/>
            <w:gridSpan w:val="2"/>
            <w:shd w:val="clear" w:color="auto" w:fill="auto"/>
          </w:tcPr>
          <w:p w14:paraId="123BFDBB" w14:textId="19B54D9F" w:rsidR="00727104" w:rsidRPr="003A0C5C" w:rsidRDefault="00727104" w:rsidP="00727104">
            <w:pPr>
              <w:pStyle w:val="Tabletext"/>
              <w:jc w:val="center"/>
            </w:pPr>
            <w:r w:rsidRPr="003A0C5C">
              <w:t>79</w:t>
            </w:r>
          </w:p>
        </w:tc>
        <w:tc>
          <w:tcPr>
            <w:tcW w:w="716" w:type="dxa"/>
            <w:gridSpan w:val="2"/>
            <w:shd w:val="clear" w:color="auto" w:fill="auto"/>
          </w:tcPr>
          <w:p w14:paraId="2281A842" w14:textId="5B6F7AB1" w:rsidR="00727104" w:rsidRPr="003A0C5C" w:rsidRDefault="00727104" w:rsidP="00727104">
            <w:pPr>
              <w:pStyle w:val="Tabletext"/>
              <w:jc w:val="center"/>
            </w:pPr>
            <w:r w:rsidRPr="003A0C5C">
              <w:t>76</w:t>
            </w:r>
          </w:p>
        </w:tc>
        <w:tc>
          <w:tcPr>
            <w:tcW w:w="716" w:type="dxa"/>
            <w:shd w:val="clear" w:color="auto" w:fill="auto"/>
          </w:tcPr>
          <w:p w14:paraId="63209DBA" w14:textId="5EC2BF67" w:rsidR="00727104" w:rsidRPr="003A0C5C" w:rsidRDefault="00727104" w:rsidP="00727104">
            <w:pPr>
              <w:pStyle w:val="Tabletext"/>
              <w:jc w:val="center"/>
            </w:pPr>
            <w:r w:rsidRPr="003A0C5C">
              <w:t>78</w:t>
            </w:r>
          </w:p>
        </w:tc>
        <w:tc>
          <w:tcPr>
            <w:tcW w:w="716" w:type="dxa"/>
            <w:gridSpan w:val="2"/>
            <w:shd w:val="clear" w:color="auto" w:fill="auto"/>
          </w:tcPr>
          <w:p w14:paraId="754FD9C9" w14:textId="7035A9DB" w:rsidR="00727104" w:rsidRPr="003A0C5C" w:rsidRDefault="00727104" w:rsidP="00727104">
            <w:pPr>
              <w:pStyle w:val="Tabletext"/>
              <w:jc w:val="center"/>
            </w:pPr>
            <w:r w:rsidRPr="003A0C5C">
              <w:t>71</w:t>
            </w:r>
          </w:p>
        </w:tc>
      </w:tr>
      <w:tr w:rsidR="003A0C5C" w:rsidRPr="003A0C5C" w14:paraId="25C2281F" w14:textId="77777777" w:rsidTr="00313B2A">
        <w:trPr>
          <w:cantSplit/>
        </w:trPr>
        <w:tc>
          <w:tcPr>
            <w:tcW w:w="2857" w:type="dxa"/>
            <w:tcBorders>
              <w:top w:val="nil"/>
              <w:bottom w:val="nil"/>
            </w:tcBorders>
            <w:shd w:val="clear" w:color="auto" w:fill="auto"/>
          </w:tcPr>
          <w:p w14:paraId="5323C45A" w14:textId="77777777" w:rsidR="00E9008A" w:rsidRPr="003A0C5C" w:rsidRDefault="00E9008A" w:rsidP="00313B2A">
            <w:pPr>
              <w:pStyle w:val="Tabletext"/>
              <w:keepNext/>
            </w:pPr>
            <w:r w:rsidRPr="003A0C5C">
              <w:t>Sweepers/Scrubbers</w:t>
            </w:r>
          </w:p>
        </w:tc>
        <w:tc>
          <w:tcPr>
            <w:tcW w:w="1241" w:type="dxa"/>
            <w:tcBorders>
              <w:top w:val="nil"/>
              <w:bottom w:val="nil"/>
            </w:tcBorders>
            <w:shd w:val="clear" w:color="auto" w:fill="auto"/>
          </w:tcPr>
          <w:p w14:paraId="1E308EA8" w14:textId="77777777" w:rsidR="00E9008A" w:rsidRPr="003A0C5C" w:rsidRDefault="00E9008A" w:rsidP="00313B2A">
            <w:pPr>
              <w:pStyle w:val="Tabletext"/>
              <w:jc w:val="center"/>
            </w:pPr>
            <w:r w:rsidRPr="003A0C5C">
              <w:t>85</w:t>
            </w:r>
          </w:p>
        </w:tc>
        <w:tc>
          <w:tcPr>
            <w:tcW w:w="959" w:type="dxa"/>
            <w:tcBorders>
              <w:top w:val="nil"/>
              <w:bottom w:val="nil"/>
            </w:tcBorders>
            <w:shd w:val="clear" w:color="auto" w:fill="auto"/>
          </w:tcPr>
          <w:p w14:paraId="47DD9454" w14:textId="77777777" w:rsidR="00E9008A" w:rsidRPr="003A0C5C" w:rsidRDefault="00E9008A" w:rsidP="00313B2A">
            <w:pPr>
              <w:pStyle w:val="Tabletext"/>
              <w:jc w:val="center"/>
            </w:pPr>
            <w:r w:rsidRPr="003A0C5C">
              <w:t>1</w:t>
            </w:r>
          </w:p>
        </w:tc>
        <w:tc>
          <w:tcPr>
            <w:tcW w:w="715" w:type="dxa"/>
            <w:gridSpan w:val="2"/>
            <w:shd w:val="clear" w:color="auto" w:fill="auto"/>
          </w:tcPr>
          <w:p w14:paraId="1A90376E" w14:textId="77777777" w:rsidR="00E9008A" w:rsidRPr="003A0C5C" w:rsidRDefault="00E9008A" w:rsidP="00313B2A">
            <w:pPr>
              <w:pStyle w:val="Tabletext"/>
              <w:jc w:val="center"/>
            </w:pPr>
          </w:p>
        </w:tc>
        <w:tc>
          <w:tcPr>
            <w:tcW w:w="716" w:type="dxa"/>
            <w:gridSpan w:val="2"/>
            <w:shd w:val="clear" w:color="auto" w:fill="auto"/>
          </w:tcPr>
          <w:p w14:paraId="29AB336E" w14:textId="77777777" w:rsidR="00E9008A" w:rsidRPr="003A0C5C" w:rsidRDefault="00E9008A" w:rsidP="00313B2A">
            <w:pPr>
              <w:pStyle w:val="Tabletext"/>
              <w:jc w:val="center"/>
            </w:pPr>
          </w:p>
        </w:tc>
        <w:tc>
          <w:tcPr>
            <w:tcW w:w="716" w:type="dxa"/>
            <w:shd w:val="clear" w:color="auto" w:fill="auto"/>
          </w:tcPr>
          <w:p w14:paraId="27E0CCD8" w14:textId="77777777" w:rsidR="00E9008A" w:rsidRPr="003A0C5C" w:rsidRDefault="00E9008A" w:rsidP="00313B2A">
            <w:pPr>
              <w:pStyle w:val="Tabletext"/>
              <w:jc w:val="center"/>
            </w:pPr>
          </w:p>
        </w:tc>
        <w:tc>
          <w:tcPr>
            <w:tcW w:w="716" w:type="dxa"/>
            <w:gridSpan w:val="2"/>
            <w:shd w:val="clear" w:color="auto" w:fill="auto"/>
          </w:tcPr>
          <w:p w14:paraId="761F31B0" w14:textId="77777777" w:rsidR="00E9008A" w:rsidRPr="003A0C5C" w:rsidRDefault="00E9008A" w:rsidP="00313B2A">
            <w:pPr>
              <w:pStyle w:val="Tabletext"/>
              <w:jc w:val="center"/>
            </w:pPr>
          </w:p>
        </w:tc>
      </w:tr>
      <w:tr w:rsidR="003A0C5C" w:rsidRPr="003A0C5C" w14:paraId="1EB9CD81" w14:textId="77777777" w:rsidTr="00313B2A">
        <w:trPr>
          <w:cantSplit/>
        </w:trPr>
        <w:tc>
          <w:tcPr>
            <w:tcW w:w="2857" w:type="dxa"/>
            <w:tcBorders>
              <w:top w:val="nil"/>
              <w:bottom w:val="nil"/>
            </w:tcBorders>
            <w:shd w:val="clear" w:color="auto" w:fill="auto"/>
          </w:tcPr>
          <w:p w14:paraId="2489F86B" w14:textId="77777777" w:rsidR="00E9008A" w:rsidRPr="003A0C5C" w:rsidRDefault="00E9008A" w:rsidP="00313B2A">
            <w:pPr>
              <w:pStyle w:val="Tabletext"/>
              <w:keepNext/>
            </w:pPr>
            <w:r w:rsidRPr="003A0C5C">
              <w:t>Crawler Tractors</w:t>
            </w:r>
          </w:p>
        </w:tc>
        <w:tc>
          <w:tcPr>
            <w:tcW w:w="1241" w:type="dxa"/>
            <w:tcBorders>
              <w:top w:val="nil"/>
              <w:bottom w:val="nil"/>
            </w:tcBorders>
            <w:shd w:val="clear" w:color="auto" w:fill="auto"/>
          </w:tcPr>
          <w:p w14:paraId="5C0BDB77" w14:textId="77777777" w:rsidR="00E9008A" w:rsidRPr="003A0C5C" w:rsidRDefault="00E9008A" w:rsidP="00313B2A">
            <w:pPr>
              <w:pStyle w:val="Tabletext"/>
              <w:jc w:val="center"/>
            </w:pPr>
            <w:r w:rsidRPr="003A0C5C">
              <w:t>80</w:t>
            </w:r>
          </w:p>
        </w:tc>
        <w:tc>
          <w:tcPr>
            <w:tcW w:w="959" w:type="dxa"/>
            <w:tcBorders>
              <w:top w:val="nil"/>
              <w:bottom w:val="nil"/>
            </w:tcBorders>
            <w:shd w:val="clear" w:color="auto" w:fill="auto"/>
          </w:tcPr>
          <w:p w14:paraId="4DEF3FB8" w14:textId="77777777" w:rsidR="00E9008A" w:rsidRPr="003A0C5C" w:rsidRDefault="00E9008A" w:rsidP="00313B2A">
            <w:pPr>
              <w:pStyle w:val="Tabletext"/>
              <w:jc w:val="center"/>
            </w:pPr>
            <w:r w:rsidRPr="003A0C5C">
              <w:t>2</w:t>
            </w:r>
          </w:p>
        </w:tc>
        <w:tc>
          <w:tcPr>
            <w:tcW w:w="715" w:type="dxa"/>
            <w:gridSpan w:val="2"/>
            <w:shd w:val="clear" w:color="auto" w:fill="auto"/>
          </w:tcPr>
          <w:p w14:paraId="6E6C475D" w14:textId="77777777" w:rsidR="00E9008A" w:rsidRPr="003A0C5C" w:rsidRDefault="00E9008A" w:rsidP="00313B2A">
            <w:pPr>
              <w:pStyle w:val="Tabletext"/>
              <w:jc w:val="center"/>
            </w:pPr>
          </w:p>
        </w:tc>
        <w:tc>
          <w:tcPr>
            <w:tcW w:w="716" w:type="dxa"/>
            <w:gridSpan w:val="2"/>
            <w:shd w:val="clear" w:color="auto" w:fill="auto"/>
          </w:tcPr>
          <w:p w14:paraId="4AFAAC9A" w14:textId="77777777" w:rsidR="00E9008A" w:rsidRPr="003A0C5C" w:rsidRDefault="00E9008A" w:rsidP="00313B2A">
            <w:pPr>
              <w:pStyle w:val="Tabletext"/>
              <w:jc w:val="center"/>
            </w:pPr>
          </w:p>
        </w:tc>
        <w:tc>
          <w:tcPr>
            <w:tcW w:w="716" w:type="dxa"/>
            <w:shd w:val="clear" w:color="auto" w:fill="auto"/>
          </w:tcPr>
          <w:p w14:paraId="0DBC667E" w14:textId="77777777" w:rsidR="00E9008A" w:rsidRPr="003A0C5C" w:rsidRDefault="00E9008A" w:rsidP="00313B2A">
            <w:pPr>
              <w:pStyle w:val="Tabletext"/>
              <w:jc w:val="center"/>
            </w:pPr>
          </w:p>
        </w:tc>
        <w:tc>
          <w:tcPr>
            <w:tcW w:w="716" w:type="dxa"/>
            <w:gridSpan w:val="2"/>
            <w:shd w:val="clear" w:color="auto" w:fill="auto"/>
          </w:tcPr>
          <w:p w14:paraId="0FB49B63" w14:textId="77777777" w:rsidR="00E9008A" w:rsidRPr="003A0C5C" w:rsidRDefault="00E9008A" w:rsidP="00313B2A">
            <w:pPr>
              <w:pStyle w:val="Tabletext"/>
              <w:jc w:val="center"/>
            </w:pPr>
          </w:p>
        </w:tc>
      </w:tr>
      <w:tr w:rsidR="003A0C5C" w:rsidRPr="003A0C5C" w14:paraId="29672BF3" w14:textId="77777777" w:rsidTr="00313B2A">
        <w:trPr>
          <w:cantSplit/>
        </w:trPr>
        <w:tc>
          <w:tcPr>
            <w:tcW w:w="2857" w:type="dxa"/>
            <w:tcBorders>
              <w:top w:val="nil"/>
              <w:bottom w:val="nil"/>
            </w:tcBorders>
            <w:shd w:val="clear" w:color="auto" w:fill="auto"/>
          </w:tcPr>
          <w:p w14:paraId="590D8B9A" w14:textId="77777777" w:rsidR="00E9008A" w:rsidRPr="003A0C5C" w:rsidRDefault="00E9008A" w:rsidP="00313B2A">
            <w:pPr>
              <w:pStyle w:val="Tabletext"/>
              <w:keepNext/>
            </w:pPr>
            <w:r w:rsidRPr="003A0C5C">
              <w:t>Backhoes</w:t>
            </w:r>
          </w:p>
        </w:tc>
        <w:tc>
          <w:tcPr>
            <w:tcW w:w="1241" w:type="dxa"/>
            <w:tcBorders>
              <w:top w:val="nil"/>
              <w:bottom w:val="nil"/>
            </w:tcBorders>
            <w:shd w:val="clear" w:color="auto" w:fill="auto"/>
          </w:tcPr>
          <w:p w14:paraId="77B1868E" w14:textId="77777777" w:rsidR="00E9008A" w:rsidRPr="003A0C5C" w:rsidRDefault="00E9008A" w:rsidP="00313B2A">
            <w:pPr>
              <w:pStyle w:val="Tabletext"/>
              <w:jc w:val="center"/>
            </w:pPr>
            <w:r w:rsidRPr="003A0C5C">
              <w:t>80</w:t>
            </w:r>
          </w:p>
        </w:tc>
        <w:tc>
          <w:tcPr>
            <w:tcW w:w="959" w:type="dxa"/>
            <w:tcBorders>
              <w:top w:val="nil"/>
              <w:bottom w:val="nil"/>
            </w:tcBorders>
            <w:shd w:val="clear" w:color="auto" w:fill="auto"/>
          </w:tcPr>
          <w:p w14:paraId="70840033" w14:textId="77777777" w:rsidR="00E9008A" w:rsidRPr="003A0C5C" w:rsidRDefault="00E9008A" w:rsidP="00313B2A">
            <w:pPr>
              <w:pStyle w:val="Tabletext"/>
              <w:jc w:val="center"/>
            </w:pPr>
            <w:r w:rsidRPr="003A0C5C">
              <w:t>1</w:t>
            </w:r>
          </w:p>
        </w:tc>
        <w:tc>
          <w:tcPr>
            <w:tcW w:w="715" w:type="dxa"/>
            <w:gridSpan w:val="2"/>
            <w:shd w:val="clear" w:color="auto" w:fill="auto"/>
          </w:tcPr>
          <w:p w14:paraId="1308A63B" w14:textId="77777777" w:rsidR="00E9008A" w:rsidRPr="003A0C5C" w:rsidRDefault="00E9008A" w:rsidP="00313B2A">
            <w:pPr>
              <w:pStyle w:val="Tabletext"/>
              <w:jc w:val="center"/>
            </w:pPr>
          </w:p>
        </w:tc>
        <w:tc>
          <w:tcPr>
            <w:tcW w:w="716" w:type="dxa"/>
            <w:gridSpan w:val="2"/>
            <w:shd w:val="clear" w:color="auto" w:fill="auto"/>
          </w:tcPr>
          <w:p w14:paraId="4DDDE918" w14:textId="77777777" w:rsidR="00E9008A" w:rsidRPr="003A0C5C" w:rsidRDefault="00E9008A" w:rsidP="00313B2A">
            <w:pPr>
              <w:pStyle w:val="Tabletext"/>
              <w:jc w:val="center"/>
            </w:pPr>
          </w:p>
        </w:tc>
        <w:tc>
          <w:tcPr>
            <w:tcW w:w="716" w:type="dxa"/>
            <w:shd w:val="clear" w:color="auto" w:fill="auto"/>
          </w:tcPr>
          <w:p w14:paraId="55441862" w14:textId="77777777" w:rsidR="00E9008A" w:rsidRPr="003A0C5C" w:rsidRDefault="00E9008A" w:rsidP="00313B2A">
            <w:pPr>
              <w:pStyle w:val="Tabletext"/>
              <w:jc w:val="center"/>
            </w:pPr>
          </w:p>
        </w:tc>
        <w:tc>
          <w:tcPr>
            <w:tcW w:w="716" w:type="dxa"/>
            <w:gridSpan w:val="2"/>
            <w:shd w:val="clear" w:color="auto" w:fill="auto"/>
          </w:tcPr>
          <w:p w14:paraId="30683933" w14:textId="77777777" w:rsidR="00E9008A" w:rsidRPr="003A0C5C" w:rsidRDefault="00E9008A" w:rsidP="00313B2A">
            <w:pPr>
              <w:pStyle w:val="Tabletext"/>
              <w:jc w:val="center"/>
            </w:pPr>
          </w:p>
        </w:tc>
      </w:tr>
      <w:tr w:rsidR="003A0C5C" w:rsidRPr="003A0C5C" w14:paraId="6DD70A5E" w14:textId="77777777" w:rsidTr="00313B2A">
        <w:trPr>
          <w:cantSplit/>
        </w:trPr>
        <w:tc>
          <w:tcPr>
            <w:tcW w:w="2857" w:type="dxa"/>
            <w:tcBorders>
              <w:top w:val="nil"/>
              <w:bottom w:val="nil"/>
            </w:tcBorders>
            <w:shd w:val="clear" w:color="auto" w:fill="auto"/>
          </w:tcPr>
          <w:p w14:paraId="760DDB9F" w14:textId="77777777" w:rsidR="00E9008A" w:rsidRPr="003A0C5C" w:rsidRDefault="00E9008A" w:rsidP="00313B2A">
            <w:pPr>
              <w:pStyle w:val="Tabletext"/>
              <w:keepNext/>
            </w:pPr>
            <w:r w:rsidRPr="003A0C5C">
              <w:t>Concrete/Industrial Saw</w:t>
            </w:r>
          </w:p>
        </w:tc>
        <w:tc>
          <w:tcPr>
            <w:tcW w:w="1241" w:type="dxa"/>
            <w:tcBorders>
              <w:top w:val="nil"/>
              <w:bottom w:val="nil"/>
            </w:tcBorders>
            <w:shd w:val="clear" w:color="auto" w:fill="auto"/>
          </w:tcPr>
          <w:p w14:paraId="0CAF5482" w14:textId="77777777" w:rsidR="00E9008A" w:rsidRPr="003A0C5C" w:rsidRDefault="00E9008A" w:rsidP="00313B2A">
            <w:pPr>
              <w:pStyle w:val="Tabletext"/>
              <w:jc w:val="center"/>
            </w:pPr>
            <w:r w:rsidRPr="003A0C5C">
              <w:t>90</w:t>
            </w:r>
          </w:p>
        </w:tc>
        <w:tc>
          <w:tcPr>
            <w:tcW w:w="959" w:type="dxa"/>
            <w:tcBorders>
              <w:top w:val="nil"/>
              <w:bottom w:val="nil"/>
            </w:tcBorders>
            <w:shd w:val="clear" w:color="auto" w:fill="auto"/>
          </w:tcPr>
          <w:p w14:paraId="3D49A883" w14:textId="77777777" w:rsidR="00E9008A" w:rsidRPr="003A0C5C" w:rsidRDefault="00E9008A" w:rsidP="00313B2A">
            <w:pPr>
              <w:pStyle w:val="Tabletext"/>
              <w:jc w:val="center"/>
            </w:pPr>
            <w:r w:rsidRPr="003A0C5C">
              <w:t>1</w:t>
            </w:r>
          </w:p>
        </w:tc>
        <w:tc>
          <w:tcPr>
            <w:tcW w:w="715" w:type="dxa"/>
            <w:gridSpan w:val="2"/>
            <w:shd w:val="clear" w:color="auto" w:fill="auto"/>
          </w:tcPr>
          <w:p w14:paraId="4DD286A6" w14:textId="77777777" w:rsidR="00E9008A" w:rsidRPr="003A0C5C" w:rsidRDefault="00E9008A" w:rsidP="00313B2A">
            <w:pPr>
              <w:pStyle w:val="Tabletext"/>
              <w:jc w:val="center"/>
            </w:pPr>
          </w:p>
        </w:tc>
        <w:tc>
          <w:tcPr>
            <w:tcW w:w="716" w:type="dxa"/>
            <w:gridSpan w:val="2"/>
            <w:shd w:val="clear" w:color="auto" w:fill="auto"/>
          </w:tcPr>
          <w:p w14:paraId="20847F13" w14:textId="77777777" w:rsidR="00E9008A" w:rsidRPr="003A0C5C" w:rsidRDefault="00E9008A" w:rsidP="00313B2A">
            <w:pPr>
              <w:pStyle w:val="Tabletext"/>
              <w:jc w:val="center"/>
            </w:pPr>
          </w:p>
        </w:tc>
        <w:tc>
          <w:tcPr>
            <w:tcW w:w="716" w:type="dxa"/>
            <w:shd w:val="clear" w:color="auto" w:fill="auto"/>
          </w:tcPr>
          <w:p w14:paraId="160BBD8B" w14:textId="77777777" w:rsidR="00E9008A" w:rsidRPr="003A0C5C" w:rsidRDefault="00E9008A" w:rsidP="00313B2A">
            <w:pPr>
              <w:pStyle w:val="Tabletext"/>
              <w:jc w:val="center"/>
            </w:pPr>
          </w:p>
        </w:tc>
        <w:tc>
          <w:tcPr>
            <w:tcW w:w="716" w:type="dxa"/>
            <w:gridSpan w:val="2"/>
            <w:shd w:val="clear" w:color="auto" w:fill="auto"/>
          </w:tcPr>
          <w:p w14:paraId="5B733577" w14:textId="77777777" w:rsidR="00E9008A" w:rsidRPr="003A0C5C" w:rsidRDefault="00E9008A" w:rsidP="00313B2A">
            <w:pPr>
              <w:pStyle w:val="Tabletext"/>
              <w:jc w:val="center"/>
            </w:pPr>
          </w:p>
        </w:tc>
      </w:tr>
      <w:tr w:rsidR="003A0C5C" w:rsidRPr="003A0C5C" w14:paraId="3283DD37" w14:textId="77777777" w:rsidTr="00313B2A">
        <w:trPr>
          <w:cantSplit/>
        </w:trPr>
        <w:tc>
          <w:tcPr>
            <w:tcW w:w="2857" w:type="dxa"/>
            <w:tcBorders>
              <w:top w:val="nil"/>
              <w:bottom w:val="nil"/>
            </w:tcBorders>
            <w:shd w:val="clear" w:color="auto" w:fill="auto"/>
          </w:tcPr>
          <w:p w14:paraId="6DB5A6D1" w14:textId="77777777" w:rsidR="00E9008A" w:rsidRPr="003A0C5C" w:rsidRDefault="00E9008A" w:rsidP="00313B2A">
            <w:pPr>
              <w:pStyle w:val="Tabletext"/>
              <w:keepNext/>
            </w:pPr>
            <w:r w:rsidRPr="003A0C5C">
              <w:t>Dumpers/Tenders</w:t>
            </w:r>
          </w:p>
        </w:tc>
        <w:tc>
          <w:tcPr>
            <w:tcW w:w="1241" w:type="dxa"/>
            <w:tcBorders>
              <w:top w:val="nil"/>
              <w:bottom w:val="nil"/>
            </w:tcBorders>
            <w:shd w:val="clear" w:color="auto" w:fill="auto"/>
          </w:tcPr>
          <w:p w14:paraId="6CCD84B4" w14:textId="77777777" w:rsidR="00E9008A" w:rsidRPr="003A0C5C" w:rsidRDefault="00E9008A" w:rsidP="00313B2A">
            <w:pPr>
              <w:pStyle w:val="Tabletext"/>
              <w:jc w:val="center"/>
            </w:pPr>
            <w:r w:rsidRPr="003A0C5C">
              <w:t>84</w:t>
            </w:r>
          </w:p>
        </w:tc>
        <w:tc>
          <w:tcPr>
            <w:tcW w:w="959" w:type="dxa"/>
            <w:tcBorders>
              <w:top w:val="nil"/>
              <w:bottom w:val="nil"/>
            </w:tcBorders>
            <w:shd w:val="clear" w:color="auto" w:fill="auto"/>
          </w:tcPr>
          <w:p w14:paraId="2368D312" w14:textId="77777777" w:rsidR="00E9008A" w:rsidRPr="003A0C5C" w:rsidRDefault="00E9008A" w:rsidP="00313B2A">
            <w:pPr>
              <w:pStyle w:val="Tabletext"/>
              <w:jc w:val="center"/>
            </w:pPr>
            <w:r w:rsidRPr="003A0C5C">
              <w:t>2</w:t>
            </w:r>
          </w:p>
        </w:tc>
        <w:tc>
          <w:tcPr>
            <w:tcW w:w="715" w:type="dxa"/>
            <w:gridSpan w:val="2"/>
            <w:shd w:val="clear" w:color="auto" w:fill="auto"/>
          </w:tcPr>
          <w:p w14:paraId="07761FC0" w14:textId="77777777" w:rsidR="00E9008A" w:rsidRPr="003A0C5C" w:rsidRDefault="00E9008A" w:rsidP="00313B2A">
            <w:pPr>
              <w:pStyle w:val="Tabletext"/>
              <w:jc w:val="center"/>
            </w:pPr>
          </w:p>
        </w:tc>
        <w:tc>
          <w:tcPr>
            <w:tcW w:w="716" w:type="dxa"/>
            <w:gridSpan w:val="2"/>
            <w:shd w:val="clear" w:color="auto" w:fill="auto"/>
          </w:tcPr>
          <w:p w14:paraId="59ACC3CB" w14:textId="77777777" w:rsidR="00E9008A" w:rsidRPr="003A0C5C" w:rsidRDefault="00E9008A" w:rsidP="00313B2A">
            <w:pPr>
              <w:pStyle w:val="Tabletext"/>
              <w:jc w:val="center"/>
            </w:pPr>
          </w:p>
        </w:tc>
        <w:tc>
          <w:tcPr>
            <w:tcW w:w="716" w:type="dxa"/>
            <w:shd w:val="clear" w:color="auto" w:fill="auto"/>
          </w:tcPr>
          <w:p w14:paraId="53E021AE" w14:textId="77777777" w:rsidR="00E9008A" w:rsidRPr="003A0C5C" w:rsidRDefault="00E9008A" w:rsidP="00313B2A">
            <w:pPr>
              <w:pStyle w:val="Tabletext"/>
              <w:jc w:val="center"/>
            </w:pPr>
          </w:p>
        </w:tc>
        <w:tc>
          <w:tcPr>
            <w:tcW w:w="716" w:type="dxa"/>
            <w:gridSpan w:val="2"/>
            <w:shd w:val="clear" w:color="auto" w:fill="auto"/>
          </w:tcPr>
          <w:p w14:paraId="5878EF5E" w14:textId="77777777" w:rsidR="00E9008A" w:rsidRPr="003A0C5C" w:rsidRDefault="00E9008A" w:rsidP="00313B2A">
            <w:pPr>
              <w:pStyle w:val="Tabletext"/>
              <w:jc w:val="center"/>
            </w:pPr>
          </w:p>
        </w:tc>
      </w:tr>
      <w:tr w:rsidR="003A0C5C" w:rsidRPr="003A0C5C" w14:paraId="28A6B984" w14:textId="77777777" w:rsidTr="00313B2A">
        <w:trPr>
          <w:cantSplit/>
        </w:trPr>
        <w:tc>
          <w:tcPr>
            <w:tcW w:w="2857" w:type="dxa"/>
            <w:tcBorders>
              <w:top w:val="nil"/>
              <w:bottom w:val="nil"/>
            </w:tcBorders>
            <w:shd w:val="clear" w:color="auto" w:fill="auto"/>
            <w:hideMark/>
          </w:tcPr>
          <w:p w14:paraId="07CA4852" w14:textId="77777777" w:rsidR="00E9008A" w:rsidRPr="003A0C5C" w:rsidRDefault="00E9008A" w:rsidP="00313B2A">
            <w:pPr>
              <w:pStyle w:val="Tabletext"/>
              <w:keepNext/>
              <w:rPr>
                <w:iCs/>
              </w:rPr>
            </w:pPr>
            <w:r w:rsidRPr="003A0C5C">
              <w:rPr>
                <w:iCs/>
              </w:rPr>
              <w:t>Compactors</w:t>
            </w:r>
          </w:p>
        </w:tc>
        <w:tc>
          <w:tcPr>
            <w:tcW w:w="1241" w:type="dxa"/>
            <w:tcBorders>
              <w:top w:val="nil"/>
              <w:bottom w:val="nil"/>
            </w:tcBorders>
            <w:shd w:val="clear" w:color="auto" w:fill="auto"/>
            <w:hideMark/>
          </w:tcPr>
          <w:p w14:paraId="7645343F" w14:textId="77777777" w:rsidR="00E9008A" w:rsidRPr="003A0C5C" w:rsidRDefault="00E9008A" w:rsidP="00313B2A">
            <w:pPr>
              <w:pStyle w:val="Tabletext"/>
              <w:jc w:val="center"/>
              <w:rPr>
                <w:iCs/>
              </w:rPr>
            </w:pPr>
            <w:r w:rsidRPr="003A0C5C">
              <w:t>80</w:t>
            </w:r>
          </w:p>
        </w:tc>
        <w:tc>
          <w:tcPr>
            <w:tcW w:w="959" w:type="dxa"/>
            <w:tcBorders>
              <w:top w:val="nil"/>
              <w:bottom w:val="nil"/>
            </w:tcBorders>
            <w:shd w:val="clear" w:color="auto" w:fill="auto"/>
            <w:hideMark/>
          </w:tcPr>
          <w:p w14:paraId="57F25982" w14:textId="77777777" w:rsidR="00E9008A" w:rsidRPr="003A0C5C" w:rsidRDefault="00E9008A" w:rsidP="00313B2A">
            <w:pPr>
              <w:pStyle w:val="Tabletext"/>
              <w:jc w:val="center"/>
              <w:rPr>
                <w:iCs/>
              </w:rPr>
            </w:pPr>
            <w:r w:rsidRPr="003A0C5C">
              <w:t>1</w:t>
            </w:r>
          </w:p>
        </w:tc>
        <w:tc>
          <w:tcPr>
            <w:tcW w:w="715" w:type="dxa"/>
            <w:gridSpan w:val="2"/>
            <w:tcBorders>
              <w:bottom w:val="nil"/>
            </w:tcBorders>
            <w:shd w:val="clear" w:color="auto" w:fill="auto"/>
          </w:tcPr>
          <w:p w14:paraId="0760BD8D" w14:textId="77777777" w:rsidR="00E9008A" w:rsidRPr="003A0C5C" w:rsidRDefault="00E9008A" w:rsidP="00313B2A">
            <w:pPr>
              <w:pStyle w:val="Tabletext"/>
              <w:jc w:val="center"/>
            </w:pPr>
          </w:p>
        </w:tc>
        <w:tc>
          <w:tcPr>
            <w:tcW w:w="716" w:type="dxa"/>
            <w:gridSpan w:val="2"/>
            <w:tcBorders>
              <w:bottom w:val="nil"/>
            </w:tcBorders>
            <w:shd w:val="clear" w:color="auto" w:fill="auto"/>
          </w:tcPr>
          <w:p w14:paraId="25547E3A" w14:textId="77777777" w:rsidR="00E9008A" w:rsidRPr="003A0C5C" w:rsidRDefault="00E9008A" w:rsidP="00313B2A">
            <w:pPr>
              <w:pStyle w:val="Tabletext"/>
              <w:jc w:val="center"/>
            </w:pPr>
          </w:p>
        </w:tc>
        <w:tc>
          <w:tcPr>
            <w:tcW w:w="716" w:type="dxa"/>
            <w:tcBorders>
              <w:bottom w:val="nil"/>
            </w:tcBorders>
            <w:shd w:val="clear" w:color="auto" w:fill="auto"/>
          </w:tcPr>
          <w:p w14:paraId="357B2CCB" w14:textId="77777777" w:rsidR="00E9008A" w:rsidRPr="003A0C5C" w:rsidRDefault="00E9008A" w:rsidP="00313B2A">
            <w:pPr>
              <w:pStyle w:val="Tabletext"/>
              <w:jc w:val="center"/>
            </w:pPr>
          </w:p>
        </w:tc>
        <w:tc>
          <w:tcPr>
            <w:tcW w:w="716" w:type="dxa"/>
            <w:gridSpan w:val="2"/>
            <w:tcBorders>
              <w:bottom w:val="nil"/>
            </w:tcBorders>
            <w:shd w:val="clear" w:color="auto" w:fill="auto"/>
          </w:tcPr>
          <w:p w14:paraId="51724AA7" w14:textId="77777777" w:rsidR="00E9008A" w:rsidRPr="003A0C5C" w:rsidRDefault="00E9008A" w:rsidP="00313B2A">
            <w:pPr>
              <w:pStyle w:val="Tabletext"/>
              <w:jc w:val="center"/>
            </w:pPr>
          </w:p>
        </w:tc>
      </w:tr>
      <w:tr w:rsidR="003A0C5C" w:rsidRPr="003A0C5C" w14:paraId="56599C10" w14:textId="77777777" w:rsidTr="00313B2A">
        <w:trPr>
          <w:cantSplit/>
        </w:trPr>
        <w:tc>
          <w:tcPr>
            <w:tcW w:w="7920" w:type="dxa"/>
            <w:gridSpan w:val="10"/>
            <w:tcBorders>
              <w:top w:val="nil"/>
              <w:bottom w:val="nil"/>
            </w:tcBorders>
            <w:shd w:val="clear" w:color="auto" w:fill="D9D9D9" w:themeFill="background1" w:themeFillShade="D9"/>
            <w:hideMark/>
          </w:tcPr>
          <w:p w14:paraId="1F27D66B" w14:textId="77777777" w:rsidR="00E9008A" w:rsidRPr="003A0C5C" w:rsidRDefault="00E9008A" w:rsidP="00313B2A">
            <w:pPr>
              <w:pStyle w:val="Tablerowheading"/>
            </w:pPr>
            <w:r w:rsidRPr="003A0C5C">
              <w:t>Drainage/Utilities/Trenching</w:t>
            </w:r>
          </w:p>
        </w:tc>
      </w:tr>
      <w:tr w:rsidR="003A0C5C" w:rsidRPr="003A0C5C" w14:paraId="5EC8BF6B" w14:textId="77777777" w:rsidTr="00313B2A">
        <w:trPr>
          <w:cantSplit/>
        </w:trPr>
        <w:tc>
          <w:tcPr>
            <w:tcW w:w="2857" w:type="dxa"/>
            <w:tcBorders>
              <w:top w:val="nil"/>
              <w:bottom w:val="nil"/>
            </w:tcBorders>
            <w:shd w:val="clear" w:color="auto" w:fill="auto"/>
          </w:tcPr>
          <w:p w14:paraId="46C4FFCF" w14:textId="77777777" w:rsidR="00E9008A" w:rsidRPr="003A0C5C" w:rsidRDefault="00E9008A" w:rsidP="00313B2A">
            <w:pPr>
              <w:pStyle w:val="Tabletext"/>
              <w:keepNext/>
            </w:pPr>
            <w:r w:rsidRPr="003A0C5C">
              <w:t>Air Compressors</w:t>
            </w:r>
          </w:p>
        </w:tc>
        <w:tc>
          <w:tcPr>
            <w:tcW w:w="1241" w:type="dxa"/>
            <w:tcBorders>
              <w:top w:val="nil"/>
              <w:bottom w:val="nil"/>
            </w:tcBorders>
            <w:shd w:val="clear" w:color="auto" w:fill="auto"/>
          </w:tcPr>
          <w:p w14:paraId="0E96748E" w14:textId="77777777" w:rsidR="00E9008A" w:rsidRPr="003A0C5C" w:rsidRDefault="00E9008A" w:rsidP="00313B2A">
            <w:pPr>
              <w:pStyle w:val="Tabletext"/>
              <w:jc w:val="center"/>
            </w:pPr>
            <w:r w:rsidRPr="003A0C5C">
              <w:t>80</w:t>
            </w:r>
          </w:p>
        </w:tc>
        <w:tc>
          <w:tcPr>
            <w:tcW w:w="959" w:type="dxa"/>
            <w:tcBorders>
              <w:top w:val="nil"/>
              <w:bottom w:val="nil"/>
            </w:tcBorders>
            <w:shd w:val="clear" w:color="auto" w:fill="auto"/>
          </w:tcPr>
          <w:p w14:paraId="3D022295" w14:textId="77777777" w:rsidR="00E9008A" w:rsidRPr="003A0C5C" w:rsidRDefault="00E9008A" w:rsidP="00313B2A">
            <w:pPr>
              <w:pStyle w:val="Tabletext"/>
              <w:jc w:val="center"/>
            </w:pPr>
            <w:r w:rsidRPr="003A0C5C">
              <w:t>1</w:t>
            </w:r>
          </w:p>
        </w:tc>
        <w:tc>
          <w:tcPr>
            <w:tcW w:w="715" w:type="dxa"/>
            <w:gridSpan w:val="2"/>
            <w:vMerge w:val="restart"/>
            <w:tcBorders>
              <w:top w:val="nil"/>
            </w:tcBorders>
            <w:shd w:val="clear" w:color="auto" w:fill="auto"/>
          </w:tcPr>
          <w:p w14:paraId="15F59469" w14:textId="77777777" w:rsidR="00E9008A" w:rsidRPr="003A0C5C" w:rsidRDefault="00E9008A" w:rsidP="00313B2A">
            <w:pPr>
              <w:pStyle w:val="Tabletext"/>
              <w:jc w:val="center"/>
            </w:pPr>
            <w:r w:rsidRPr="003A0C5C">
              <w:t>R1</w:t>
            </w:r>
          </w:p>
        </w:tc>
        <w:tc>
          <w:tcPr>
            <w:tcW w:w="716" w:type="dxa"/>
            <w:gridSpan w:val="2"/>
            <w:vMerge w:val="restart"/>
            <w:tcBorders>
              <w:top w:val="nil"/>
            </w:tcBorders>
            <w:shd w:val="clear" w:color="auto" w:fill="auto"/>
          </w:tcPr>
          <w:p w14:paraId="094B314D" w14:textId="77777777" w:rsidR="00E9008A" w:rsidRPr="003A0C5C" w:rsidRDefault="00E9008A" w:rsidP="00313B2A">
            <w:pPr>
              <w:pStyle w:val="Tabletext"/>
              <w:jc w:val="center"/>
            </w:pPr>
            <w:r w:rsidRPr="003A0C5C">
              <w:t>R2</w:t>
            </w:r>
          </w:p>
        </w:tc>
        <w:tc>
          <w:tcPr>
            <w:tcW w:w="716" w:type="dxa"/>
            <w:vMerge w:val="restart"/>
            <w:tcBorders>
              <w:top w:val="nil"/>
            </w:tcBorders>
            <w:shd w:val="clear" w:color="auto" w:fill="auto"/>
          </w:tcPr>
          <w:p w14:paraId="24AF1072" w14:textId="77777777" w:rsidR="00E9008A" w:rsidRPr="003A0C5C" w:rsidRDefault="00E9008A" w:rsidP="00313B2A">
            <w:pPr>
              <w:pStyle w:val="Tabletext"/>
              <w:jc w:val="center"/>
            </w:pPr>
            <w:r w:rsidRPr="003A0C5C">
              <w:t>R3</w:t>
            </w:r>
          </w:p>
        </w:tc>
        <w:tc>
          <w:tcPr>
            <w:tcW w:w="716" w:type="dxa"/>
            <w:gridSpan w:val="2"/>
            <w:vMerge w:val="restart"/>
            <w:tcBorders>
              <w:top w:val="nil"/>
            </w:tcBorders>
            <w:shd w:val="clear" w:color="auto" w:fill="auto"/>
          </w:tcPr>
          <w:p w14:paraId="6B16A51A" w14:textId="77777777" w:rsidR="00E9008A" w:rsidRPr="003A0C5C" w:rsidRDefault="00E9008A" w:rsidP="00313B2A">
            <w:pPr>
              <w:pStyle w:val="Tabletext"/>
              <w:jc w:val="center"/>
            </w:pPr>
            <w:r w:rsidRPr="003A0C5C">
              <w:t>R4</w:t>
            </w:r>
          </w:p>
        </w:tc>
      </w:tr>
      <w:tr w:rsidR="003A0C5C" w:rsidRPr="003A0C5C" w14:paraId="03BD45ED" w14:textId="77777777" w:rsidTr="00313B2A">
        <w:trPr>
          <w:cantSplit/>
        </w:trPr>
        <w:tc>
          <w:tcPr>
            <w:tcW w:w="2857" w:type="dxa"/>
            <w:tcBorders>
              <w:top w:val="nil"/>
              <w:bottom w:val="nil"/>
            </w:tcBorders>
            <w:shd w:val="clear" w:color="auto" w:fill="auto"/>
          </w:tcPr>
          <w:p w14:paraId="56645824" w14:textId="77777777" w:rsidR="00E9008A" w:rsidRPr="003A0C5C" w:rsidRDefault="00E9008A" w:rsidP="00313B2A">
            <w:pPr>
              <w:pStyle w:val="Tabletext"/>
              <w:keepNext/>
            </w:pPr>
            <w:r w:rsidRPr="003A0C5C">
              <w:t>Pumps</w:t>
            </w:r>
          </w:p>
        </w:tc>
        <w:tc>
          <w:tcPr>
            <w:tcW w:w="1241" w:type="dxa"/>
            <w:tcBorders>
              <w:top w:val="nil"/>
              <w:bottom w:val="nil"/>
            </w:tcBorders>
            <w:shd w:val="clear" w:color="auto" w:fill="auto"/>
          </w:tcPr>
          <w:p w14:paraId="629648F9" w14:textId="77777777" w:rsidR="00E9008A" w:rsidRPr="003A0C5C" w:rsidRDefault="00E9008A" w:rsidP="00313B2A">
            <w:pPr>
              <w:pStyle w:val="Tabletext"/>
              <w:jc w:val="center"/>
            </w:pPr>
            <w:r w:rsidRPr="003A0C5C">
              <w:t>77</w:t>
            </w:r>
          </w:p>
        </w:tc>
        <w:tc>
          <w:tcPr>
            <w:tcW w:w="959" w:type="dxa"/>
            <w:tcBorders>
              <w:top w:val="nil"/>
              <w:bottom w:val="nil"/>
            </w:tcBorders>
            <w:shd w:val="clear" w:color="auto" w:fill="auto"/>
          </w:tcPr>
          <w:p w14:paraId="3A7A67E0" w14:textId="77777777" w:rsidR="00E9008A" w:rsidRPr="003A0C5C" w:rsidRDefault="00E9008A" w:rsidP="00313B2A">
            <w:pPr>
              <w:pStyle w:val="Tabletext"/>
              <w:jc w:val="center"/>
            </w:pPr>
            <w:r w:rsidRPr="003A0C5C">
              <w:t>2</w:t>
            </w:r>
          </w:p>
        </w:tc>
        <w:tc>
          <w:tcPr>
            <w:tcW w:w="715" w:type="dxa"/>
            <w:gridSpan w:val="2"/>
            <w:vMerge/>
            <w:shd w:val="clear" w:color="auto" w:fill="auto"/>
          </w:tcPr>
          <w:p w14:paraId="04EFDA0A" w14:textId="77777777" w:rsidR="00E9008A" w:rsidRPr="003A0C5C" w:rsidRDefault="00E9008A" w:rsidP="00313B2A">
            <w:pPr>
              <w:pStyle w:val="Tabletext"/>
              <w:jc w:val="center"/>
            </w:pPr>
          </w:p>
        </w:tc>
        <w:tc>
          <w:tcPr>
            <w:tcW w:w="716" w:type="dxa"/>
            <w:gridSpan w:val="2"/>
            <w:vMerge/>
            <w:shd w:val="clear" w:color="auto" w:fill="auto"/>
          </w:tcPr>
          <w:p w14:paraId="008C6710" w14:textId="77777777" w:rsidR="00E9008A" w:rsidRPr="003A0C5C" w:rsidRDefault="00E9008A" w:rsidP="00313B2A">
            <w:pPr>
              <w:pStyle w:val="Tabletext"/>
              <w:jc w:val="center"/>
            </w:pPr>
          </w:p>
        </w:tc>
        <w:tc>
          <w:tcPr>
            <w:tcW w:w="716" w:type="dxa"/>
            <w:vMerge/>
            <w:shd w:val="clear" w:color="auto" w:fill="auto"/>
          </w:tcPr>
          <w:p w14:paraId="255A717C" w14:textId="77777777" w:rsidR="00E9008A" w:rsidRPr="003A0C5C" w:rsidRDefault="00E9008A" w:rsidP="00313B2A">
            <w:pPr>
              <w:pStyle w:val="Tabletext"/>
              <w:jc w:val="center"/>
            </w:pPr>
          </w:p>
        </w:tc>
        <w:tc>
          <w:tcPr>
            <w:tcW w:w="716" w:type="dxa"/>
            <w:gridSpan w:val="2"/>
            <w:vMerge/>
            <w:shd w:val="clear" w:color="auto" w:fill="auto"/>
          </w:tcPr>
          <w:p w14:paraId="19C05D05" w14:textId="77777777" w:rsidR="00E9008A" w:rsidRPr="003A0C5C" w:rsidRDefault="00E9008A" w:rsidP="00313B2A">
            <w:pPr>
              <w:pStyle w:val="Tabletext"/>
              <w:jc w:val="center"/>
            </w:pPr>
          </w:p>
        </w:tc>
      </w:tr>
      <w:tr w:rsidR="003A0C5C" w:rsidRPr="003A0C5C" w14:paraId="3BF1BC4C" w14:textId="77777777" w:rsidTr="00313B2A">
        <w:trPr>
          <w:cantSplit/>
        </w:trPr>
        <w:tc>
          <w:tcPr>
            <w:tcW w:w="2857" w:type="dxa"/>
            <w:tcBorders>
              <w:top w:val="nil"/>
              <w:bottom w:val="nil"/>
            </w:tcBorders>
            <w:shd w:val="clear" w:color="auto" w:fill="auto"/>
          </w:tcPr>
          <w:p w14:paraId="0F303A4E" w14:textId="77777777" w:rsidR="00E9008A" w:rsidRPr="003A0C5C" w:rsidRDefault="00E9008A" w:rsidP="00313B2A">
            <w:pPr>
              <w:pStyle w:val="Tabletext"/>
              <w:keepNext/>
            </w:pPr>
            <w:r w:rsidRPr="003A0C5C">
              <w:t>Rough Terrain Forklifts</w:t>
            </w:r>
          </w:p>
        </w:tc>
        <w:tc>
          <w:tcPr>
            <w:tcW w:w="1241" w:type="dxa"/>
            <w:tcBorders>
              <w:top w:val="nil"/>
              <w:bottom w:val="nil"/>
            </w:tcBorders>
            <w:shd w:val="clear" w:color="auto" w:fill="auto"/>
          </w:tcPr>
          <w:p w14:paraId="483969B6" w14:textId="77777777" w:rsidR="00E9008A" w:rsidRPr="003A0C5C" w:rsidRDefault="00E9008A" w:rsidP="00313B2A">
            <w:pPr>
              <w:pStyle w:val="Tabletext"/>
              <w:jc w:val="center"/>
            </w:pPr>
            <w:r w:rsidRPr="003A0C5C">
              <w:t>75</w:t>
            </w:r>
          </w:p>
        </w:tc>
        <w:tc>
          <w:tcPr>
            <w:tcW w:w="959" w:type="dxa"/>
            <w:tcBorders>
              <w:top w:val="nil"/>
              <w:bottom w:val="nil"/>
            </w:tcBorders>
            <w:shd w:val="clear" w:color="auto" w:fill="auto"/>
          </w:tcPr>
          <w:p w14:paraId="5D99431E" w14:textId="77777777" w:rsidR="00E9008A" w:rsidRPr="003A0C5C" w:rsidRDefault="00E9008A" w:rsidP="00313B2A">
            <w:pPr>
              <w:pStyle w:val="Tabletext"/>
              <w:jc w:val="center"/>
            </w:pPr>
            <w:r w:rsidRPr="003A0C5C">
              <w:t>1</w:t>
            </w:r>
          </w:p>
        </w:tc>
        <w:tc>
          <w:tcPr>
            <w:tcW w:w="715" w:type="dxa"/>
            <w:gridSpan w:val="2"/>
            <w:vMerge/>
            <w:shd w:val="clear" w:color="auto" w:fill="auto"/>
          </w:tcPr>
          <w:p w14:paraId="5BB0CFE1" w14:textId="77777777" w:rsidR="00E9008A" w:rsidRPr="003A0C5C" w:rsidRDefault="00E9008A" w:rsidP="00313B2A">
            <w:pPr>
              <w:pStyle w:val="Tabletext"/>
              <w:jc w:val="center"/>
            </w:pPr>
          </w:p>
        </w:tc>
        <w:tc>
          <w:tcPr>
            <w:tcW w:w="716" w:type="dxa"/>
            <w:gridSpan w:val="2"/>
            <w:vMerge/>
            <w:shd w:val="clear" w:color="auto" w:fill="auto"/>
          </w:tcPr>
          <w:p w14:paraId="2923DFDA" w14:textId="77777777" w:rsidR="00E9008A" w:rsidRPr="003A0C5C" w:rsidRDefault="00E9008A" w:rsidP="00313B2A">
            <w:pPr>
              <w:pStyle w:val="Tabletext"/>
              <w:jc w:val="center"/>
            </w:pPr>
          </w:p>
        </w:tc>
        <w:tc>
          <w:tcPr>
            <w:tcW w:w="716" w:type="dxa"/>
            <w:vMerge/>
            <w:shd w:val="clear" w:color="auto" w:fill="auto"/>
          </w:tcPr>
          <w:p w14:paraId="604F845C" w14:textId="77777777" w:rsidR="00E9008A" w:rsidRPr="003A0C5C" w:rsidRDefault="00E9008A" w:rsidP="00313B2A">
            <w:pPr>
              <w:pStyle w:val="Tabletext"/>
              <w:jc w:val="center"/>
            </w:pPr>
          </w:p>
        </w:tc>
        <w:tc>
          <w:tcPr>
            <w:tcW w:w="716" w:type="dxa"/>
            <w:gridSpan w:val="2"/>
            <w:vMerge/>
            <w:shd w:val="clear" w:color="auto" w:fill="auto"/>
          </w:tcPr>
          <w:p w14:paraId="6595B947" w14:textId="77777777" w:rsidR="00E9008A" w:rsidRPr="003A0C5C" w:rsidRDefault="00E9008A" w:rsidP="00313B2A">
            <w:pPr>
              <w:pStyle w:val="Tabletext"/>
              <w:jc w:val="center"/>
            </w:pPr>
          </w:p>
        </w:tc>
      </w:tr>
      <w:tr w:rsidR="003A0C5C" w:rsidRPr="003A0C5C" w14:paraId="7D2D021D" w14:textId="77777777" w:rsidTr="00313B2A">
        <w:trPr>
          <w:cantSplit/>
        </w:trPr>
        <w:tc>
          <w:tcPr>
            <w:tcW w:w="2857" w:type="dxa"/>
            <w:tcBorders>
              <w:top w:val="nil"/>
              <w:bottom w:val="nil"/>
            </w:tcBorders>
            <w:shd w:val="clear" w:color="auto" w:fill="auto"/>
          </w:tcPr>
          <w:p w14:paraId="43D191D7" w14:textId="77777777" w:rsidR="00ED505C" w:rsidRPr="003A0C5C" w:rsidRDefault="00ED505C" w:rsidP="00ED505C">
            <w:pPr>
              <w:pStyle w:val="Tabletext"/>
              <w:keepNext/>
            </w:pPr>
            <w:r w:rsidRPr="003A0C5C">
              <w:t>Sweepers/Scrubbers</w:t>
            </w:r>
          </w:p>
        </w:tc>
        <w:tc>
          <w:tcPr>
            <w:tcW w:w="1241" w:type="dxa"/>
            <w:tcBorders>
              <w:top w:val="nil"/>
              <w:bottom w:val="nil"/>
            </w:tcBorders>
            <w:shd w:val="clear" w:color="auto" w:fill="auto"/>
          </w:tcPr>
          <w:p w14:paraId="59D4C3F7" w14:textId="77777777" w:rsidR="00ED505C" w:rsidRPr="003A0C5C" w:rsidRDefault="00ED505C" w:rsidP="00ED505C">
            <w:pPr>
              <w:pStyle w:val="Tabletext"/>
              <w:jc w:val="center"/>
            </w:pPr>
            <w:r w:rsidRPr="003A0C5C">
              <w:t>85</w:t>
            </w:r>
          </w:p>
        </w:tc>
        <w:tc>
          <w:tcPr>
            <w:tcW w:w="959" w:type="dxa"/>
            <w:tcBorders>
              <w:top w:val="nil"/>
              <w:bottom w:val="nil"/>
            </w:tcBorders>
            <w:shd w:val="clear" w:color="auto" w:fill="auto"/>
          </w:tcPr>
          <w:p w14:paraId="526EB2EC" w14:textId="77777777" w:rsidR="00ED505C" w:rsidRPr="003A0C5C" w:rsidRDefault="00ED505C" w:rsidP="00ED505C">
            <w:pPr>
              <w:pStyle w:val="Tabletext"/>
              <w:jc w:val="center"/>
            </w:pPr>
            <w:r w:rsidRPr="003A0C5C">
              <w:t>1</w:t>
            </w:r>
          </w:p>
        </w:tc>
        <w:tc>
          <w:tcPr>
            <w:tcW w:w="715" w:type="dxa"/>
            <w:gridSpan w:val="2"/>
            <w:vMerge w:val="restart"/>
            <w:shd w:val="clear" w:color="auto" w:fill="auto"/>
          </w:tcPr>
          <w:p w14:paraId="7BD2D98E" w14:textId="55C235C9" w:rsidR="00ED505C" w:rsidRPr="003A0C5C" w:rsidRDefault="00ED505C" w:rsidP="00ED505C">
            <w:pPr>
              <w:pStyle w:val="Tabletext"/>
              <w:jc w:val="center"/>
            </w:pPr>
            <w:r w:rsidRPr="003A0C5C">
              <w:t>76</w:t>
            </w:r>
          </w:p>
        </w:tc>
        <w:tc>
          <w:tcPr>
            <w:tcW w:w="716" w:type="dxa"/>
            <w:gridSpan w:val="2"/>
            <w:vMerge w:val="restart"/>
            <w:shd w:val="clear" w:color="auto" w:fill="auto"/>
          </w:tcPr>
          <w:p w14:paraId="62F103E9" w14:textId="16964A58" w:rsidR="00ED505C" w:rsidRPr="003A0C5C" w:rsidRDefault="00ED505C" w:rsidP="00ED505C">
            <w:pPr>
              <w:pStyle w:val="Tabletext"/>
              <w:jc w:val="center"/>
            </w:pPr>
            <w:r w:rsidRPr="003A0C5C">
              <w:t>74</w:t>
            </w:r>
          </w:p>
        </w:tc>
        <w:tc>
          <w:tcPr>
            <w:tcW w:w="716" w:type="dxa"/>
            <w:vMerge w:val="restart"/>
            <w:shd w:val="clear" w:color="auto" w:fill="auto"/>
          </w:tcPr>
          <w:p w14:paraId="532FEE11" w14:textId="1EAEE225" w:rsidR="00ED505C" w:rsidRPr="003A0C5C" w:rsidRDefault="00ED505C" w:rsidP="00ED505C">
            <w:pPr>
              <w:pStyle w:val="Tabletext"/>
              <w:jc w:val="center"/>
            </w:pPr>
            <w:r w:rsidRPr="003A0C5C">
              <w:t>76</w:t>
            </w:r>
          </w:p>
        </w:tc>
        <w:tc>
          <w:tcPr>
            <w:tcW w:w="716" w:type="dxa"/>
            <w:gridSpan w:val="2"/>
            <w:vMerge w:val="restart"/>
            <w:shd w:val="clear" w:color="auto" w:fill="auto"/>
          </w:tcPr>
          <w:p w14:paraId="70CCD5A5" w14:textId="3626668E" w:rsidR="00ED505C" w:rsidRPr="003A0C5C" w:rsidRDefault="00ED505C" w:rsidP="00ED505C">
            <w:pPr>
              <w:pStyle w:val="Tabletext"/>
              <w:jc w:val="center"/>
            </w:pPr>
            <w:r w:rsidRPr="003A0C5C">
              <w:t>69</w:t>
            </w:r>
          </w:p>
        </w:tc>
      </w:tr>
      <w:tr w:rsidR="003A0C5C" w:rsidRPr="003A0C5C" w14:paraId="1E1DAB4D" w14:textId="77777777" w:rsidTr="00313B2A">
        <w:trPr>
          <w:cantSplit/>
        </w:trPr>
        <w:tc>
          <w:tcPr>
            <w:tcW w:w="2857" w:type="dxa"/>
            <w:tcBorders>
              <w:top w:val="nil"/>
              <w:bottom w:val="nil"/>
            </w:tcBorders>
            <w:shd w:val="clear" w:color="auto" w:fill="auto"/>
          </w:tcPr>
          <w:p w14:paraId="42B71762" w14:textId="77777777" w:rsidR="00E9008A" w:rsidRPr="003A0C5C" w:rsidRDefault="00E9008A" w:rsidP="00313B2A">
            <w:pPr>
              <w:pStyle w:val="Tabletext"/>
              <w:keepNext/>
            </w:pPr>
            <w:r w:rsidRPr="003A0C5C">
              <w:t>Backhoes</w:t>
            </w:r>
          </w:p>
        </w:tc>
        <w:tc>
          <w:tcPr>
            <w:tcW w:w="1241" w:type="dxa"/>
            <w:tcBorders>
              <w:top w:val="nil"/>
              <w:bottom w:val="nil"/>
            </w:tcBorders>
            <w:shd w:val="clear" w:color="auto" w:fill="auto"/>
          </w:tcPr>
          <w:p w14:paraId="0508E665" w14:textId="77777777" w:rsidR="00E9008A" w:rsidRPr="003A0C5C" w:rsidRDefault="00E9008A" w:rsidP="00313B2A">
            <w:pPr>
              <w:pStyle w:val="Tabletext"/>
              <w:jc w:val="center"/>
            </w:pPr>
            <w:r w:rsidRPr="003A0C5C">
              <w:t>80</w:t>
            </w:r>
          </w:p>
        </w:tc>
        <w:tc>
          <w:tcPr>
            <w:tcW w:w="959" w:type="dxa"/>
            <w:tcBorders>
              <w:top w:val="nil"/>
              <w:bottom w:val="nil"/>
            </w:tcBorders>
            <w:shd w:val="clear" w:color="auto" w:fill="auto"/>
          </w:tcPr>
          <w:p w14:paraId="417B515C" w14:textId="77777777" w:rsidR="00E9008A" w:rsidRPr="003A0C5C" w:rsidRDefault="00E9008A" w:rsidP="00313B2A">
            <w:pPr>
              <w:pStyle w:val="Tabletext"/>
              <w:jc w:val="center"/>
            </w:pPr>
            <w:r w:rsidRPr="003A0C5C">
              <w:t>2</w:t>
            </w:r>
          </w:p>
        </w:tc>
        <w:tc>
          <w:tcPr>
            <w:tcW w:w="715" w:type="dxa"/>
            <w:gridSpan w:val="2"/>
            <w:vMerge/>
            <w:shd w:val="clear" w:color="auto" w:fill="auto"/>
          </w:tcPr>
          <w:p w14:paraId="32ED17C1" w14:textId="77777777" w:rsidR="00E9008A" w:rsidRPr="003A0C5C" w:rsidRDefault="00E9008A" w:rsidP="00313B2A">
            <w:pPr>
              <w:pStyle w:val="Tabletext"/>
              <w:jc w:val="center"/>
            </w:pPr>
          </w:p>
        </w:tc>
        <w:tc>
          <w:tcPr>
            <w:tcW w:w="716" w:type="dxa"/>
            <w:gridSpan w:val="2"/>
            <w:vMerge/>
            <w:shd w:val="clear" w:color="auto" w:fill="auto"/>
          </w:tcPr>
          <w:p w14:paraId="4CB51F14" w14:textId="77777777" w:rsidR="00E9008A" w:rsidRPr="003A0C5C" w:rsidRDefault="00E9008A" w:rsidP="00313B2A">
            <w:pPr>
              <w:pStyle w:val="Tabletext"/>
              <w:jc w:val="center"/>
            </w:pPr>
          </w:p>
        </w:tc>
        <w:tc>
          <w:tcPr>
            <w:tcW w:w="716" w:type="dxa"/>
            <w:vMerge/>
            <w:shd w:val="clear" w:color="auto" w:fill="auto"/>
          </w:tcPr>
          <w:p w14:paraId="5B76258B" w14:textId="77777777" w:rsidR="00E9008A" w:rsidRPr="003A0C5C" w:rsidRDefault="00E9008A" w:rsidP="00313B2A">
            <w:pPr>
              <w:pStyle w:val="Tabletext"/>
              <w:jc w:val="center"/>
            </w:pPr>
          </w:p>
        </w:tc>
        <w:tc>
          <w:tcPr>
            <w:tcW w:w="716" w:type="dxa"/>
            <w:gridSpan w:val="2"/>
            <w:vMerge/>
            <w:shd w:val="clear" w:color="auto" w:fill="auto"/>
          </w:tcPr>
          <w:p w14:paraId="5E8B392F" w14:textId="77777777" w:rsidR="00E9008A" w:rsidRPr="003A0C5C" w:rsidRDefault="00E9008A" w:rsidP="00313B2A">
            <w:pPr>
              <w:pStyle w:val="Tabletext"/>
              <w:jc w:val="center"/>
            </w:pPr>
          </w:p>
        </w:tc>
      </w:tr>
      <w:tr w:rsidR="003A0C5C" w:rsidRPr="003A0C5C" w14:paraId="0D768498" w14:textId="77777777" w:rsidTr="00313B2A">
        <w:trPr>
          <w:cantSplit/>
        </w:trPr>
        <w:tc>
          <w:tcPr>
            <w:tcW w:w="2857" w:type="dxa"/>
            <w:tcBorders>
              <w:top w:val="nil"/>
              <w:bottom w:val="nil"/>
            </w:tcBorders>
            <w:shd w:val="clear" w:color="auto" w:fill="auto"/>
          </w:tcPr>
          <w:p w14:paraId="734159AC" w14:textId="77777777" w:rsidR="00E9008A" w:rsidRPr="003A0C5C" w:rsidRDefault="00E9008A" w:rsidP="00313B2A">
            <w:pPr>
              <w:pStyle w:val="Tabletext"/>
              <w:keepNext/>
            </w:pPr>
            <w:r w:rsidRPr="003A0C5C">
              <w:t>Compactors</w:t>
            </w:r>
          </w:p>
        </w:tc>
        <w:tc>
          <w:tcPr>
            <w:tcW w:w="1241" w:type="dxa"/>
            <w:tcBorders>
              <w:top w:val="nil"/>
              <w:bottom w:val="nil"/>
            </w:tcBorders>
            <w:shd w:val="clear" w:color="auto" w:fill="auto"/>
          </w:tcPr>
          <w:p w14:paraId="2D1A1E3C" w14:textId="77777777" w:rsidR="00E9008A" w:rsidRPr="003A0C5C" w:rsidRDefault="00E9008A" w:rsidP="00313B2A">
            <w:pPr>
              <w:pStyle w:val="Tabletext"/>
              <w:jc w:val="center"/>
            </w:pPr>
            <w:r w:rsidRPr="003A0C5C">
              <w:t>80</w:t>
            </w:r>
          </w:p>
        </w:tc>
        <w:tc>
          <w:tcPr>
            <w:tcW w:w="959" w:type="dxa"/>
            <w:tcBorders>
              <w:top w:val="nil"/>
              <w:bottom w:val="nil"/>
            </w:tcBorders>
            <w:shd w:val="clear" w:color="auto" w:fill="auto"/>
          </w:tcPr>
          <w:p w14:paraId="5E06BC49" w14:textId="77777777" w:rsidR="00E9008A" w:rsidRPr="003A0C5C" w:rsidRDefault="00E9008A" w:rsidP="00313B2A">
            <w:pPr>
              <w:pStyle w:val="Tabletext"/>
              <w:jc w:val="center"/>
            </w:pPr>
            <w:r w:rsidRPr="003A0C5C">
              <w:t>1</w:t>
            </w:r>
          </w:p>
        </w:tc>
        <w:tc>
          <w:tcPr>
            <w:tcW w:w="715" w:type="dxa"/>
            <w:gridSpan w:val="2"/>
            <w:vMerge/>
            <w:shd w:val="clear" w:color="auto" w:fill="auto"/>
          </w:tcPr>
          <w:p w14:paraId="43722A37" w14:textId="77777777" w:rsidR="00E9008A" w:rsidRPr="003A0C5C" w:rsidRDefault="00E9008A" w:rsidP="00313B2A">
            <w:pPr>
              <w:pStyle w:val="Tabletext"/>
              <w:jc w:val="center"/>
            </w:pPr>
          </w:p>
        </w:tc>
        <w:tc>
          <w:tcPr>
            <w:tcW w:w="716" w:type="dxa"/>
            <w:gridSpan w:val="2"/>
            <w:vMerge/>
            <w:shd w:val="clear" w:color="auto" w:fill="auto"/>
          </w:tcPr>
          <w:p w14:paraId="0DCA56D3" w14:textId="77777777" w:rsidR="00E9008A" w:rsidRPr="003A0C5C" w:rsidRDefault="00E9008A" w:rsidP="00313B2A">
            <w:pPr>
              <w:pStyle w:val="Tabletext"/>
              <w:jc w:val="center"/>
            </w:pPr>
          </w:p>
        </w:tc>
        <w:tc>
          <w:tcPr>
            <w:tcW w:w="716" w:type="dxa"/>
            <w:vMerge/>
            <w:shd w:val="clear" w:color="auto" w:fill="auto"/>
          </w:tcPr>
          <w:p w14:paraId="2671A423" w14:textId="77777777" w:rsidR="00E9008A" w:rsidRPr="003A0C5C" w:rsidRDefault="00E9008A" w:rsidP="00313B2A">
            <w:pPr>
              <w:pStyle w:val="Tabletext"/>
              <w:jc w:val="center"/>
            </w:pPr>
          </w:p>
        </w:tc>
        <w:tc>
          <w:tcPr>
            <w:tcW w:w="716" w:type="dxa"/>
            <w:gridSpan w:val="2"/>
            <w:vMerge/>
            <w:shd w:val="clear" w:color="auto" w:fill="auto"/>
          </w:tcPr>
          <w:p w14:paraId="70B29121" w14:textId="77777777" w:rsidR="00E9008A" w:rsidRPr="003A0C5C" w:rsidRDefault="00E9008A" w:rsidP="00313B2A">
            <w:pPr>
              <w:pStyle w:val="Tabletext"/>
              <w:jc w:val="center"/>
            </w:pPr>
          </w:p>
        </w:tc>
      </w:tr>
      <w:tr w:rsidR="003A0C5C" w:rsidRPr="003A0C5C" w14:paraId="7A2C9015" w14:textId="77777777" w:rsidTr="00313B2A">
        <w:trPr>
          <w:cantSplit/>
        </w:trPr>
        <w:tc>
          <w:tcPr>
            <w:tcW w:w="2857" w:type="dxa"/>
            <w:tcBorders>
              <w:top w:val="nil"/>
              <w:bottom w:val="nil"/>
            </w:tcBorders>
            <w:shd w:val="clear" w:color="auto" w:fill="auto"/>
          </w:tcPr>
          <w:p w14:paraId="16C97A63" w14:textId="77777777" w:rsidR="00E9008A" w:rsidRPr="003A0C5C" w:rsidRDefault="00E9008A" w:rsidP="00313B2A">
            <w:pPr>
              <w:pStyle w:val="Tabletext"/>
              <w:keepNext/>
            </w:pPr>
            <w:r w:rsidRPr="003A0C5C">
              <w:t>Dumpers/Tenders</w:t>
            </w:r>
          </w:p>
        </w:tc>
        <w:tc>
          <w:tcPr>
            <w:tcW w:w="1241" w:type="dxa"/>
            <w:tcBorders>
              <w:top w:val="nil"/>
              <w:bottom w:val="nil"/>
            </w:tcBorders>
            <w:shd w:val="clear" w:color="auto" w:fill="auto"/>
          </w:tcPr>
          <w:p w14:paraId="4A68E029" w14:textId="77777777" w:rsidR="00E9008A" w:rsidRPr="003A0C5C" w:rsidRDefault="00E9008A" w:rsidP="00313B2A">
            <w:pPr>
              <w:pStyle w:val="Tabletext"/>
              <w:jc w:val="center"/>
            </w:pPr>
            <w:r w:rsidRPr="003A0C5C">
              <w:t>84</w:t>
            </w:r>
          </w:p>
        </w:tc>
        <w:tc>
          <w:tcPr>
            <w:tcW w:w="959" w:type="dxa"/>
            <w:tcBorders>
              <w:top w:val="nil"/>
              <w:bottom w:val="nil"/>
            </w:tcBorders>
            <w:shd w:val="clear" w:color="auto" w:fill="auto"/>
          </w:tcPr>
          <w:p w14:paraId="346C6793" w14:textId="77777777" w:rsidR="00E9008A" w:rsidRPr="003A0C5C" w:rsidRDefault="00E9008A" w:rsidP="00313B2A">
            <w:pPr>
              <w:pStyle w:val="Tabletext"/>
              <w:jc w:val="center"/>
            </w:pPr>
            <w:r w:rsidRPr="003A0C5C">
              <w:t>2</w:t>
            </w:r>
          </w:p>
        </w:tc>
        <w:tc>
          <w:tcPr>
            <w:tcW w:w="715" w:type="dxa"/>
            <w:gridSpan w:val="2"/>
            <w:vMerge w:val="restart"/>
            <w:shd w:val="clear" w:color="auto" w:fill="auto"/>
          </w:tcPr>
          <w:p w14:paraId="3DCE54B5" w14:textId="77777777" w:rsidR="00E9008A" w:rsidRPr="003A0C5C" w:rsidRDefault="00E9008A" w:rsidP="00313B2A">
            <w:pPr>
              <w:pStyle w:val="Tabletext"/>
              <w:jc w:val="center"/>
            </w:pPr>
          </w:p>
        </w:tc>
        <w:tc>
          <w:tcPr>
            <w:tcW w:w="716" w:type="dxa"/>
            <w:gridSpan w:val="2"/>
            <w:vMerge w:val="restart"/>
            <w:shd w:val="clear" w:color="auto" w:fill="auto"/>
          </w:tcPr>
          <w:p w14:paraId="2F948995" w14:textId="77777777" w:rsidR="00E9008A" w:rsidRPr="003A0C5C" w:rsidRDefault="00E9008A" w:rsidP="00313B2A">
            <w:pPr>
              <w:pStyle w:val="Tabletext"/>
              <w:jc w:val="center"/>
            </w:pPr>
          </w:p>
        </w:tc>
        <w:tc>
          <w:tcPr>
            <w:tcW w:w="716" w:type="dxa"/>
            <w:vMerge w:val="restart"/>
            <w:shd w:val="clear" w:color="auto" w:fill="auto"/>
          </w:tcPr>
          <w:p w14:paraId="706EED32" w14:textId="77777777" w:rsidR="00E9008A" w:rsidRPr="003A0C5C" w:rsidRDefault="00E9008A" w:rsidP="00313B2A">
            <w:pPr>
              <w:pStyle w:val="Tabletext"/>
              <w:jc w:val="center"/>
            </w:pPr>
          </w:p>
        </w:tc>
        <w:tc>
          <w:tcPr>
            <w:tcW w:w="716" w:type="dxa"/>
            <w:gridSpan w:val="2"/>
            <w:vMerge w:val="restart"/>
            <w:shd w:val="clear" w:color="auto" w:fill="auto"/>
          </w:tcPr>
          <w:p w14:paraId="6A8E8FB9" w14:textId="77777777" w:rsidR="00E9008A" w:rsidRPr="003A0C5C" w:rsidRDefault="00E9008A" w:rsidP="00313B2A">
            <w:pPr>
              <w:pStyle w:val="Tabletext"/>
              <w:jc w:val="center"/>
            </w:pPr>
          </w:p>
        </w:tc>
      </w:tr>
      <w:tr w:rsidR="003A0C5C" w:rsidRPr="003A0C5C" w14:paraId="23F17AE2" w14:textId="77777777" w:rsidTr="00313B2A">
        <w:trPr>
          <w:cantSplit/>
        </w:trPr>
        <w:tc>
          <w:tcPr>
            <w:tcW w:w="2857" w:type="dxa"/>
            <w:tcBorders>
              <w:top w:val="nil"/>
              <w:bottom w:val="nil"/>
            </w:tcBorders>
            <w:shd w:val="clear" w:color="auto" w:fill="auto"/>
          </w:tcPr>
          <w:p w14:paraId="1AA07AB4" w14:textId="77777777" w:rsidR="00E9008A" w:rsidRPr="003A0C5C" w:rsidRDefault="00E9008A" w:rsidP="00313B2A">
            <w:pPr>
              <w:pStyle w:val="Tabletext"/>
              <w:keepNext/>
            </w:pPr>
            <w:r w:rsidRPr="003A0C5C">
              <w:t>Excavators</w:t>
            </w:r>
          </w:p>
        </w:tc>
        <w:tc>
          <w:tcPr>
            <w:tcW w:w="1241" w:type="dxa"/>
            <w:tcBorders>
              <w:top w:val="nil"/>
              <w:bottom w:val="nil"/>
            </w:tcBorders>
            <w:shd w:val="clear" w:color="auto" w:fill="auto"/>
          </w:tcPr>
          <w:p w14:paraId="199015A6" w14:textId="77777777" w:rsidR="00E9008A" w:rsidRPr="003A0C5C" w:rsidRDefault="00E9008A" w:rsidP="00313B2A">
            <w:pPr>
              <w:pStyle w:val="Tabletext"/>
              <w:jc w:val="center"/>
            </w:pPr>
            <w:r w:rsidRPr="003A0C5C">
              <w:t>85</w:t>
            </w:r>
          </w:p>
        </w:tc>
        <w:tc>
          <w:tcPr>
            <w:tcW w:w="959" w:type="dxa"/>
            <w:tcBorders>
              <w:top w:val="nil"/>
              <w:bottom w:val="nil"/>
            </w:tcBorders>
            <w:shd w:val="clear" w:color="auto" w:fill="auto"/>
          </w:tcPr>
          <w:p w14:paraId="479B3501" w14:textId="77777777" w:rsidR="00E9008A" w:rsidRPr="003A0C5C" w:rsidRDefault="00E9008A" w:rsidP="00313B2A">
            <w:pPr>
              <w:pStyle w:val="Tabletext"/>
              <w:jc w:val="center"/>
            </w:pPr>
            <w:r w:rsidRPr="003A0C5C">
              <w:t>1</w:t>
            </w:r>
          </w:p>
        </w:tc>
        <w:tc>
          <w:tcPr>
            <w:tcW w:w="715" w:type="dxa"/>
            <w:gridSpan w:val="2"/>
            <w:vMerge/>
            <w:shd w:val="clear" w:color="auto" w:fill="auto"/>
          </w:tcPr>
          <w:p w14:paraId="284D4DF1" w14:textId="77777777" w:rsidR="00E9008A" w:rsidRPr="003A0C5C" w:rsidRDefault="00E9008A" w:rsidP="00313B2A">
            <w:pPr>
              <w:pStyle w:val="Tabletext"/>
              <w:jc w:val="center"/>
            </w:pPr>
          </w:p>
        </w:tc>
        <w:tc>
          <w:tcPr>
            <w:tcW w:w="716" w:type="dxa"/>
            <w:gridSpan w:val="2"/>
            <w:vMerge/>
            <w:shd w:val="clear" w:color="auto" w:fill="auto"/>
          </w:tcPr>
          <w:p w14:paraId="38B3E394" w14:textId="77777777" w:rsidR="00E9008A" w:rsidRPr="003A0C5C" w:rsidRDefault="00E9008A" w:rsidP="00313B2A">
            <w:pPr>
              <w:pStyle w:val="Tabletext"/>
              <w:jc w:val="center"/>
            </w:pPr>
          </w:p>
        </w:tc>
        <w:tc>
          <w:tcPr>
            <w:tcW w:w="716" w:type="dxa"/>
            <w:vMerge/>
            <w:shd w:val="clear" w:color="auto" w:fill="auto"/>
          </w:tcPr>
          <w:p w14:paraId="682E741D" w14:textId="77777777" w:rsidR="00E9008A" w:rsidRPr="003A0C5C" w:rsidRDefault="00E9008A" w:rsidP="00313B2A">
            <w:pPr>
              <w:pStyle w:val="Tabletext"/>
              <w:jc w:val="center"/>
            </w:pPr>
          </w:p>
        </w:tc>
        <w:tc>
          <w:tcPr>
            <w:tcW w:w="716" w:type="dxa"/>
            <w:gridSpan w:val="2"/>
            <w:vMerge/>
            <w:shd w:val="clear" w:color="auto" w:fill="auto"/>
          </w:tcPr>
          <w:p w14:paraId="59296416" w14:textId="77777777" w:rsidR="00E9008A" w:rsidRPr="003A0C5C" w:rsidRDefault="00E9008A" w:rsidP="00313B2A">
            <w:pPr>
              <w:pStyle w:val="Tabletext"/>
              <w:jc w:val="center"/>
            </w:pPr>
          </w:p>
        </w:tc>
      </w:tr>
      <w:tr w:rsidR="003A0C5C" w:rsidRPr="003A0C5C" w14:paraId="3C58CA34" w14:textId="77777777" w:rsidTr="00313B2A">
        <w:trPr>
          <w:cantSplit/>
        </w:trPr>
        <w:tc>
          <w:tcPr>
            <w:tcW w:w="2857" w:type="dxa"/>
            <w:tcBorders>
              <w:top w:val="nil"/>
              <w:bottom w:val="nil"/>
            </w:tcBorders>
            <w:shd w:val="clear" w:color="auto" w:fill="auto"/>
          </w:tcPr>
          <w:p w14:paraId="0203F03F" w14:textId="77777777" w:rsidR="00E9008A" w:rsidRPr="003A0C5C" w:rsidRDefault="00E9008A" w:rsidP="00313B2A">
            <w:pPr>
              <w:pStyle w:val="Tabletext"/>
              <w:keepNext/>
            </w:pPr>
            <w:r w:rsidRPr="003A0C5C">
              <w:t>Generator</w:t>
            </w:r>
          </w:p>
        </w:tc>
        <w:tc>
          <w:tcPr>
            <w:tcW w:w="1241" w:type="dxa"/>
            <w:tcBorders>
              <w:top w:val="nil"/>
              <w:bottom w:val="nil"/>
            </w:tcBorders>
            <w:shd w:val="clear" w:color="auto" w:fill="auto"/>
          </w:tcPr>
          <w:p w14:paraId="6C244094" w14:textId="77777777" w:rsidR="00E9008A" w:rsidRPr="003A0C5C" w:rsidRDefault="00E9008A" w:rsidP="00313B2A">
            <w:pPr>
              <w:pStyle w:val="Tabletext"/>
              <w:jc w:val="center"/>
            </w:pPr>
            <w:r w:rsidRPr="003A0C5C">
              <w:t>82</w:t>
            </w:r>
          </w:p>
        </w:tc>
        <w:tc>
          <w:tcPr>
            <w:tcW w:w="959" w:type="dxa"/>
            <w:tcBorders>
              <w:top w:val="nil"/>
              <w:bottom w:val="nil"/>
            </w:tcBorders>
            <w:shd w:val="clear" w:color="auto" w:fill="auto"/>
          </w:tcPr>
          <w:p w14:paraId="45CE679A" w14:textId="77777777" w:rsidR="00E9008A" w:rsidRPr="003A0C5C" w:rsidRDefault="00E9008A" w:rsidP="00313B2A">
            <w:pPr>
              <w:pStyle w:val="Tabletext"/>
              <w:jc w:val="center"/>
            </w:pPr>
            <w:r w:rsidRPr="003A0C5C">
              <w:t>2</w:t>
            </w:r>
          </w:p>
        </w:tc>
        <w:tc>
          <w:tcPr>
            <w:tcW w:w="715" w:type="dxa"/>
            <w:gridSpan w:val="2"/>
            <w:vMerge/>
            <w:tcBorders>
              <w:bottom w:val="nil"/>
            </w:tcBorders>
            <w:shd w:val="clear" w:color="auto" w:fill="auto"/>
          </w:tcPr>
          <w:p w14:paraId="1A6956D7" w14:textId="77777777" w:rsidR="00E9008A" w:rsidRPr="003A0C5C" w:rsidRDefault="00E9008A" w:rsidP="00313B2A">
            <w:pPr>
              <w:pStyle w:val="Tabletext"/>
              <w:jc w:val="center"/>
            </w:pPr>
          </w:p>
        </w:tc>
        <w:tc>
          <w:tcPr>
            <w:tcW w:w="716" w:type="dxa"/>
            <w:gridSpan w:val="2"/>
            <w:vMerge/>
            <w:tcBorders>
              <w:bottom w:val="nil"/>
            </w:tcBorders>
            <w:shd w:val="clear" w:color="auto" w:fill="auto"/>
          </w:tcPr>
          <w:p w14:paraId="56352C0E" w14:textId="77777777" w:rsidR="00E9008A" w:rsidRPr="003A0C5C" w:rsidRDefault="00E9008A" w:rsidP="00313B2A">
            <w:pPr>
              <w:pStyle w:val="Tabletext"/>
              <w:jc w:val="center"/>
            </w:pPr>
          </w:p>
        </w:tc>
        <w:tc>
          <w:tcPr>
            <w:tcW w:w="716" w:type="dxa"/>
            <w:vMerge/>
            <w:tcBorders>
              <w:bottom w:val="nil"/>
            </w:tcBorders>
            <w:shd w:val="clear" w:color="auto" w:fill="auto"/>
          </w:tcPr>
          <w:p w14:paraId="50E7E688" w14:textId="77777777" w:rsidR="00E9008A" w:rsidRPr="003A0C5C" w:rsidRDefault="00E9008A" w:rsidP="00313B2A">
            <w:pPr>
              <w:pStyle w:val="Tabletext"/>
              <w:jc w:val="center"/>
            </w:pPr>
          </w:p>
        </w:tc>
        <w:tc>
          <w:tcPr>
            <w:tcW w:w="716" w:type="dxa"/>
            <w:gridSpan w:val="2"/>
            <w:vMerge/>
            <w:tcBorders>
              <w:bottom w:val="nil"/>
            </w:tcBorders>
            <w:shd w:val="clear" w:color="auto" w:fill="auto"/>
          </w:tcPr>
          <w:p w14:paraId="6B83DA40" w14:textId="77777777" w:rsidR="00E9008A" w:rsidRPr="003A0C5C" w:rsidRDefault="00E9008A" w:rsidP="00313B2A">
            <w:pPr>
              <w:pStyle w:val="Tabletext"/>
              <w:jc w:val="center"/>
            </w:pPr>
          </w:p>
        </w:tc>
      </w:tr>
      <w:tr w:rsidR="003A0C5C" w:rsidRPr="003A0C5C" w14:paraId="24945FBB" w14:textId="77777777" w:rsidTr="00313B2A">
        <w:trPr>
          <w:cantSplit/>
        </w:trPr>
        <w:tc>
          <w:tcPr>
            <w:tcW w:w="7920" w:type="dxa"/>
            <w:gridSpan w:val="10"/>
            <w:tcBorders>
              <w:top w:val="nil"/>
              <w:bottom w:val="nil"/>
            </w:tcBorders>
            <w:shd w:val="clear" w:color="auto" w:fill="D9D9D9" w:themeFill="background1" w:themeFillShade="D9"/>
          </w:tcPr>
          <w:p w14:paraId="3551F798" w14:textId="77777777" w:rsidR="00E9008A" w:rsidRPr="003A0C5C" w:rsidRDefault="00E9008A" w:rsidP="00313B2A">
            <w:pPr>
              <w:pStyle w:val="Tablerowheading"/>
            </w:pPr>
            <w:r w:rsidRPr="003A0C5C">
              <w:t>Foundations/Concrete Pour</w:t>
            </w:r>
          </w:p>
        </w:tc>
      </w:tr>
      <w:tr w:rsidR="003A0C5C" w:rsidRPr="003A0C5C" w14:paraId="29D0D3C4" w14:textId="77777777" w:rsidTr="00313B2A">
        <w:trPr>
          <w:cantSplit/>
        </w:trPr>
        <w:tc>
          <w:tcPr>
            <w:tcW w:w="2857" w:type="dxa"/>
            <w:tcBorders>
              <w:top w:val="nil"/>
              <w:bottom w:val="nil"/>
            </w:tcBorders>
            <w:shd w:val="clear" w:color="auto" w:fill="FFFFFF" w:themeFill="background1"/>
          </w:tcPr>
          <w:p w14:paraId="6B2956C8" w14:textId="77777777" w:rsidR="00E9008A" w:rsidRPr="003A0C5C" w:rsidRDefault="00E9008A" w:rsidP="00313B2A">
            <w:pPr>
              <w:pStyle w:val="Tabletext"/>
              <w:keepNext/>
            </w:pPr>
            <w:r w:rsidRPr="003A0C5C">
              <w:t>Air Compressors</w:t>
            </w:r>
          </w:p>
        </w:tc>
        <w:tc>
          <w:tcPr>
            <w:tcW w:w="1241" w:type="dxa"/>
            <w:tcBorders>
              <w:top w:val="nil"/>
              <w:bottom w:val="nil"/>
            </w:tcBorders>
            <w:shd w:val="clear" w:color="auto" w:fill="FFFFFF" w:themeFill="background1"/>
          </w:tcPr>
          <w:p w14:paraId="2BF32C4C" w14:textId="77777777" w:rsidR="00E9008A" w:rsidRPr="003A0C5C" w:rsidRDefault="00E9008A" w:rsidP="00313B2A">
            <w:pPr>
              <w:pStyle w:val="Tabletext"/>
              <w:jc w:val="center"/>
            </w:pPr>
            <w:r w:rsidRPr="003A0C5C">
              <w:t>80</w:t>
            </w:r>
          </w:p>
        </w:tc>
        <w:tc>
          <w:tcPr>
            <w:tcW w:w="959" w:type="dxa"/>
            <w:tcBorders>
              <w:top w:val="nil"/>
              <w:bottom w:val="nil"/>
            </w:tcBorders>
            <w:shd w:val="clear" w:color="auto" w:fill="FFFFFF" w:themeFill="background1"/>
          </w:tcPr>
          <w:p w14:paraId="2AF719FB" w14:textId="77777777" w:rsidR="00E9008A" w:rsidRPr="003A0C5C" w:rsidRDefault="00E9008A" w:rsidP="00313B2A">
            <w:pPr>
              <w:pStyle w:val="Tabletext"/>
              <w:jc w:val="center"/>
            </w:pPr>
            <w:r w:rsidRPr="003A0C5C">
              <w:t>1</w:t>
            </w:r>
          </w:p>
        </w:tc>
        <w:tc>
          <w:tcPr>
            <w:tcW w:w="715" w:type="dxa"/>
            <w:gridSpan w:val="2"/>
            <w:vMerge w:val="restart"/>
            <w:tcBorders>
              <w:top w:val="nil"/>
            </w:tcBorders>
            <w:shd w:val="clear" w:color="auto" w:fill="FFFFFF" w:themeFill="background1"/>
          </w:tcPr>
          <w:p w14:paraId="64AC78C4" w14:textId="77777777" w:rsidR="00E9008A" w:rsidRPr="003A0C5C" w:rsidDel="001B3D07" w:rsidRDefault="00E9008A" w:rsidP="00313B2A">
            <w:pPr>
              <w:pStyle w:val="Tabletext"/>
              <w:jc w:val="center"/>
            </w:pPr>
            <w:r w:rsidRPr="003A0C5C">
              <w:t>R1</w:t>
            </w:r>
          </w:p>
        </w:tc>
        <w:tc>
          <w:tcPr>
            <w:tcW w:w="716" w:type="dxa"/>
            <w:gridSpan w:val="2"/>
            <w:vMerge w:val="restart"/>
            <w:tcBorders>
              <w:top w:val="nil"/>
            </w:tcBorders>
            <w:shd w:val="clear" w:color="auto" w:fill="FFFFFF" w:themeFill="background1"/>
          </w:tcPr>
          <w:p w14:paraId="47A1D517" w14:textId="77777777" w:rsidR="00E9008A" w:rsidRPr="003A0C5C" w:rsidDel="001B3D07" w:rsidRDefault="00E9008A" w:rsidP="00313B2A">
            <w:pPr>
              <w:pStyle w:val="Tabletext"/>
              <w:jc w:val="center"/>
            </w:pPr>
            <w:r w:rsidRPr="003A0C5C">
              <w:t>R2</w:t>
            </w:r>
          </w:p>
        </w:tc>
        <w:tc>
          <w:tcPr>
            <w:tcW w:w="716" w:type="dxa"/>
            <w:vMerge w:val="restart"/>
            <w:tcBorders>
              <w:top w:val="nil"/>
            </w:tcBorders>
            <w:shd w:val="clear" w:color="auto" w:fill="FFFFFF" w:themeFill="background1"/>
          </w:tcPr>
          <w:p w14:paraId="26789DB0" w14:textId="77777777" w:rsidR="00E9008A" w:rsidRPr="003A0C5C" w:rsidDel="001B3D07" w:rsidRDefault="00E9008A" w:rsidP="00313B2A">
            <w:pPr>
              <w:pStyle w:val="Tabletext"/>
              <w:jc w:val="center"/>
            </w:pPr>
            <w:r w:rsidRPr="003A0C5C">
              <w:t>R3</w:t>
            </w:r>
          </w:p>
        </w:tc>
        <w:tc>
          <w:tcPr>
            <w:tcW w:w="716" w:type="dxa"/>
            <w:gridSpan w:val="2"/>
            <w:vMerge w:val="restart"/>
            <w:tcBorders>
              <w:top w:val="nil"/>
            </w:tcBorders>
            <w:shd w:val="clear" w:color="auto" w:fill="FFFFFF" w:themeFill="background1"/>
          </w:tcPr>
          <w:p w14:paraId="7C46239A" w14:textId="77777777" w:rsidR="00E9008A" w:rsidRPr="003A0C5C" w:rsidDel="001B3D07" w:rsidRDefault="00E9008A" w:rsidP="00313B2A">
            <w:pPr>
              <w:pStyle w:val="Tabletext"/>
              <w:jc w:val="center"/>
            </w:pPr>
            <w:r w:rsidRPr="003A0C5C">
              <w:t>R4</w:t>
            </w:r>
          </w:p>
        </w:tc>
      </w:tr>
      <w:tr w:rsidR="003A0C5C" w:rsidRPr="003A0C5C" w14:paraId="27D32BEC" w14:textId="77777777" w:rsidTr="00313B2A">
        <w:trPr>
          <w:cantSplit/>
        </w:trPr>
        <w:tc>
          <w:tcPr>
            <w:tcW w:w="2857" w:type="dxa"/>
            <w:tcBorders>
              <w:top w:val="nil"/>
              <w:bottom w:val="nil"/>
            </w:tcBorders>
            <w:shd w:val="clear" w:color="auto" w:fill="FFFFFF" w:themeFill="background1"/>
          </w:tcPr>
          <w:p w14:paraId="4B58D3C1" w14:textId="77777777" w:rsidR="00E9008A" w:rsidRPr="003A0C5C" w:rsidRDefault="00E9008A" w:rsidP="00313B2A">
            <w:pPr>
              <w:pStyle w:val="Tabletext"/>
              <w:keepNext/>
            </w:pPr>
            <w:r w:rsidRPr="003A0C5C">
              <w:t>Loaders</w:t>
            </w:r>
          </w:p>
        </w:tc>
        <w:tc>
          <w:tcPr>
            <w:tcW w:w="1241" w:type="dxa"/>
            <w:tcBorders>
              <w:top w:val="nil"/>
              <w:bottom w:val="nil"/>
            </w:tcBorders>
            <w:shd w:val="clear" w:color="auto" w:fill="FFFFFF" w:themeFill="background1"/>
          </w:tcPr>
          <w:p w14:paraId="29C06CE1" w14:textId="77777777" w:rsidR="00E9008A" w:rsidRPr="003A0C5C" w:rsidRDefault="00E9008A" w:rsidP="00313B2A">
            <w:pPr>
              <w:pStyle w:val="Tabletext"/>
              <w:jc w:val="center"/>
            </w:pPr>
            <w:r w:rsidRPr="003A0C5C">
              <w:t>80</w:t>
            </w:r>
          </w:p>
        </w:tc>
        <w:tc>
          <w:tcPr>
            <w:tcW w:w="959" w:type="dxa"/>
            <w:tcBorders>
              <w:top w:val="nil"/>
              <w:bottom w:val="nil"/>
            </w:tcBorders>
            <w:shd w:val="clear" w:color="auto" w:fill="FFFFFF" w:themeFill="background1"/>
          </w:tcPr>
          <w:p w14:paraId="561DBE71" w14:textId="77777777" w:rsidR="00E9008A" w:rsidRPr="003A0C5C" w:rsidRDefault="00E9008A" w:rsidP="00313B2A">
            <w:pPr>
              <w:pStyle w:val="Tabletext"/>
              <w:jc w:val="center"/>
            </w:pPr>
            <w:r w:rsidRPr="003A0C5C">
              <w:t>2</w:t>
            </w:r>
          </w:p>
        </w:tc>
        <w:tc>
          <w:tcPr>
            <w:tcW w:w="715" w:type="dxa"/>
            <w:gridSpan w:val="2"/>
            <w:vMerge/>
            <w:shd w:val="clear" w:color="auto" w:fill="FFFFFF" w:themeFill="background1"/>
          </w:tcPr>
          <w:p w14:paraId="4E1FD290" w14:textId="77777777" w:rsidR="00E9008A" w:rsidRPr="003A0C5C" w:rsidRDefault="00E9008A" w:rsidP="00313B2A">
            <w:pPr>
              <w:pStyle w:val="Tabletext"/>
              <w:jc w:val="center"/>
            </w:pPr>
          </w:p>
        </w:tc>
        <w:tc>
          <w:tcPr>
            <w:tcW w:w="716" w:type="dxa"/>
            <w:gridSpan w:val="2"/>
            <w:vMerge/>
            <w:shd w:val="clear" w:color="auto" w:fill="FFFFFF" w:themeFill="background1"/>
          </w:tcPr>
          <w:p w14:paraId="35DDAC2A" w14:textId="77777777" w:rsidR="00E9008A" w:rsidRPr="003A0C5C" w:rsidRDefault="00E9008A" w:rsidP="00313B2A">
            <w:pPr>
              <w:pStyle w:val="Tabletext"/>
              <w:jc w:val="center"/>
            </w:pPr>
          </w:p>
        </w:tc>
        <w:tc>
          <w:tcPr>
            <w:tcW w:w="716" w:type="dxa"/>
            <w:vMerge/>
            <w:shd w:val="clear" w:color="auto" w:fill="FFFFFF" w:themeFill="background1"/>
          </w:tcPr>
          <w:p w14:paraId="14229689" w14:textId="77777777" w:rsidR="00E9008A" w:rsidRPr="003A0C5C" w:rsidRDefault="00E9008A" w:rsidP="00313B2A">
            <w:pPr>
              <w:pStyle w:val="Tabletext"/>
              <w:jc w:val="center"/>
            </w:pPr>
          </w:p>
        </w:tc>
        <w:tc>
          <w:tcPr>
            <w:tcW w:w="716" w:type="dxa"/>
            <w:gridSpan w:val="2"/>
            <w:vMerge/>
            <w:shd w:val="clear" w:color="auto" w:fill="FFFFFF" w:themeFill="background1"/>
          </w:tcPr>
          <w:p w14:paraId="0DF5BFFE" w14:textId="77777777" w:rsidR="00E9008A" w:rsidRPr="003A0C5C" w:rsidRDefault="00E9008A" w:rsidP="00313B2A">
            <w:pPr>
              <w:pStyle w:val="Tabletext"/>
              <w:jc w:val="center"/>
            </w:pPr>
          </w:p>
        </w:tc>
      </w:tr>
      <w:tr w:rsidR="003A0C5C" w:rsidRPr="003A0C5C" w14:paraId="7D1E991C" w14:textId="77777777" w:rsidTr="00160F99">
        <w:trPr>
          <w:cantSplit/>
        </w:trPr>
        <w:tc>
          <w:tcPr>
            <w:tcW w:w="2857" w:type="dxa"/>
            <w:tcBorders>
              <w:top w:val="nil"/>
              <w:bottom w:val="nil"/>
            </w:tcBorders>
            <w:shd w:val="clear" w:color="auto" w:fill="FFFFFF" w:themeFill="background1"/>
          </w:tcPr>
          <w:p w14:paraId="6B48BC7F" w14:textId="77777777" w:rsidR="00E9008A" w:rsidRPr="003A0C5C" w:rsidRDefault="00E9008A" w:rsidP="00313B2A">
            <w:pPr>
              <w:pStyle w:val="Tabletext"/>
              <w:keepNext/>
            </w:pPr>
            <w:r w:rsidRPr="003A0C5C">
              <w:t>Pumps</w:t>
            </w:r>
          </w:p>
        </w:tc>
        <w:tc>
          <w:tcPr>
            <w:tcW w:w="1241" w:type="dxa"/>
            <w:tcBorders>
              <w:top w:val="nil"/>
              <w:bottom w:val="nil"/>
            </w:tcBorders>
            <w:shd w:val="clear" w:color="auto" w:fill="FFFFFF" w:themeFill="background1"/>
          </w:tcPr>
          <w:p w14:paraId="60744414" w14:textId="77777777" w:rsidR="00E9008A" w:rsidRPr="003A0C5C" w:rsidRDefault="00E9008A" w:rsidP="00313B2A">
            <w:pPr>
              <w:pStyle w:val="Tabletext"/>
              <w:jc w:val="center"/>
            </w:pPr>
            <w:r w:rsidRPr="003A0C5C">
              <w:t>77</w:t>
            </w:r>
          </w:p>
        </w:tc>
        <w:tc>
          <w:tcPr>
            <w:tcW w:w="959" w:type="dxa"/>
            <w:tcBorders>
              <w:top w:val="nil"/>
              <w:bottom w:val="nil"/>
            </w:tcBorders>
            <w:shd w:val="clear" w:color="auto" w:fill="FFFFFF" w:themeFill="background1"/>
          </w:tcPr>
          <w:p w14:paraId="67649B7D" w14:textId="77777777" w:rsidR="00E9008A" w:rsidRPr="003A0C5C" w:rsidRDefault="00E9008A" w:rsidP="00313B2A">
            <w:pPr>
              <w:pStyle w:val="Tabletext"/>
              <w:jc w:val="center"/>
            </w:pPr>
            <w:r w:rsidRPr="003A0C5C">
              <w:t>1</w:t>
            </w:r>
          </w:p>
        </w:tc>
        <w:tc>
          <w:tcPr>
            <w:tcW w:w="715" w:type="dxa"/>
            <w:gridSpan w:val="2"/>
            <w:vMerge/>
            <w:tcBorders>
              <w:bottom w:val="nil"/>
            </w:tcBorders>
            <w:shd w:val="clear" w:color="auto" w:fill="FFFFFF" w:themeFill="background1"/>
          </w:tcPr>
          <w:p w14:paraId="19ADFDA7" w14:textId="77777777" w:rsidR="00E9008A" w:rsidRPr="003A0C5C" w:rsidRDefault="00E9008A" w:rsidP="00313B2A">
            <w:pPr>
              <w:pStyle w:val="Tabletext"/>
              <w:jc w:val="center"/>
            </w:pPr>
          </w:p>
        </w:tc>
        <w:tc>
          <w:tcPr>
            <w:tcW w:w="716" w:type="dxa"/>
            <w:gridSpan w:val="2"/>
            <w:vMerge/>
            <w:tcBorders>
              <w:bottom w:val="nil"/>
            </w:tcBorders>
            <w:shd w:val="clear" w:color="auto" w:fill="FFFFFF" w:themeFill="background1"/>
          </w:tcPr>
          <w:p w14:paraId="42E8B115" w14:textId="77777777" w:rsidR="00E9008A" w:rsidRPr="003A0C5C" w:rsidRDefault="00E9008A" w:rsidP="00313B2A">
            <w:pPr>
              <w:pStyle w:val="Tabletext"/>
              <w:jc w:val="center"/>
            </w:pPr>
          </w:p>
        </w:tc>
        <w:tc>
          <w:tcPr>
            <w:tcW w:w="716" w:type="dxa"/>
            <w:vMerge/>
            <w:tcBorders>
              <w:bottom w:val="nil"/>
            </w:tcBorders>
            <w:shd w:val="clear" w:color="auto" w:fill="FFFFFF" w:themeFill="background1"/>
          </w:tcPr>
          <w:p w14:paraId="73DE3C0E" w14:textId="77777777" w:rsidR="00E9008A" w:rsidRPr="003A0C5C" w:rsidRDefault="00E9008A" w:rsidP="00313B2A">
            <w:pPr>
              <w:pStyle w:val="Tabletext"/>
              <w:jc w:val="center"/>
            </w:pPr>
          </w:p>
        </w:tc>
        <w:tc>
          <w:tcPr>
            <w:tcW w:w="716" w:type="dxa"/>
            <w:gridSpan w:val="2"/>
            <w:vMerge/>
            <w:tcBorders>
              <w:bottom w:val="nil"/>
            </w:tcBorders>
            <w:shd w:val="clear" w:color="auto" w:fill="FFFFFF" w:themeFill="background1"/>
          </w:tcPr>
          <w:p w14:paraId="2FB2E597" w14:textId="77777777" w:rsidR="00E9008A" w:rsidRPr="003A0C5C" w:rsidRDefault="00E9008A" w:rsidP="00313B2A">
            <w:pPr>
              <w:pStyle w:val="Tabletext"/>
              <w:jc w:val="center"/>
            </w:pPr>
          </w:p>
        </w:tc>
      </w:tr>
      <w:tr w:rsidR="003A0C5C" w:rsidRPr="003A0C5C" w14:paraId="27818C0F" w14:textId="77777777" w:rsidTr="00160F99">
        <w:trPr>
          <w:cantSplit/>
        </w:trPr>
        <w:tc>
          <w:tcPr>
            <w:tcW w:w="2857" w:type="dxa"/>
            <w:tcBorders>
              <w:top w:val="nil"/>
              <w:bottom w:val="nil"/>
            </w:tcBorders>
            <w:shd w:val="clear" w:color="auto" w:fill="FFFFFF" w:themeFill="background1"/>
          </w:tcPr>
          <w:p w14:paraId="19E4BD69" w14:textId="77777777" w:rsidR="00727104" w:rsidRPr="003A0C5C" w:rsidRDefault="00727104" w:rsidP="00727104">
            <w:pPr>
              <w:pStyle w:val="Tabletext"/>
              <w:keepNext/>
            </w:pPr>
            <w:r w:rsidRPr="003A0C5C">
              <w:t>Rough Terrain Forklifts</w:t>
            </w:r>
          </w:p>
        </w:tc>
        <w:tc>
          <w:tcPr>
            <w:tcW w:w="1241" w:type="dxa"/>
            <w:tcBorders>
              <w:top w:val="nil"/>
              <w:bottom w:val="nil"/>
            </w:tcBorders>
            <w:shd w:val="clear" w:color="auto" w:fill="FFFFFF" w:themeFill="background1"/>
          </w:tcPr>
          <w:p w14:paraId="774330E5" w14:textId="77777777" w:rsidR="00727104" w:rsidRPr="003A0C5C" w:rsidRDefault="00727104" w:rsidP="00727104">
            <w:pPr>
              <w:pStyle w:val="Tabletext"/>
              <w:jc w:val="center"/>
            </w:pPr>
            <w:r w:rsidRPr="003A0C5C">
              <w:t>75</w:t>
            </w:r>
          </w:p>
        </w:tc>
        <w:tc>
          <w:tcPr>
            <w:tcW w:w="959" w:type="dxa"/>
            <w:tcBorders>
              <w:top w:val="nil"/>
              <w:bottom w:val="nil"/>
            </w:tcBorders>
            <w:shd w:val="clear" w:color="auto" w:fill="FFFFFF" w:themeFill="background1"/>
          </w:tcPr>
          <w:p w14:paraId="67B7B388" w14:textId="77777777" w:rsidR="00727104" w:rsidRPr="003A0C5C" w:rsidRDefault="00727104" w:rsidP="00727104">
            <w:pPr>
              <w:pStyle w:val="Tabletext"/>
              <w:jc w:val="center"/>
            </w:pPr>
            <w:r w:rsidRPr="003A0C5C">
              <w:t>1</w:t>
            </w:r>
          </w:p>
        </w:tc>
        <w:tc>
          <w:tcPr>
            <w:tcW w:w="715" w:type="dxa"/>
            <w:gridSpan w:val="2"/>
            <w:vMerge w:val="restart"/>
            <w:tcBorders>
              <w:top w:val="nil"/>
              <w:bottom w:val="nil"/>
            </w:tcBorders>
            <w:shd w:val="clear" w:color="auto" w:fill="FFFFFF" w:themeFill="background1"/>
          </w:tcPr>
          <w:p w14:paraId="0D6F4971" w14:textId="7A392981" w:rsidR="00727104" w:rsidRPr="003A0C5C" w:rsidRDefault="00727104" w:rsidP="00727104">
            <w:pPr>
              <w:pStyle w:val="Tabletext"/>
              <w:jc w:val="center"/>
            </w:pPr>
            <w:r w:rsidRPr="003A0C5C">
              <w:t>78</w:t>
            </w:r>
          </w:p>
        </w:tc>
        <w:tc>
          <w:tcPr>
            <w:tcW w:w="716" w:type="dxa"/>
            <w:gridSpan w:val="2"/>
            <w:vMerge w:val="restart"/>
            <w:tcBorders>
              <w:top w:val="nil"/>
              <w:bottom w:val="nil"/>
            </w:tcBorders>
            <w:shd w:val="clear" w:color="auto" w:fill="FFFFFF" w:themeFill="background1"/>
          </w:tcPr>
          <w:p w14:paraId="01613026" w14:textId="7DFA247C" w:rsidR="00727104" w:rsidRPr="003A0C5C" w:rsidRDefault="00727104" w:rsidP="00727104">
            <w:pPr>
              <w:pStyle w:val="Tabletext"/>
              <w:jc w:val="center"/>
            </w:pPr>
            <w:r w:rsidRPr="003A0C5C">
              <w:t>75</w:t>
            </w:r>
          </w:p>
        </w:tc>
        <w:tc>
          <w:tcPr>
            <w:tcW w:w="716" w:type="dxa"/>
            <w:vMerge w:val="restart"/>
            <w:tcBorders>
              <w:top w:val="nil"/>
              <w:bottom w:val="nil"/>
            </w:tcBorders>
            <w:shd w:val="clear" w:color="auto" w:fill="FFFFFF" w:themeFill="background1"/>
          </w:tcPr>
          <w:p w14:paraId="0880C8D9" w14:textId="0056952C" w:rsidR="00727104" w:rsidRPr="003A0C5C" w:rsidRDefault="00727104" w:rsidP="00727104">
            <w:pPr>
              <w:pStyle w:val="Tabletext"/>
              <w:jc w:val="center"/>
            </w:pPr>
            <w:r w:rsidRPr="003A0C5C">
              <w:t>77</w:t>
            </w:r>
          </w:p>
        </w:tc>
        <w:tc>
          <w:tcPr>
            <w:tcW w:w="716" w:type="dxa"/>
            <w:gridSpan w:val="2"/>
            <w:vMerge w:val="restart"/>
            <w:tcBorders>
              <w:top w:val="nil"/>
              <w:bottom w:val="nil"/>
            </w:tcBorders>
            <w:shd w:val="clear" w:color="auto" w:fill="FFFFFF" w:themeFill="background1"/>
          </w:tcPr>
          <w:p w14:paraId="4FA5D24C" w14:textId="14A570A9" w:rsidR="00727104" w:rsidRPr="003A0C5C" w:rsidRDefault="00727104" w:rsidP="00727104">
            <w:pPr>
              <w:pStyle w:val="Tabletext"/>
              <w:jc w:val="center"/>
            </w:pPr>
            <w:r w:rsidRPr="003A0C5C">
              <w:t>70</w:t>
            </w:r>
          </w:p>
        </w:tc>
      </w:tr>
      <w:tr w:rsidR="003A0C5C" w:rsidRPr="003A0C5C" w14:paraId="549E06C7" w14:textId="77777777" w:rsidTr="00160F99">
        <w:trPr>
          <w:cantSplit/>
        </w:trPr>
        <w:tc>
          <w:tcPr>
            <w:tcW w:w="2857" w:type="dxa"/>
            <w:tcBorders>
              <w:top w:val="nil"/>
              <w:bottom w:val="nil"/>
            </w:tcBorders>
            <w:shd w:val="clear" w:color="auto" w:fill="FFFFFF" w:themeFill="background1"/>
          </w:tcPr>
          <w:p w14:paraId="2FE6E089" w14:textId="77777777" w:rsidR="00E9008A" w:rsidRPr="003A0C5C" w:rsidRDefault="00E9008A" w:rsidP="00313B2A">
            <w:pPr>
              <w:pStyle w:val="Tabletext"/>
              <w:keepNext/>
            </w:pPr>
            <w:r w:rsidRPr="003A0C5C">
              <w:t>Sweepers/scrubber</w:t>
            </w:r>
          </w:p>
        </w:tc>
        <w:tc>
          <w:tcPr>
            <w:tcW w:w="1241" w:type="dxa"/>
            <w:tcBorders>
              <w:top w:val="nil"/>
              <w:bottom w:val="nil"/>
            </w:tcBorders>
            <w:shd w:val="clear" w:color="auto" w:fill="FFFFFF" w:themeFill="background1"/>
          </w:tcPr>
          <w:p w14:paraId="4740AD61" w14:textId="77777777" w:rsidR="00E9008A" w:rsidRPr="003A0C5C" w:rsidRDefault="00E9008A" w:rsidP="00313B2A">
            <w:pPr>
              <w:pStyle w:val="Tabletext"/>
              <w:jc w:val="center"/>
            </w:pPr>
            <w:r w:rsidRPr="003A0C5C">
              <w:t>85</w:t>
            </w:r>
          </w:p>
        </w:tc>
        <w:tc>
          <w:tcPr>
            <w:tcW w:w="959" w:type="dxa"/>
            <w:tcBorders>
              <w:top w:val="nil"/>
              <w:bottom w:val="nil"/>
            </w:tcBorders>
            <w:shd w:val="clear" w:color="auto" w:fill="FFFFFF" w:themeFill="background1"/>
          </w:tcPr>
          <w:p w14:paraId="17483244" w14:textId="77777777" w:rsidR="00E9008A" w:rsidRPr="003A0C5C" w:rsidRDefault="00E9008A" w:rsidP="00313B2A">
            <w:pPr>
              <w:pStyle w:val="Tabletext"/>
              <w:jc w:val="center"/>
            </w:pPr>
            <w:r w:rsidRPr="003A0C5C">
              <w:t>1</w:t>
            </w:r>
          </w:p>
        </w:tc>
        <w:tc>
          <w:tcPr>
            <w:tcW w:w="715" w:type="dxa"/>
            <w:gridSpan w:val="2"/>
            <w:vMerge/>
            <w:tcBorders>
              <w:top w:val="nil"/>
            </w:tcBorders>
            <w:shd w:val="clear" w:color="auto" w:fill="FFFFFF" w:themeFill="background1"/>
          </w:tcPr>
          <w:p w14:paraId="47BD0DE1" w14:textId="77777777" w:rsidR="00E9008A" w:rsidRPr="003A0C5C" w:rsidRDefault="00E9008A" w:rsidP="00313B2A">
            <w:pPr>
              <w:pStyle w:val="Tabletext"/>
              <w:jc w:val="center"/>
            </w:pPr>
          </w:p>
        </w:tc>
        <w:tc>
          <w:tcPr>
            <w:tcW w:w="716" w:type="dxa"/>
            <w:gridSpan w:val="2"/>
            <w:vMerge/>
            <w:tcBorders>
              <w:top w:val="nil"/>
            </w:tcBorders>
            <w:shd w:val="clear" w:color="auto" w:fill="FFFFFF" w:themeFill="background1"/>
          </w:tcPr>
          <w:p w14:paraId="3ACA4CE7" w14:textId="77777777" w:rsidR="00E9008A" w:rsidRPr="003A0C5C" w:rsidRDefault="00E9008A" w:rsidP="00313B2A">
            <w:pPr>
              <w:pStyle w:val="Tabletext"/>
              <w:jc w:val="center"/>
            </w:pPr>
          </w:p>
        </w:tc>
        <w:tc>
          <w:tcPr>
            <w:tcW w:w="716" w:type="dxa"/>
            <w:vMerge/>
            <w:tcBorders>
              <w:top w:val="nil"/>
            </w:tcBorders>
            <w:shd w:val="clear" w:color="auto" w:fill="FFFFFF" w:themeFill="background1"/>
          </w:tcPr>
          <w:p w14:paraId="7DF4FD6D" w14:textId="77777777" w:rsidR="00E9008A" w:rsidRPr="003A0C5C" w:rsidRDefault="00E9008A" w:rsidP="00313B2A">
            <w:pPr>
              <w:pStyle w:val="Tabletext"/>
              <w:jc w:val="center"/>
            </w:pPr>
          </w:p>
        </w:tc>
        <w:tc>
          <w:tcPr>
            <w:tcW w:w="716" w:type="dxa"/>
            <w:gridSpan w:val="2"/>
            <w:vMerge/>
            <w:tcBorders>
              <w:top w:val="nil"/>
            </w:tcBorders>
            <w:shd w:val="clear" w:color="auto" w:fill="FFFFFF" w:themeFill="background1"/>
          </w:tcPr>
          <w:p w14:paraId="3AAB31B0" w14:textId="77777777" w:rsidR="00E9008A" w:rsidRPr="003A0C5C" w:rsidRDefault="00E9008A" w:rsidP="00313B2A">
            <w:pPr>
              <w:pStyle w:val="Tabletext"/>
              <w:jc w:val="center"/>
            </w:pPr>
          </w:p>
        </w:tc>
      </w:tr>
      <w:tr w:rsidR="003A0C5C" w:rsidRPr="003A0C5C" w14:paraId="6F53EF93" w14:textId="77777777" w:rsidTr="00313B2A">
        <w:trPr>
          <w:cantSplit/>
        </w:trPr>
        <w:tc>
          <w:tcPr>
            <w:tcW w:w="2857" w:type="dxa"/>
            <w:tcBorders>
              <w:top w:val="nil"/>
              <w:bottom w:val="nil"/>
            </w:tcBorders>
            <w:shd w:val="clear" w:color="auto" w:fill="FFFFFF" w:themeFill="background1"/>
          </w:tcPr>
          <w:p w14:paraId="4D76D1F7" w14:textId="77777777" w:rsidR="00E9008A" w:rsidRPr="003A0C5C" w:rsidRDefault="00E9008A" w:rsidP="00313B2A">
            <w:pPr>
              <w:pStyle w:val="Tabletext"/>
              <w:keepNext/>
            </w:pPr>
            <w:r w:rsidRPr="003A0C5C">
              <w:t>Backhoes</w:t>
            </w:r>
          </w:p>
        </w:tc>
        <w:tc>
          <w:tcPr>
            <w:tcW w:w="1241" w:type="dxa"/>
            <w:tcBorders>
              <w:top w:val="nil"/>
              <w:bottom w:val="nil"/>
            </w:tcBorders>
            <w:shd w:val="clear" w:color="auto" w:fill="FFFFFF" w:themeFill="background1"/>
          </w:tcPr>
          <w:p w14:paraId="6261CA1E" w14:textId="77777777" w:rsidR="00E9008A" w:rsidRPr="003A0C5C" w:rsidRDefault="00E9008A" w:rsidP="00313B2A">
            <w:pPr>
              <w:pStyle w:val="Tabletext"/>
              <w:jc w:val="center"/>
            </w:pPr>
            <w:r w:rsidRPr="003A0C5C">
              <w:t>80</w:t>
            </w:r>
          </w:p>
        </w:tc>
        <w:tc>
          <w:tcPr>
            <w:tcW w:w="959" w:type="dxa"/>
            <w:tcBorders>
              <w:top w:val="nil"/>
              <w:bottom w:val="nil"/>
            </w:tcBorders>
            <w:shd w:val="clear" w:color="auto" w:fill="FFFFFF" w:themeFill="background1"/>
          </w:tcPr>
          <w:p w14:paraId="5C93D57C" w14:textId="77777777" w:rsidR="00E9008A" w:rsidRPr="003A0C5C" w:rsidRDefault="00E9008A" w:rsidP="00313B2A">
            <w:pPr>
              <w:pStyle w:val="Tabletext"/>
              <w:jc w:val="center"/>
            </w:pPr>
            <w:r w:rsidRPr="003A0C5C">
              <w:t>1</w:t>
            </w:r>
          </w:p>
        </w:tc>
        <w:tc>
          <w:tcPr>
            <w:tcW w:w="715" w:type="dxa"/>
            <w:gridSpan w:val="2"/>
            <w:vMerge/>
            <w:shd w:val="clear" w:color="auto" w:fill="FFFFFF" w:themeFill="background1"/>
          </w:tcPr>
          <w:p w14:paraId="2E71E82A" w14:textId="77777777" w:rsidR="00E9008A" w:rsidRPr="003A0C5C" w:rsidRDefault="00E9008A" w:rsidP="00313B2A">
            <w:pPr>
              <w:pStyle w:val="Tabletext"/>
              <w:jc w:val="center"/>
            </w:pPr>
          </w:p>
        </w:tc>
        <w:tc>
          <w:tcPr>
            <w:tcW w:w="716" w:type="dxa"/>
            <w:gridSpan w:val="2"/>
            <w:vMerge/>
            <w:shd w:val="clear" w:color="auto" w:fill="FFFFFF" w:themeFill="background1"/>
          </w:tcPr>
          <w:p w14:paraId="62E45F3C" w14:textId="77777777" w:rsidR="00E9008A" w:rsidRPr="003A0C5C" w:rsidRDefault="00E9008A" w:rsidP="00313B2A">
            <w:pPr>
              <w:pStyle w:val="Tabletext"/>
              <w:jc w:val="center"/>
            </w:pPr>
          </w:p>
        </w:tc>
        <w:tc>
          <w:tcPr>
            <w:tcW w:w="716" w:type="dxa"/>
            <w:vMerge/>
            <w:shd w:val="clear" w:color="auto" w:fill="FFFFFF" w:themeFill="background1"/>
          </w:tcPr>
          <w:p w14:paraId="6E2661AD" w14:textId="77777777" w:rsidR="00E9008A" w:rsidRPr="003A0C5C" w:rsidRDefault="00E9008A" w:rsidP="00313B2A">
            <w:pPr>
              <w:pStyle w:val="Tabletext"/>
              <w:jc w:val="center"/>
            </w:pPr>
          </w:p>
        </w:tc>
        <w:tc>
          <w:tcPr>
            <w:tcW w:w="716" w:type="dxa"/>
            <w:gridSpan w:val="2"/>
            <w:vMerge/>
            <w:shd w:val="clear" w:color="auto" w:fill="FFFFFF" w:themeFill="background1"/>
          </w:tcPr>
          <w:p w14:paraId="517E24BB" w14:textId="77777777" w:rsidR="00E9008A" w:rsidRPr="003A0C5C" w:rsidRDefault="00E9008A" w:rsidP="00313B2A">
            <w:pPr>
              <w:pStyle w:val="Tabletext"/>
              <w:jc w:val="center"/>
            </w:pPr>
          </w:p>
        </w:tc>
      </w:tr>
      <w:tr w:rsidR="003A0C5C" w:rsidRPr="003A0C5C" w14:paraId="1615A5DD" w14:textId="77777777" w:rsidTr="00313B2A">
        <w:trPr>
          <w:cantSplit/>
        </w:trPr>
        <w:tc>
          <w:tcPr>
            <w:tcW w:w="2857" w:type="dxa"/>
            <w:tcBorders>
              <w:top w:val="nil"/>
              <w:bottom w:val="nil"/>
            </w:tcBorders>
            <w:shd w:val="clear" w:color="auto" w:fill="FFFFFF" w:themeFill="background1"/>
          </w:tcPr>
          <w:p w14:paraId="021ACBD9" w14:textId="77777777" w:rsidR="00E9008A" w:rsidRPr="003A0C5C" w:rsidRDefault="00E9008A" w:rsidP="00313B2A">
            <w:pPr>
              <w:pStyle w:val="Tabletext"/>
              <w:keepNext/>
            </w:pPr>
            <w:r w:rsidRPr="003A0C5C">
              <w:t>Concrete/Industrial Saws</w:t>
            </w:r>
          </w:p>
        </w:tc>
        <w:tc>
          <w:tcPr>
            <w:tcW w:w="1241" w:type="dxa"/>
            <w:tcBorders>
              <w:top w:val="nil"/>
              <w:bottom w:val="nil"/>
            </w:tcBorders>
            <w:shd w:val="clear" w:color="auto" w:fill="FFFFFF" w:themeFill="background1"/>
          </w:tcPr>
          <w:p w14:paraId="590AF79B" w14:textId="77777777" w:rsidR="00E9008A" w:rsidRPr="003A0C5C" w:rsidRDefault="00E9008A" w:rsidP="00313B2A">
            <w:pPr>
              <w:pStyle w:val="Tabletext"/>
              <w:jc w:val="center"/>
            </w:pPr>
            <w:r w:rsidRPr="003A0C5C">
              <w:t>90</w:t>
            </w:r>
          </w:p>
        </w:tc>
        <w:tc>
          <w:tcPr>
            <w:tcW w:w="959" w:type="dxa"/>
            <w:tcBorders>
              <w:top w:val="nil"/>
              <w:bottom w:val="nil"/>
            </w:tcBorders>
            <w:shd w:val="clear" w:color="auto" w:fill="FFFFFF" w:themeFill="background1"/>
          </w:tcPr>
          <w:p w14:paraId="14C9E2DC" w14:textId="77777777" w:rsidR="00E9008A" w:rsidRPr="003A0C5C" w:rsidRDefault="00E9008A" w:rsidP="00313B2A">
            <w:pPr>
              <w:pStyle w:val="Tabletext"/>
              <w:jc w:val="center"/>
            </w:pPr>
            <w:r w:rsidRPr="003A0C5C">
              <w:t>1</w:t>
            </w:r>
          </w:p>
        </w:tc>
        <w:tc>
          <w:tcPr>
            <w:tcW w:w="715" w:type="dxa"/>
            <w:gridSpan w:val="2"/>
            <w:vMerge w:val="restart"/>
            <w:shd w:val="clear" w:color="auto" w:fill="FFFFFF" w:themeFill="background1"/>
          </w:tcPr>
          <w:p w14:paraId="2010CB78" w14:textId="77777777" w:rsidR="00E9008A" w:rsidRPr="003A0C5C" w:rsidRDefault="00E9008A" w:rsidP="00313B2A">
            <w:pPr>
              <w:pStyle w:val="Tabletext"/>
              <w:jc w:val="center"/>
            </w:pPr>
          </w:p>
        </w:tc>
        <w:tc>
          <w:tcPr>
            <w:tcW w:w="716" w:type="dxa"/>
            <w:gridSpan w:val="2"/>
            <w:vMerge w:val="restart"/>
            <w:shd w:val="clear" w:color="auto" w:fill="FFFFFF" w:themeFill="background1"/>
          </w:tcPr>
          <w:p w14:paraId="3F5A8140" w14:textId="77777777" w:rsidR="00E9008A" w:rsidRPr="003A0C5C" w:rsidRDefault="00E9008A" w:rsidP="00313B2A">
            <w:pPr>
              <w:pStyle w:val="Tabletext"/>
              <w:jc w:val="center"/>
            </w:pPr>
          </w:p>
        </w:tc>
        <w:tc>
          <w:tcPr>
            <w:tcW w:w="716" w:type="dxa"/>
            <w:vMerge w:val="restart"/>
            <w:shd w:val="clear" w:color="auto" w:fill="FFFFFF" w:themeFill="background1"/>
          </w:tcPr>
          <w:p w14:paraId="0E1D591B" w14:textId="77777777" w:rsidR="00E9008A" w:rsidRPr="003A0C5C" w:rsidRDefault="00E9008A" w:rsidP="00313B2A">
            <w:pPr>
              <w:pStyle w:val="Tabletext"/>
              <w:jc w:val="center"/>
            </w:pPr>
          </w:p>
        </w:tc>
        <w:tc>
          <w:tcPr>
            <w:tcW w:w="716" w:type="dxa"/>
            <w:gridSpan w:val="2"/>
            <w:vMerge w:val="restart"/>
            <w:shd w:val="clear" w:color="auto" w:fill="FFFFFF" w:themeFill="background1"/>
          </w:tcPr>
          <w:p w14:paraId="16F02705" w14:textId="77777777" w:rsidR="00E9008A" w:rsidRPr="003A0C5C" w:rsidRDefault="00E9008A" w:rsidP="00313B2A">
            <w:pPr>
              <w:pStyle w:val="Tabletext"/>
              <w:jc w:val="center"/>
            </w:pPr>
          </w:p>
        </w:tc>
      </w:tr>
      <w:tr w:rsidR="003A0C5C" w:rsidRPr="003A0C5C" w14:paraId="3732AD37" w14:textId="77777777" w:rsidTr="00313B2A">
        <w:trPr>
          <w:cantSplit/>
        </w:trPr>
        <w:tc>
          <w:tcPr>
            <w:tcW w:w="2857" w:type="dxa"/>
            <w:tcBorders>
              <w:top w:val="nil"/>
              <w:bottom w:val="nil"/>
            </w:tcBorders>
            <w:shd w:val="clear" w:color="auto" w:fill="FFFFFF" w:themeFill="background1"/>
          </w:tcPr>
          <w:p w14:paraId="5788C7DB" w14:textId="77777777" w:rsidR="00E9008A" w:rsidRPr="003A0C5C" w:rsidRDefault="00E9008A" w:rsidP="00313B2A">
            <w:pPr>
              <w:pStyle w:val="Tabletext"/>
              <w:keepNext/>
            </w:pPr>
            <w:r w:rsidRPr="003A0C5C">
              <w:t>Compactors</w:t>
            </w:r>
          </w:p>
        </w:tc>
        <w:tc>
          <w:tcPr>
            <w:tcW w:w="1241" w:type="dxa"/>
            <w:tcBorders>
              <w:top w:val="nil"/>
              <w:bottom w:val="nil"/>
            </w:tcBorders>
            <w:shd w:val="clear" w:color="auto" w:fill="FFFFFF" w:themeFill="background1"/>
          </w:tcPr>
          <w:p w14:paraId="3567FBB8" w14:textId="77777777" w:rsidR="00E9008A" w:rsidRPr="003A0C5C" w:rsidRDefault="00E9008A" w:rsidP="00313B2A">
            <w:pPr>
              <w:pStyle w:val="Tabletext"/>
              <w:jc w:val="center"/>
            </w:pPr>
            <w:r w:rsidRPr="003A0C5C">
              <w:t>80</w:t>
            </w:r>
          </w:p>
        </w:tc>
        <w:tc>
          <w:tcPr>
            <w:tcW w:w="959" w:type="dxa"/>
            <w:tcBorders>
              <w:top w:val="nil"/>
              <w:bottom w:val="nil"/>
            </w:tcBorders>
            <w:shd w:val="clear" w:color="auto" w:fill="FFFFFF" w:themeFill="background1"/>
          </w:tcPr>
          <w:p w14:paraId="71308F8B" w14:textId="77777777" w:rsidR="00E9008A" w:rsidRPr="003A0C5C" w:rsidRDefault="00E9008A" w:rsidP="00313B2A">
            <w:pPr>
              <w:pStyle w:val="Tabletext"/>
              <w:jc w:val="center"/>
            </w:pPr>
            <w:r w:rsidRPr="003A0C5C">
              <w:t>1</w:t>
            </w:r>
          </w:p>
        </w:tc>
        <w:tc>
          <w:tcPr>
            <w:tcW w:w="715" w:type="dxa"/>
            <w:gridSpan w:val="2"/>
            <w:vMerge/>
            <w:shd w:val="clear" w:color="auto" w:fill="FFFFFF" w:themeFill="background1"/>
          </w:tcPr>
          <w:p w14:paraId="6EFFAF32" w14:textId="77777777" w:rsidR="00E9008A" w:rsidRPr="003A0C5C" w:rsidRDefault="00E9008A" w:rsidP="00313B2A">
            <w:pPr>
              <w:pStyle w:val="Tabletext"/>
              <w:jc w:val="center"/>
            </w:pPr>
          </w:p>
        </w:tc>
        <w:tc>
          <w:tcPr>
            <w:tcW w:w="716" w:type="dxa"/>
            <w:gridSpan w:val="2"/>
            <w:vMerge/>
            <w:shd w:val="clear" w:color="auto" w:fill="FFFFFF" w:themeFill="background1"/>
          </w:tcPr>
          <w:p w14:paraId="61F0F9FD" w14:textId="77777777" w:rsidR="00E9008A" w:rsidRPr="003A0C5C" w:rsidRDefault="00E9008A" w:rsidP="00313B2A">
            <w:pPr>
              <w:pStyle w:val="Tabletext"/>
              <w:jc w:val="center"/>
            </w:pPr>
          </w:p>
        </w:tc>
        <w:tc>
          <w:tcPr>
            <w:tcW w:w="716" w:type="dxa"/>
            <w:vMerge/>
            <w:shd w:val="clear" w:color="auto" w:fill="FFFFFF" w:themeFill="background1"/>
          </w:tcPr>
          <w:p w14:paraId="74B33D3E" w14:textId="77777777" w:rsidR="00E9008A" w:rsidRPr="003A0C5C" w:rsidRDefault="00E9008A" w:rsidP="00313B2A">
            <w:pPr>
              <w:pStyle w:val="Tabletext"/>
              <w:jc w:val="center"/>
            </w:pPr>
          </w:p>
        </w:tc>
        <w:tc>
          <w:tcPr>
            <w:tcW w:w="716" w:type="dxa"/>
            <w:gridSpan w:val="2"/>
            <w:vMerge/>
            <w:shd w:val="clear" w:color="auto" w:fill="FFFFFF" w:themeFill="background1"/>
          </w:tcPr>
          <w:p w14:paraId="1B4167AA" w14:textId="77777777" w:rsidR="00E9008A" w:rsidRPr="003A0C5C" w:rsidRDefault="00E9008A" w:rsidP="00313B2A">
            <w:pPr>
              <w:pStyle w:val="Tabletext"/>
              <w:jc w:val="center"/>
            </w:pPr>
          </w:p>
        </w:tc>
      </w:tr>
      <w:tr w:rsidR="003A0C5C" w:rsidRPr="003A0C5C" w14:paraId="2BC6798D" w14:textId="77777777" w:rsidTr="00313B2A">
        <w:trPr>
          <w:cantSplit/>
        </w:trPr>
        <w:tc>
          <w:tcPr>
            <w:tcW w:w="2857" w:type="dxa"/>
            <w:tcBorders>
              <w:top w:val="nil"/>
              <w:bottom w:val="nil"/>
            </w:tcBorders>
            <w:shd w:val="clear" w:color="auto" w:fill="FFFFFF" w:themeFill="background1"/>
          </w:tcPr>
          <w:p w14:paraId="2E2BE342" w14:textId="77777777" w:rsidR="00E9008A" w:rsidRPr="003A0C5C" w:rsidRDefault="00E9008A" w:rsidP="00313B2A">
            <w:pPr>
              <w:pStyle w:val="Tabletext"/>
              <w:keepNext/>
            </w:pPr>
            <w:r w:rsidRPr="003A0C5C">
              <w:t>Dumpers/Tenders</w:t>
            </w:r>
          </w:p>
        </w:tc>
        <w:tc>
          <w:tcPr>
            <w:tcW w:w="1241" w:type="dxa"/>
            <w:tcBorders>
              <w:top w:val="nil"/>
              <w:bottom w:val="nil"/>
            </w:tcBorders>
            <w:shd w:val="clear" w:color="auto" w:fill="FFFFFF" w:themeFill="background1"/>
          </w:tcPr>
          <w:p w14:paraId="64BA315E" w14:textId="77777777" w:rsidR="00E9008A" w:rsidRPr="003A0C5C" w:rsidRDefault="00E9008A" w:rsidP="00313B2A">
            <w:pPr>
              <w:pStyle w:val="Tabletext"/>
              <w:jc w:val="center"/>
            </w:pPr>
            <w:r w:rsidRPr="003A0C5C">
              <w:t>84</w:t>
            </w:r>
          </w:p>
        </w:tc>
        <w:tc>
          <w:tcPr>
            <w:tcW w:w="959" w:type="dxa"/>
            <w:tcBorders>
              <w:top w:val="nil"/>
              <w:bottom w:val="nil"/>
            </w:tcBorders>
            <w:shd w:val="clear" w:color="auto" w:fill="FFFFFF" w:themeFill="background1"/>
          </w:tcPr>
          <w:p w14:paraId="5604CD8C" w14:textId="77777777" w:rsidR="00E9008A" w:rsidRPr="003A0C5C" w:rsidRDefault="00E9008A" w:rsidP="00313B2A">
            <w:pPr>
              <w:pStyle w:val="Tabletext"/>
              <w:jc w:val="center"/>
            </w:pPr>
            <w:r w:rsidRPr="003A0C5C">
              <w:t>2</w:t>
            </w:r>
          </w:p>
        </w:tc>
        <w:tc>
          <w:tcPr>
            <w:tcW w:w="715" w:type="dxa"/>
            <w:gridSpan w:val="2"/>
            <w:vMerge/>
            <w:tcBorders>
              <w:bottom w:val="nil"/>
            </w:tcBorders>
            <w:shd w:val="clear" w:color="auto" w:fill="FFFFFF" w:themeFill="background1"/>
          </w:tcPr>
          <w:p w14:paraId="114E4B01" w14:textId="77777777" w:rsidR="00E9008A" w:rsidRPr="003A0C5C" w:rsidRDefault="00E9008A" w:rsidP="00313B2A">
            <w:pPr>
              <w:pStyle w:val="Tabletext"/>
              <w:jc w:val="center"/>
            </w:pPr>
          </w:p>
        </w:tc>
        <w:tc>
          <w:tcPr>
            <w:tcW w:w="716" w:type="dxa"/>
            <w:gridSpan w:val="2"/>
            <w:vMerge/>
            <w:tcBorders>
              <w:bottom w:val="nil"/>
            </w:tcBorders>
            <w:shd w:val="clear" w:color="auto" w:fill="FFFFFF" w:themeFill="background1"/>
          </w:tcPr>
          <w:p w14:paraId="03A0225C" w14:textId="77777777" w:rsidR="00E9008A" w:rsidRPr="003A0C5C" w:rsidRDefault="00E9008A" w:rsidP="00313B2A">
            <w:pPr>
              <w:pStyle w:val="Tabletext"/>
              <w:jc w:val="center"/>
            </w:pPr>
          </w:p>
        </w:tc>
        <w:tc>
          <w:tcPr>
            <w:tcW w:w="716" w:type="dxa"/>
            <w:vMerge/>
            <w:tcBorders>
              <w:bottom w:val="nil"/>
            </w:tcBorders>
            <w:shd w:val="clear" w:color="auto" w:fill="FFFFFF" w:themeFill="background1"/>
          </w:tcPr>
          <w:p w14:paraId="3152D15B" w14:textId="77777777" w:rsidR="00E9008A" w:rsidRPr="003A0C5C" w:rsidRDefault="00E9008A" w:rsidP="00313B2A">
            <w:pPr>
              <w:pStyle w:val="Tabletext"/>
              <w:jc w:val="center"/>
            </w:pPr>
          </w:p>
        </w:tc>
        <w:tc>
          <w:tcPr>
            <w:tcW w:w="716" w:type="dxa"/>
            <w:gridSpan w:val="2"/>
            <w:vMerge/>
            <w:tcBorders>
              <w:bottom w:val="nil"/>
            </w:tcBorders>
            <w:shd w:val="clear" w:color="auto" w:fill="FFFFFF" w:themeFill="background1"/>
          </w:tcPr>
          <w:p w14:paraId="513650CC" w14:textId="77777777" w:rsidR="00E9008A" w:rsidRPr="003A0C5C" w:rsidRDefault="00E9008A" w:rsidP="00313B2A">
            <w:pPr>
              <w:pStyle w:val="Tabletext"/>
              <w:jc w:val="center"/>
            </w:pPr>
          </w:p>
        </w:tc>
      </w:tr>
      <w:tr w:rsidR="003A0C5C" w:rsidRPr="003A0C5C" w14:paraId="2EAE092B" w14:textId="77777777" w:rsidTr="00313B2A">
        <w:trPr>
          <w:cantSplit/>
        </w:trPr>
        <w:tc>
          <w:tcPr>
            <w:tcW w:w="7920" w:type="dxa"/>
            <w:gridSpan w:val="10"/>
            <w:tcBorders>
              <w:top w:val="nil"/>
              <w:bottom w:val="nil"/>
            </w:tcBorders>
            <w:shd w:val="clear" w:color="auto" w:fill="D9D9D9" w:themeFill="background1" w:themeFillShade="D9"/>
          </w:tcPr>
          <w:p w14:paraId="7831EF16" w14:textId="77777777" w:rsidR="00E9008A" w:rsidRPr="003A0C5C" w:rsidRDefault="00E9008A" w:rsidP="00313B2A">
            <w:pPr>
              <w:pStyle w:val="Tablerowheading"/>
            </w:pPr>
            <w:r w:rsidRPr="003A0C5C">
              <w:t>Building Construction</w:t>
            </w:r>
          </w:p>
        </w:tc>
      </w:tr>
      <w:tr w:rsidR="003A0C5C" w:rsidRPr="003A0C5C" w14:paraId="7138F7A2" w14:textId="77777777" w:rsidTr="00313B2A">
        <w:trPr>
          <w:cantSplit/>
        </w:trPr>
        <w:tc>
          <w:tcPr>
            <w:tcW w:w="2857" w:type="dxa"/>
            <w:tcBorders>
              <w:top w:val="nil"/>
              <w:bottom w:val="nil"/>
            </w:tcBorders>
            <w:shd w:val="clear" w:color="auto" w:fill="FFFFFF" w:themeFill="background1"/>
          </w:tcPr>
          <w:p w14:paraId="65A278EE" w14:textId="77777777" w:rsidR="00E9008A" w:rsidRPr="003A0C5C" w:rsidRDefault="00E9008A" w:rsidP="00313B2A">
            <w:pPr>
              <w:pStyle w:val="Tabletext"/>
              <w:keepNext/>
            </w:pPr>
            <w:r w:rsidRPr="003A0C5C">
              <w:t>Air Compressors</w:t>
            </w:r>
          </w:p>
        </w:tc>
        <w:tc>
          <w:tcPr>
            <w:tcW w:w="1241" w:type="dxa"/>
            <w:tcBorders>
              <w:top w:val="nil"/>
              <w:bottom w:val="nil"/>
            </w:tcBorders>
            <w:shd w:val="clear" w:color="auto" w:fill="FFFFFF" w:themeFill="background1"/>
          </w:tcPr>
          <w:p w14:paraId="25063926" w14:textId="77777777" w:rsidR="00E9008A" w:rsidRPr="003A0C5C" w:rsidRDefault="00E9008A" w:rsidP="00313B2A">
            <w:pPr>
              <w:pStyle w:val="Tabletext"/>
              <w:jc w:val="center"/>
            </w:pPr>
            <w:r w:rsidRPr="003A0C5C">
              <w:t>80</w:t>
            </w:r>
          </w:p>
        </w:tc>
        <w:tc>
          <w:tcPr>
            <w:tcW w:w="959" w:type="dxa"/>
            <w:tcBorders>
              <w:top w:val="nil"/>
              <w:bottom w:val="nil"/>
            </w:tcBorders>
            <w:shd w:val="clear" w:color="auto" w:fill="FFFFFF" w:themeFill="background1"/>
          </w:tcPr>
          <w:p w14:paraId="7ACB35DA" w14:textId="77777777" w:rsidR="00E9008A" w:rsidRPr="003A0C5C" w:rsidRDefault="00E9008A" w:rsidP="00313B2A">
            <w:pPr>
              <w:pStyle w:val="Tabletext"/>
              <w:jc w:val="center"/>
            </w:pPr>
            <w:r w:rsidRPr="003A0C5C">
              <w:t>2</w:t>
            </w:r>
          </w:p>
        </w:tc>
        <w:tc>
          <w:tcPr>
            <w:tcW w:w="715" w:type="dxa"/>
            <w:gridSpan w:val="2"/>
            <w:vMerge w:val="restart"/>
            <w:tcBorders>
              <w:top w:val="nil"/>
            </w:tcBorders>
            <w:shd w:val="clear" w:color="auto" w:fill="FFFFFF" w:themeFill="background1"/>
          </w:tcPr>
          <w:p w14:paraId="60DDDE3C" w14:textId="77777777" w:rsidR="00E9008A" w:rsidRPr="003A0C5C" w:rsidRDefault="00E9008A" w:rsidP="00313B2A">
            <w:pPr>
              <w:pStyle w:val="Tabletext"/>
              <w:jc w:val="center"/>
            </w:pPr>
            <w:r w:rsidRPr="003A0C5C">
              <w:t>R1</w:t>
            </w:r>
          </w:p>
        </w:tc>
        <w:tc>
          <w:tcPr>
            <w:tcW w:w="716" w:type="dxa"/>
            <w:gridSpan w:val="2"/>
            <w:vMerge w:val="restart"/>
            <w:tcBorders>
              <w:top w:val="nil"/>
            </w:tcBorders>
            <w:shd w:val="clear" w:color="auto" w:fill="FFFFFF" w:themeFill="background1"/>
          </w:tcPr>
          <w:p w14:paraId="3AA38F52" w14:textId="77777777" w:rsidR="00E9008A" w:rsidRPr="003A0C5C" w:rsidRDefault="00E9008A" w:rsidP="00313B2A">
            <w:pPr>
              <w:pStyle w:val="Tabletext"/>
              <w:jc w:val="center"/>
            </w:pPr>
            <w:r w:rsidRPr="003A0C5C">
              <w:t>R2</w:t>
            </w:r>
          </w:p>
        </w:tc>
        <w:tc>
          <w:tcPr>
            <w:tcW w:w="716" w:type="dxa"/>
            <w:vMerge w:val="restart"/>
            <w:tcBorders>
              <w:top w:val="nil"/>
            </w:tcBorders>
            <w:shd w:val="clear" w:color="auto" w:fill="FFFFFF" w:themeFill="background1"/>
          </w:tcPr>
          <w:p w14:paraId="2FBE095E" w14:textId="77777777" w:rsidR="00E9008A" w:rsidRPr="003A0C5C" w:rsidRDefault="00E9008A" w:rsidP="00313B2A">
            <w:pPr>
              <w:pStyle w:val="Tabletext"/>
              <w:jc w:val="center"/>
            </w:pPr>
            <w:r w:rsidRPr="003A0C5C">
              <w:t>R3</w:t>
            </w:r>
          </w:p>
        </w:tc>
        <w:tc>
          <w:tcPr>
            <w:tcW w:w="716" w:type="dxa"/>
            <w:gridSpan w:val="2"/>
            <w:vMerge w:val="restart"/>
            <w:tcBorders>
              <w:top w:val="nil"/>
            </w:tcBorders>
            <w:shd w:val="clear" w:color="auto" w:fill="FFFFFF" w:themeFill="background1"/>
          </w:tcPr>
          <w:p w14:paraId="287A270D" w14:textId="77777777" w:rsidR="00E9008A" w:rsidRPr="003A0C5C" w:rsidRDefault="00E9008A" w:rsidP="00313B2A">
            <w:pPr>
              <w:pStyle w:val="Tabletext"/>
              <w:jc w:val="center"/>
            </w:pPr>
            <w:r w:rsidRPr="003A0C5C">
              <w:t>R4</w:t>
            </w:r>
          </w:p>
        </w:tc>
      </w:tr>
      <w:tr w:rsidR="003A0C5C" w:rsidRPr="003A0C5C" w14:paraId="48419BF0" w14:textId="77777777" w:rsidTr="00313B2A">
        <w:trPr>
          <w:cantSplit/>
        </w:trPr>
        <w:tc>
          <w:tcPr>
            <w:tcW w:w="2857" w:type="dxa"/>
            <w:tcBorders>
              <w:top w:val="nil"/>
              <w:bottom w:val="nil"/>
            </w:tcBorders>
            <w:shd w:val="clear" w:color="auto" w:fill="FFFFFF" w:themeFill="background1"/>
          </w:tcPr>
          <w:p w14:paraId="318100DB" w14:textId="77777777" w:rsidR="00E9008A" w:rsidRPr="003A0C5C" w:rsidRDefault="00E9008A" w:rsidP="00313B2A">
            <w:pPr>
              <w:pStyle w:val="Tabletext"/>
              <w:keepNext/>
            </w:pPr>
            <w:r w:rsidRPr="003A0C5C">
              <w:t>Pumps</w:t>
            </w:r>
          </w:p>
        </w:tc>
        <w:tc>
          <w:tcPr>
            <w:tcW w:w="1241" w:type="dxa"/>
            <w:tcBorders>
              <w:top w:val="nil"/>
              <w:bottom w:val="nil"/>
            </w:tcBorders>
            <w:shd w:val="clear" w:color="auto" w:fill="FFFFFF" w:themeFill="background1"/>
          </w:tcPr>
          <w:p w14:paraId="3D0AA6E7" w14:textId="77777777" w:rsidR="00E9008A" w:rsidRPr="003A0C5C" w:rsidRDefault="00E9008A" w:rsidP="00313B2A">
            <w:pPr>
              <w:pStyle w:val="Tabletext"/>
              <w:jc w:val="center"/>
            </w:pPr>
            <w:r w:rsidRPr="003A0C5C">
              <w:t>77</w:t>
            </w:r>
          </w:p>
        </w:tc>
        <w:tc>
          <w:tcPr>
            <w:tcW w:w="959" w:type="dxa"/>
            <w:tcBorders>
              <w:top w:val="nil"/>
              <w:bottom w:val="nil"/>
            </w:tcBorders>
            <w:shd w:val="clear" w:color="auto" w:fill="FFFFFF" w:themeFill="background1"/>
          </w:tcPr>
          <w:p w14:paraId="5CB1C17C" w14:textId="77777777" w:rsidR="00E9008A" w:rsidRPr="003A0C5C" w:rsidRDefault="00E9008A" w:rsidP="00313B2A">
            <w:pPr>
              <w:pStyle w:val="Tabletext"/>
              <w:jc w:val="center"/>
            </w:pPr>
            <w:r w:rsidRPr="003A0C5C">
              <w:t>1</w:t>
            </w:r>
          </w:p>
        </w:tc>
        <w:tc>
          <w:tcPr>
            <w:tcW w:w="715" w:type="dxa"/>
            <w:gridSpan w:val="2"/>
            <w:vMerge/>
            <w:shd w:val="clear" w:color="auto" w:fill="FFFFFF" w:themeFill="background1"/>
          </w:tcPr>
          <w:p w14:paraId="2A589C86" w14:textId="77777777" w:rsidR="00E9008A" w:rsidRPr="003A0C5C" w:rsidRDefault="00E9008A" w:rsidP="00313B2A">
            <w:pPr>
              <w:pStyle w:val="Tabletext"/>
              <w:jc w:val="center"/>
            </w:pPr>
          </w:p>
        </w:tc>
        <w:tc>
          <w:tcPr>
            <w:tcW w:w="716" w:type="dxa"/>
            <w:gridSpan w:val="2"/>
            <w:vMerge/>
            <w:shd w:val="clear" w:color="auto" w:fill="FFFFFF" w:themeFill="background1"/>
          </w:tcPr>
          <w:p w14:paraId="2479786E" w14:textId="77777777" w:rsidR="00E9008A" w:rsidRPr="003A0C5C" w:rsidRDefault="00E9008A" w:rsidP="00313B2A">
            <w:pPr>
              <w:pStyle w:val="Tabletext"/>
              <w:jc w:val="center"/>
            </w:pPr>
          </w:p>
        </w:tc>
        <w:tc>
          <w:tcPr>
            <w:tcW w:w="716" w:type="dxa"/>
            <w:vMerge/>
            <w:shd w:val="clear" w:color="auto" w:fill="FFFFFF" w:themeFill="background1"/>
          </w:tcPr>
          <w:p w14:paraId="630DCCD4" w14:textId="77777777" w:rsidR="00E9008A" w:rsidRPr="003A0C5C" w:rsidRDefault="00E9008A" w:rsidP="00313B2A">
            <w:pPr>
              <w:pStyle w:val="Tabletext"/>
              <w:jc w:val="center"/>
            </w:pPr>
          </w:p>
        </w:tc>
        <w:tc>
          <w:tcPr>
            <w:tcW w:w="716" w:type="dxa"/>
            <w:gridSpan w:val="2"/>
            <w:vMerge/>
            <w:shd w:val="clear" w:color="auto" w:fill="FFFFFF" w:themeFill="background1"/>
          </w:tcPr>
          <w:p w14:paraId="2377DC0D" w14:textId="77777777" w:rsidR="00E9008A" w:rsidRPr="003A0C5C" w:rsidRDefault="00E9008A" w:rsidP="00313B2A">
            <w:pPr>
              <w:pStyle w:val="Tabletext"/>
              <w:jc w:val="center"/>
            </w:pPr>
          </w:p>
        </w:tc>
      </w:tr>
      <w:tr w:rsidR="003A0C5C" w:rsidRPr="003A0C5C" w14:paraId="128D5017" w14:textId="77777777" w:rsidTr="00313B2A">
        <w:trPr>
          <w:cantSplit/>
        </w:trPr>
        <w:tc>
          <w:tcPr>
            <w:tcW w:w="2857" w:type="dxa"/>
            <w:tcBorders>
              <w:top w:val="nil"/>
              <w:bottom w:val="nil"/>
            </w:tcBorders>
            <w:shd w:val="clear" w:color="auto" w:fill="FFFFFF" w:themeFill="background1"/>
          </w:tcPr>
          <w:p w14:paraId="18082F64" w14:textId="77777777" w:rsidR="00E9008A" w:rsidRPr="003A0C5C" w:rsidRDefault="00E9008A" w:rsidP="00313B2A">
            <w:pPr>
              <w:pStyle w:val="Tabletext"/>
              <w:keepNext/>
            </w:pPr>
            <w:r w:rsidRPr="003A0C5C">
              <w:t>Rough Terrain Forklifts</w:t>
            </w:r>
          </w:p>
        </w:tc>
        <w:tc>
          <w:tcPr>
            <w:tcW w:w="1241" w:type="dxa"/>
            <w:tcBorders>
              <w:top w:val="nil"/>
              <w:bottom w:val="nil"/>
            </w:tcBorders>
            <w:shd w:val="clear" w:color="auto" w:fill="FFFFFF" w:themeFill="background1"/>
          </w:tcPr>
          <w:p w14:paraId="0D0EC3B5" w14:textId="77777777" w:rsidR="00E9008A" w:rsidRPr="003A0C5C" w:rsidRDefault="00E9008A" w:rsidP="00313B2A">
            <w:pPr>
              <w:pStyle w:val="Tabletext"/>
              <w:jc w:val="center"/>
            </w:pPr>
            <w:r w:rsidRPr="003A0C5C">
              <w:t>75</w:t>
            </w:r>
          </w:p>
        </w:tc>
        <w:tc>
          <w:tcPr>
            <w:tcW w:w="959" w:type="dxa"/>
            <w:tcBorders>
              <w:top w:val="nil"/>
              <w:bottom w:val="nil"/>
            </w:tcBorders>
            <w:shd w:val="clear" w:color="auto" w:fill="FFFFFF" w:themeFill="background1"/>
          </w:tcPr>
          <w:p w14:paraId="0A76A8F6" w14:textId="77777777" w:rsidR="00E9008A" w:rsidRPr="003A0C5C" w:rsidRDefault="00E9008A" w:rsidP="00313B2A">
            <w:pPr>
              <w:pStyle w:val="Tabletext"/>
              <w:jc w:val="center"/>
            </w:pPr>
            <w:r w:rsidRPr="003A0C5C">
              <w:t>2</w:t>
            </w:r>
          </w:p>
        </w:tc>
        <w:tc>
          <w:tcPr>
            <w:tcW w:w="715" w:type="dxa"/>
            <w:gridSpan w:val="2"/>
            <w:vMerge/>
            <w:shd w:val="clear" w:color="auto" w:fill="FFFFFF" w:themeFill="background1"/>
          </w:tcPr>
          <w:p w14:paraId="053C8D4F" w14:textId="77777777" w:rsidR="00E9008A" w:rsidRPr="003A0C5C" w:rsidRDefault="00E9008A" w:rsidP="00313B2A">
            <w:pPr>
              <w:pStyle w:val="Tabletext"/>
              <w:jc w:val="center"/>
            </w:pPr>
          </w:p>
        </w:tc>
        <w:tc>
          <w:tcPr>
            <w:tcW w:w="716" w:type="dxa"/>
            <w:gridSpan w:val="2"/>
            <w:vMerge/>
            <w:shd w:val="clear" w:color="auto" w:fill="FFFFFF" w:themeFill="background1"/>
          </w:tcPr>
          <w:p w14:paraId="7F05BC0E" w14:textId="77777777" w:rsidR="00E9008A" w:rsidRPr="003A0C5C" w:rsidRDefault="00E9008A" w:rsidP="00313B2A">
            <w:pPr>
              <w:pStyle w:val="Tabletext"/>
              <w:jc w:val="center"/>
            </w:pPr>
          </w:p>
        </w:tc>
        <w:tc>
          <w:tcPr>
            <w:tcW w:w="716" w:type="dxa"/>
            <w:vMerge/>
            <w:shd w:val="clear" w:color="auto" w:fill="FFFFFF" w:themeFill="background1"/>
          </w:tcPr>
          <w:p w14:paraId="1A0C534F" w14:textId="77777777" w:rsidR="00E9008A" w:rsidRPr="003A0C5C" w:rsidRDefault="00E9008A" w:rsidP="00313B2A">
            <w:pPr>
              <w:pStyle w:val="Tabletext"/>
              <w:jc w:val="center"/>
            </w:pPr>
          </w:p>
        </w:tc>
        <w:tc>
          <w:tcPr>
            <w:tcW w:w="716" w:type="dxa"/>
            <w:gridSpan w:val="2"/>
            <w:vMerge/>
            <w:shd w:val="clear" w:color="auto" w:fill="FFFFFF" w:themeFill="background1"/>
          </w:tcPr>
          <w:p w14:paraId="65E4B8AA" w14:textId="77777777" w:rsidR="00E9008A" w:rsidRPr="003A0C5C" w:rsidRDefault="00E9008A" w:rsidP="00313B2A">
            <w:pPr>
              <w:pStyle w:val="Tabletext"/>
              <w:jc w:val="center"/>
            </w:pPr>
          </w:p>
        </w:tc>
      </w:tr>
      <w:tr w:rsidR="003A0C5C" w:rsidRPr="003A0C5C" w14:paraId="442A266E" w14:textId="77777777" w:rsidTr="00313B2A">
        <w:trPr>
          <w:cantSplit/>
        </w:trPr>
        <w:tc>
          <w:tcPr>
            <w:tcW w:w="2857" w:type="dxa"/>
            <w:tcBorders>
              <w:top w:val="nil"/>
              <w:bottom w:val="nil"/>
            </w:tcBorders>
            <w:shd w:val="clear" w:color="auto" w:fill="FFFFFF" w:themeFill="background1"/>
          </w:tcPr>
          <w:p w14:paraId="52463F45" w14:textId="77777777" w:rsidR="00727104" w:rsidRPr="003A0C5C" w:rsidRDefault="00727104" w:rsidP="00727104">
            <w:pPr>
              <w:pStyle w:val="Tabletext"/>
              <w:keepNext/>
            </w:pPr>
            <w:r w:rsidRPr="003A0C5C">
              <w:t>Cement/Mortar Mixers</w:t>
            </w:r>
          </w:p>
        </w:tc>
        <w:tc>
          <w:tcPr>
            <w:tcW w:w="1241" w:type="dxa"/>
            <w:tcBorders>
              <w:top w:val="nil"/>
              <w:bottom w:val="nil"/>
            </w:tcBorders>
            <w:shd w:val="clear" w:color="auto" w:fill="FFFFFF" w:themeFill="background1"/>
          </w:tcPr>
          <w:p w14:paraId="6BF62DC1" w14:textId="77777777" w:rsidR="00727104" w:rsidRPr="003A0C5C" w:rsidRDefault="00727104" w:rsidP="00727104">
            <w:pPr>
              <w:pStyle w:val="Tabletext"/>
              <w:jc w:val="center"/>
            </w:pPr>
            <w:r w:rsidRPr="003A0C5C">
              <w:t>80</w:t>
            </w:r>
          </w:p>
        </w:tc>
        <w:tc>
          <w:tcPr>
            <w:tcW w:w="959" w:type="dxa"/>
            <w:tcBorders>
              <w:top w:val="nil"/>
              <w:bottom w:val="nil"/>
            </w:tcBorders>
            <w:shd w:val="clear" w:color="auto" w:fill="FFFFFF" w:themeFill="background1"/>
          </w:tcPr>
          <w:p w14:paraId="5E463056" w14:textId="77777777" w:rsidR="00727104" w:rsidRPr="003A0C5C" w:rsidRDefault="00727104" w:rsidP="00727104">
            <w:pPr>
              <w:pStyle w:val="Tabletext"/>
              <w:jc w:val="center"/>
            </w:pPr>
            <w:r w:rsidRPr="003A0C5C">
              <w:t>2</w:t>
            </w:r>
          </w:p>
        </w:tc>
        <w:tc>
          <w:tcPr>
            <w:tcW w:w="715" w:type="dxa"/>
            <w:gridSpan w:val="2"/>
            <w:vMerge w:val="restart"/>
            <w:shd w:val="clear" w:color="auto" w:fill="FFFFFF" w:themeFill="background1"/>
          </w:tcPr>
          <w:p w14:paraId="45B92A62" w14:textId="29DFB54D" w:rsidR="00727104" w:rsidRPr="003A0C5C" w:rsidRDefault="00727104" w:rsidP="00727104">
            <w:pPr>
              <w:pStyle w:val="Tabletext"/>
              <w:jc w:val="center"/>
            </w:pPr>
            <w:r w:rsidRPr="003A0C5C">
              <w:t>78</w:t>
            </w:r>
          </w:p>
        </w:tc>
        <w:tc>
          <w:tcPr>
            <w:tcW w:w="716" w:type="dxa"/>
            <w:gridSpan w:val="2"/>
            <w:vMerge w:val="restart"/>
            <w:shd w:val="clear" w:color="auto" w:fill="FFFFFF" w:themeFill="background1"/>
          </w:tcPr>
          <w:p w14:paraId="6B9BD4F4" w14:textId="063B0BC5" w:rsidR="00727104" w:rsidRPr="003A0C5C" w:rsidRDefault="00727104" w:rsidP="00727104">
            <w:pPr>
              <w:pStyle w:val="Tabletext"/>
              <w:jc w:val="center"/>
            </w:pPr>
            <w:r w:rsidRPr="003A0C5C">
              <w:t>76</w:t>
            </w:r>
          </w:p>
        </w:tc>
        <w:tc>
          <w:tcPr>
            <w:tcW w:w="716" w:type="dxa"/>
            <w:vMerge w:val="restart"/>
            <w:shd w:val="clear" w:color="auto" w:fill="FFFFFF" w:themeFill="background1"/>
          </w:tcPr>
          <w:p w14:paraId="54458F4C" w14:textId="223F447B" w:rsidR="00727104" w:rsidRPr="003A0C5C" w:rsidRDefault="00727104" w:rsidP="00727104">
            <w:pPr>
              <w:pStyle w:val="Tabletext"/>
              <w:jc w:val="center"/>
            </w:pPr>
            <w:r w:rsidRPr="003A0C5C">
              <w:t>78</w:t>
            </w:r>
          </w:p>
        </w:tc>
        <w:tc>
          <w:tcPr>
            <w:tcW w:w="716" w:type="dxa"/>
            <w:gridSpan w:val="2"/>
            <w:vMerge w:val="restart"/>
            <w:shd w:val="clear" w:color="auto" w:fill="FFFFFF" w:themeFill="background1"/>
          </w:tcPr>
          <w:p w14:paraId="0B973DCA" w14:textId="7032FA32" w:rsidR="00727104" w:rsidRPr="003A0C5C" w:rsidRDefault="00727104" w:rsidP="00727104">
            <w:pPr>
              <w:pStyle w:val="Tabletext"/>
              <w:jc w:val="center"/>
            </w:pPr>
            <w:r w:rsidRPr="003A0C5C">
              <w:t>71</w:t>
            </w:r>
          </w:p>
        </w:tc>
      </w:tr>
      <w:tr w:rsidR="003A0C5C" w:rsidRPr="003A0C5C" w14:paraId="10BA7174" w14:textId="77777777" w:rsidTr="00313B2A">
        <w:trPr>
          <w:cantSplit/>
        </w:trPr>
        <w:tc>
          <w:tcPr>
            <w:tcW w:w="2857" w:type="dxa"/>
            <w:tcBorders>
              <w:top w:val="nil"/>
              <w:bottom w:val="nil"/>
            </w:tcBorders>
            <w:shd w:val="clear" w:color="auto" w:fill="FFFFFF" w:themeFill="background1"/>
          </w:tcPr>
          <w:p w14:paraId="20111EB5" w14:textId="77777777" w:rsidR="00E9008A" w:rsidRPr="003A0C5C" w:rsidRDefault="00E9008A" w:rsidP="00313B2A">
            <w:pPr>
              <w:pStyle w:val="Tabletext"/>
              <w:keepNext/>
            </w:pPr>
            <w:r w:rsidRPr="003A0C5C">
              <w:t>Concrete/Industrial Saws</w:t>
            </w:r>
          </w:p>
        </w:tc>
        <w:tc>
          <w:tcPr>
            <w:tcW w:w="1241" w:type="dxa"/>
            <w:tcBorders>
              <w:top w:val="nil"/>
              <w:bottom w:val="nil"/>
            </w:tcBorders>
            <w:shd w:val="clear" w:color="auto" w:fill="FFFFFF" w:themeFill="background1"/>
          </w:tcPr>
          <w:p w14:paraId="4BD3C9F0" w14:textId="77777777" w:rsidR="00E9008A" w:rsidRPr="003A0C5C" w:rsidRDefault="00E9008A" w:rsidP="00313B2A">
            <w:pPr>
              <w:pStyle w:val="Tabletext"/>
              <w:jc w:val="center"/>
            </w:pPr>
            <w:r w:rsidRPr="003A0C5C">
              <w:t>90</w:t>
            </w:r>
          </w:p>
        </w:tc>
        <w:tc>
          <w:tcPr>
            <w:tcW w:w="959" w:type="dxa"/>
            <w:tcBorders>
              <w:top w:val="nil"/>
              <w:bottom w:val="nil"/>
            </w:tcBorders>
            <w:shd w:val="clear" w:color="auto" w:fill="FFFFFF" w:themeFill="background1"/>
          </w:tcPr>
          <w:p w14:paraId="16F6E145" w14:textId="77777777" w:rsidR="00E9008A" w:rsidRPr="003A0C5C" w:rsidRDefault="00E9008A" w:rsidP="00313B2A">
            <w:pPr>
              <w:pStyle w:val="Tabletext"/>
              <w:jc w:val="center"/>
            </w:pPr>
            <w:r w:rsidRPr="003A0C5C">
              <w:t>2</w:t>
            </w:r>
          </w:p>
        </w:tc>
        <w:tc>
          <w:tcPr>
            <w:tcW w:w="715" w:type="dxa"/>
            <w:gridSpan w:val="2"/>
            <w:vMerge/>
            <w:shd w:val="clear" w:color="auto" w:fill="FFFFFF" w:themeFill="background1"/>
          </w:tcPr>
          <w:p w14:paraId="182CC8D2" w14:textId="77777777" w:rsidR="00E9008A" w:rsidRPr="003A0C5C" w:rsidRDefault="00E9008A" w:rsidP="00313B2A">
            <w:pPr>
              <w:pStyle w:val="Tabletext"/>
              <w:jc w:val="center"/>
            </w:pPr>
          </w:p>
        </w:tc>
        <w:tc>
          <w:tcPr>
            <w:tcW w:w="716" w:type="dxa"/>
            <w:gridSpan w:val="2"/>
            <w:vMerge/>
            <w:shd w:val="clear" w:color="auto" w:fill="FFFFFF" w:themeFill="background1"/>
          </w:tcPr>
          <w:p w14:paraId="0920CEF9" w14:textId="77777777" w:rsidR="00E9008A" w:rsidRPr="003A0C5C" w:rsidRDefault="00E9008A" w:rsidP="00313B2A">
            <w:pPr>
              <w:pStyle w:val="Tabletext"/>
              <w:jc w:val="center"/>
            </w:pPr>
          </w:p>
        </w:tc>
        <w:tc>
          <w:tcPr>
            <w:tcW w:w="716" w:type="dxa"/>
            <w:vMerge/>
            <w:shd w:val="clear" w:color="auto" w:fill="FFFFFF" w:themeFill="background1"/>
          </w:tcPr>
          <w:p w14:paraId="4AB0E027" w14:textId="77777777" w:rsidR="00E9008A" w:rsidRPr="003A0C5C" w:rsidRDefault="00E9008A" w:rsidP="00313B2A">
            <w:pPr>
              <w:pStyle w:val="Tabletext"/>
              <w:jc w:val="center"/>
            </w:pPr>
          </w:p>
        </w:tc>
        <w:tc>
          <w:tcPr>
            <w:tcW w:w="716" w:type="dxa"/>
            <w:gridSpan w:val="2"/>
            <w:vMerge/>
            <w:shd w:val="clear" w:color="auto" w:fill="FFFFFF" w:themeFill="background1"/>
          </w:tcPr>
          <w:p w14:paraId="7E940CC2" w14:textId="77777777" w:rsidR="00E9008A" w:rsidRPr="003A0C5C" w:rsidRDefault="00E9008A" w:rsidP="00313B2A">
            <w:pPr>
              <w:pStyle w:val="Tabletext"/>
              <w:jc w:val="center"/>
            </w:pPr>
          </w:p>
        </w:tc>
      </w:tr>
      <w:tr w:rsidR="003A0C5C" w:rsidRPr="003A0C5C" w14:paraId="5298665F" w14:textId="77777777" w:rsidTr="00313B2A">
        <w:trPr>
          <w:cantSplit/>
        </w:trPr>
        <w:tc>
          <w:tcPr>
            <w:tcW w:w="2857" w:type="dxa"/>
            <w:tcBorders>
              <w:top w:val="nil"/>
              <w:bottom w:val="nil"/>
            </w:tcBorders>
            <w:shd w:val="clear" w:color="auto" w:fill="FFFFFF" w:themeFill="background1"/>
          </w:tcPr>
          <w:p w14:paraId="5B9F3619" w14:textId="77777777" w:rsidR="00E9008A" w:rsidRPr="003A0C5C" w:rsidRDefault="00E9008A" w:rsidP="00313B2A">
            <w:pPr>
              <w:pStyle w:val="Tabletext"/>
              <w:keepNext/>
            </w:pPr>
            <w:r w:rsidRPr="003A0C5C">
              <w:t>Cranes</w:t>
            </w:r>
          </w:p>
        </w:tc>
        <w:tc>
          <w:tcPr>
            <w:tcW w:w="1241" w:type="dxa"/>
            <w:tcBorders>
              <w:top w:val="nil"/>
              <w:bottom w:val="nil"/>
            </w:tcBorders>
            <w:shd w:val="clear" w:color="auto" w:fill="FFFFFF" w:themeFill="background1"/>
          </w:tcPr>
          <w:p w14:paraId="05EB3773" w14:textId="77777777" w:rsidR="00E9008A" w:rsidRPr="003A0C5C" w:rsidRDefault="00E9008A" w:rsidP="00313B2A">
            <w:pPr>
              <w:pStyle w:val="Tabletext"/>
              <w:jc w:val="center"/>
            </w:pPr>
            <w:r w:rsidRPr="003A0C5C">
              <w:t>85</w:t>
            </w:r>
          </w:p>
        </w:tc>
        <w:tc>
          <w:tcPr>
            <w:tcW w:w="959" w:type="dxa"/>
            <w:tcBorders>
              <w:top w:val="nil"/>
              <w:bottom w:val="nil"/>
            </w:tcBorders>
            <w:shd w:val="clear" w:color="auto" w:fill="FFFFFF" w:themeFill="background1"/>
          </w:tcPr>
          <w:p w14:paraId="2BBAEC81" w14:textId="77777777" w:rsidR="00E9008A" w:rsidRPr="003A0C5C" w:rsidRDefault="00E9008A" w:rsidP="00313B2A">
            <w:pPr>
              <w:pStyle w:val="Tabletext"/>
              <w:jc w:val="center"/>
            </w:pPr>
            <w:r w:rsidRPr="003A0C5C">
              <w:t>1</w:t>
            </w:r>
          </w:p>
        </w:tc>
        <w:tc>
          <w:tcPr>
            <w:tcW w:w="715" w:type="dxa"/>
            <w:gridSpan w:val="2"/>
            <w:vMerge/>
            <w:shd w:val="clear" w:color="auto" w:fill="FFFFFF" w:themeFill="background1"/>
          </w:tcPr>
          <w:p w14:paraId="3D0FCD68" w14:textId="77777777" w:rsidR="00E9008A" w:rsidRPr="003A0C5C" w:rsidRDefault="00E9008A" w:rsidP="00313B2A">
            <w:pPr>
              <w:pStyle w:val="Tabletext"/>
              <w:jc w:val="center"/>
            </w:pPr>
          </w:p>
        </w:tc>
        <w:tc>
          <w:tcPr>
            <w:tcW w:w="716" w:type="dxa"/>
            <w:gridSpan w:val="2"/>
            <w:vMerge/>
            <w:shd w:val="clear" w:color="auto" w:fill="FFFFFF" w:themeFill="background1"/>
          </w:tcPr>
          <w:p w14:paraId="2247DFA2" w14:textId="77777777" w:rsidR="00E9008A" w:rsidRPr="003A0C5C" w:rsidRDefault="00E9008A" w:rsidP="00313B2A">
            <w:pPr>
              <w:pStyle w:val="Tabletext"/>
              <w:jc w:val="center"/>
            </w:pPr>
          </w:p>
        </w:tc>
        <w:tc>
          <w:tcPr>
            <w:tcW w:w="716" w:type="dxa"/>
            <w:vMerge/>
            <w:shd w:val="clear" w:color="auto" w:fill="FFFFFF" w:themeFill="background1"/>
          </w:tcPr>
          <w:p w14:paraId="3A5AFCF4" w14:textId="77777777" w:rsidR="00E9008A" w:rsidRPr="003A0C5C" w:rsidRDefault="00E9008A" w:rsidP="00313B2A">
            <w:pPr>
              <w:pStyle w:val="Tabletext"/>
              <w:jc w:val="center"/>
            </w:pPr>
          </w:p>
        </w:tc>
        <w:tc>
          <w:tcPr>
            <w:tcW w:w="716" w:type="dxa"/>
            <w:gridSpan w:val="2"/>
            <w:vMerge/>
            <w:shd w:val="clear" w:color="auto" w:fill="FFFFFF" w:themeFill="background1"/>
          </w:tcPr>
          <w:p w14:paraId="4FA6F1D5" w14:textId="77777777" w:rsidR="00E9008A" w:rsidRPr="003A0C5C" w:rsidRDefault="00E9008A" w:rsidP="00313B2A">
            <w:pPr>
              <w:pStyle w:val="Tabletext"/>
              <w:jc w:val="center"/>
            </w:pPr>
          </w:p>
        </w:tc>
      </w:tr>
      <w:tr w:rsidR="003A0C5C" w:rsidRPr="003A0C5C" w14:paraId="62EC08A0" w14:textId="77777777" w:rsidTr="00313B2A">
        <w:trPr>
          <w:cantSplit/>
        </w:trPr>
        <w:tc>
          <w:tcPr>
            <w:tcW w:w="2857" w:type="dxa"/>
            <w:tcBorders>
              <w:top w:val="nil"/>
              <w:bottom w:val="nil"/>
            </w:tcBorders>
            <w:shd w:val="clear" w:color="auto" w:fill="FFFFFF" w:themeFill="background1"/>
          </w:tcPr>
          <w:p w14:paraId="3B9C3D3A" w14:textId="77777777" w:rsidR="00E9008A" w:rsidRPr="003A0C5C" w:rsidRDefault="00E9008A" w:rsidP="00313B2A">
            <w:pPr>
              <w:pStyle w:val="Tabletext"/>
              <w:keepNext/>
            </w:pPr>
            <w:r w:rsidRPr="003A0C5C">
              <w:t>Dumpers/Tenders</w:t>
            </w:r>
          </w:p>
        </w:tc>
        <w:tc>
          <w:tcPr>
            <w:tcW w:w="1241" w:type="dxa"/>
            <w:tcBorders>
              <w:top w:val="nil"/>
              <w:bottom w:val="nil"/>
            </w:tcBorders>
            <w:shd w:val="clear" w:color="auto" w:fill="FFFFFF" w:themeFill="background1"/>
          </w:tcPr>
          <w:p w14:paraId="73E5B76E" w14:textId="77777777" w:rsidR="00E9008A" w:rsidRPr="003A0C5C" w:rsidRDefault="00E9008A" w:rsidP="00313B2A">
            <w:pPr>
              <w:pStyle w:val="Tabletext"/>
              <w:jc w:val="center"/>
            </w:pPr>
            <w:r w:rsidRPr="003A0C5C">
              <w:t>84</w:t>
            </w:r>
          </w:p>
        </w:tc>
        <w:tc>
          <w:tcPr>
            <w:tcW w:w="959" w:type="dxa"/>
            <w:tcBorders>
              <w:top w:val="nil"/>
              <w:bottom w:val="nil"/>
            </w:tcBorders>
            <w:shd w:val="clear" w:color="auto" w:fill="FFFFFF" w:themeFill="background1"/>
          </w:tcPr>
          <w:p w14:paraId="4EBADD3D" w14:textId="77777777" w:rsidR="00E9008A" w:rsidRPr="003A0C5C" w:rsidRDefault="00E9008A" w:rsidP="00313B2A">
            <w:pPr>
              <w:pStyle w:val="Tabletext"/>
              <w:jc w:val="center"/>
            </w:pPr>
            <w:r w:rsidRPr="003A0C5C">
              <w:t>2</w:t>
            </w:r>
          </w:p>
        </w:tc>
        <w:tc>
          <w:tcPr>
            <w:tcW w:w="715" w:type="dxa"/>
            <w:gridSpan w:val="2"/>
            <w:vMerge w:val="restart"/>
            <w:shd w:val="clear" w:color="auto" w:fill="FFFFFF" w:themeFill="background1"/>
          </w:tcPr>
          <w:p w14:paraId="71C644C0" w14:textId="77777777" w:rsidR="00E9008A" w:rsidRPr="003A0C5C" w:rsidRDefault="00E9008A" w:rsidP="00313B2A">
            <w:pPr>
              <w:pStyle w:val="Tabletext"/>
              <w:jc w:val="center"/>
            </w:pPr>
          </w:p>
        </w:tc>
        <w:tc>
          <w:tcPr>
            <w:tcW w:w="716" w:type="dxa"/>
            <w:gridSpan w:val="2"/>
            <w:vMerge w:val="restart"/>
            <w:shd w:val="clear" w:color="auto" w:fill="FFFFFF" w:themeFill="background1"/>
          </w:tcPr>
          <w:p w14:paraId="5E48608D" w14:textId="77777777" w:rsidR="00E9008A" w:rsidRPr="003A0C5C" w:rsidRDefault="00E9008A" w:rsidP="00313B2A">
            <w:pPr>
              <w:pStyle w:val="Tabletext"/>
              <w:jc w:val="center"/>
            </w:pPr>
          </w:p>
        </w:tc>
        <w:tc>
          <w:tcPr>
            <w:tcW w:w="716" w:type="dxa"/>
            <w:vMerge w:val="restart"/>
            <w:shd w:val="clear" w:color="auto" w:fill="FFFFFF" w:themeFill="background1"/>
          </w:tcPr>
          <w:p w14:paraId="19ACE328" w14:textId="77777777" w:rsidR="00E9008A" w:rsidRPr="003A0C5C" w:rsidRDefault="00E9008A" w:rsidP="00313B2A">
            <w:pPr>
              <w:pStyle w:val="Tabletext"/>
              <w:jc w:val="center"/>
            </w:pPr>
          </w:p>
        </w:tc>
        <w:tc>
          <w:tcPr>
            <w:tcW w:w="716" w:type="dxa"/>
            <w:gridSpan w:val="2"/>
            <w:vMerge w:val="restart"/>
            <w:shd w:val="clear" w:color="auto" w:fill="FFFFFF" w:themeFill="background1"/>
          </w:tcPr>
          <w:p w14:paraId="18933885" w14:textId="77777777" w:rsidR="00E9008A" w:rsidRPr="003A0C5C" w:rsidRDefault="00E9008A" w:rsidP="00313B2A">
            <w:pPr>
              <w:pStyle w:val="Tabletext"/>
              <w:jc w:val="center"/>
            </w:pPr>
          </w:p>
        </w:tc>
      </w:tr>
      <w:tr w:rsidR="003A0C5C" w:rsidRPr="003A0C5C" w14:paraId="03A2E111" w14:textId="77777777" w:rsidTr="00313B2A">
        <w:trPr>
          <w:cantSplit/>
        </w:trPr>
        <w:tc>
          <w:tcPr>
            <w:tcW w:w="2857" w:type="dxa"/>
            <w:tcBorders>
              <w:top w:val="nil"/>
              <w:bottom w:val="nil"/>
            </w:tcBorders>
            <w:shd w:val="clear" w:color="auto" w:fill="FFFFFF" w:themeFill="background1"/>
          </w:tcPr>
          <w:p w14:paraId="1413D8D0" w14:textId="77777777" w:rsidR="00E9008A" w:rsidRPr="003A0C5C" w:rsidRDefault="00E9008A" w:rsidP="00313B2A">
            <w:pPr>
              <w:pStyle w:val="Tabletext"/>
              <w:keepNext/>
            </w:pPr>
            <w:r w:rsidRPr="003A0C5C">
              <w:t>Forklifts</w:t>
            </w:r>
          </w:p>
        </w:tc>
        <w:tc>
          <w:tcPr>
            <w:tcW w:w="1241" w:type="dxa"/>
            <w:tcBorders>
              <w:top w:val="nil"/>
              <w:bottom w:val="nil"/>
            </w:tcBorders>
            <w:shd w:val="clear" w:color="auto" w:fill="FFFFFF" w:themeFill="background1"/>
          </w:tcPr>
          <w:p w14:paraId="5871729C" w14:textId="77777777" w:rsidR="00E9008A" w:rsidRPr="003A0C5C" w:rsidRDefault="00E9008A" w:rsidP="00313B2A">
            <w:pPr>
              <w:pStyle w:val="Tabletext"/>
              <w:jc w:val="center"/>
            </w:pPr>
            <w:r w:rsidRPr="003A0C5C">
              <w:t>75</w:t>
            </w:r>
          </w:p>
        </w:tc>
        <w:tc>
          <w:tcPr>
            <w:tcW w:w="959" w:type="dxa"/>
            <w:tcBorders>
              <w:top w:val="nil"/>
              <w:bottom w:val="nil"/>
            </w:tcBorders>
            <w:shd w:val="clear" w:color="auto" w:fill="FFFFFF" w:themeFill="background1"/>
          </w:tcPr>
          <w:p w14:paraId="1346BCB7" w14:textId="77777777" w:rsidR="00E9008A" w:rsidRPr="003A0C5C" w:rsidRDefault="00E9008A" w:rsidP="00313B2A">
            <w:pPr>
              <w:pStyle w:val="Tabletext"/>
              <w:jc w:val="center"/>
            </w:pPr>
            <w:r w:rsidRPr="003A0C5C">
              <w:t>4</w:t>
            </w:r>
          </w:p>
        </w:tc>
        <w:tc>
          <w:tcPr>
            <w:tcW w:w="715" w:type="dxa"/>
            <w:gridSpan w:val="2"/>
            <w:vMerge/>
            <w:shd w:val="clear" w:color="auto" w:fill="FFFFFF" w:themeFill="background1"/>
          </w:tcPr>
          <w:p w14:paraId="1BC27D7E" w14:textId="77777777" w:rsidR="00E9008A" w:rsidRPr="003A0C5C" w:rsidRDefault="00E9008A" w:rsidP="00313B2A">
            <w:pPr>
              <w:pStyle w:val="Tabletext"/>
              <w:jc w:val="center"/>
            </w:pPr>
          </w:p>
        </w:tc>
        <w:tc>
          <w:tcPr>
            <w:tcW w:w="716" w:type="dxa"/>
            <w:gridSpan w:val="2"/>
            <w:vMerge/>
            <w:shd w:val="clear" w:color="auto" w:fill="FFFFFF" w:themeFill="background1"/>
          </w:tcPr>
          <w:p w14:paraId="0F55096B" w14:textId="77777777" w:rsidR="00E9008A" w:rsidRPr="003A0C5C" w:rsidRDefault="00E9008A" w:rsidP="00313B2A">
            <w:pPr>
              <w:pStyle w:val="Tabletext"/>
              <w:jc w:val="center"/>
            </w:pPr>
          </w:p>
        </w:tc>
        <w:tc>
          <w:tcPr>
            <w:tcW w:w="716" w:type="dxa"/>
            <w:vMerge/>
            <w:shd w:val="clear" w:color="auto" w:fill="FFFFFF" w:themeFill="background1"/>
          </w:tcPr>
          <w:p w14:paraId="4C56FBA7" w14:textId="77777777" w:rsidR="00E9008A" w:rsidRPr="003A0C5C" w:rsidRDefault="00E9008A" w:rsidP="00313B2A">
            <w:pPr>
              <w:pStyle w:val="Tabletext"/>
              <w:jc w:val="center"/>
            </w:pPr>
          </w:p>
        </w:tc>
        <w:tc>
          <w:tcPr>
            <w:tcW w:w="716" w:type="dxa"/>
            <w:gridSpan w:val="2"/>
            <w:vMerge/>
            <w:shd w:val="clear" w:color="auto" w:fill="FFFFFF" w:themeFill="background1"/>
          </w:tcPr>
          <w:p w14:paraId="40010ED5" w14:textId="77777777" w:rsidR="00E9008A" w:rsidRPr="003A0C5C" w:rsidRDefault="00E9008A" w:rsidP="00313B2A">
            <w:pPr>
              <w:pStyle w:val="Tabletext"/>
              <w:jc w:val="center"/>
            </w:pPr>
          </w:p>
        </w:tc>
      </w:tr>
      <w:tr w:rsidR="003A0C5C" w:rsidRPr="003A0C5C" w14:paraId="0E803714" w14:textId="77777777" w:rsidTr="00313B2A">
        <w:trPr>
          <w:cantSplit/>
        </w:trPr>
        <w:tc>
          <w:tcPr>
            <w:tcW w:w="2857" w:type="dxa"/>
            <w:tcBorders>
              <w:top w:val="nil"/>
              <w:bottom w:val="nil"/>
            </w:tcBorders>
            <w:shd w:val="clear" w:color="auto" w:fill="FFFFFF" w:themeFill="background1"/>
          </w:tcPr>
          <w:p w14:paraId="1AA0FAEE" w14:textId="77777777" w:rsidR="00E9008A" w:rsidRPr="003A0C5C" w:rsidRDefault="00E9008A" w:rsidP="00313B2A">
            <w:pPr>
              <w:pStyle w:val="Tabletext"/>
              <w:keepNext/>
            </w:pPr>
            <w:r w:rsidRPr="003A0C5C">
              <w:t>Generator</w:t>
            </w:r>
          </w:p>
        </w:tc>
        <w:tc>
          <w:tcPr>
            <w:tcW w:w="1241" w:type="dxa"/>
            <w:tcBorders>
              <w:top w:val="nil"/>
              <w:bottom w:val="nil"/>
            </w:tcBorders>
            <w:shd w:val="clear" w:color="auto" w:fill="FFFFFF" w:themeFill="background1"/>
          </w:tcPr>
          <w:p w14:paraId="2CC74751" w14:textId="77777777" w:rsidR="00E9008A" w:rsidRPr="003A0C5C" w:rsidRDefault="00E9008A" w:rsidP="00313B2A">
            <w:pPr>
              <w:pStyle w:val="Tabletext"/>
              <w:jc w:val="center"/>
            </w:pPr>
            <w:r w:rsidRPr="003A0C5C">
              <w:t>82</w:t>
            </w:r>
          </w:p>
        </w:tc>
        <w:tc>
          <w:tcPr>
            <w:tcW w:w="959" w:type="dxa"/>
            <w:tcBorders>
              <w:top w:val="nil"/>
              <w:bottom w:val="nil"/>
            </w:tcBorders>
            <w:shd w:val="clear" w:color="auto" w:fill="FFFFFF" w:themeFill="background1"/>
          </w:tcPr>
          <w:p w14:paraId="7407B382" w14:textId="77777777" w:rsidR="00E9008A" w:rsidRPr="003A0C5C" w:rsidRDefault="00E9008A" w:rsidP="00313B2A">
            <w:pPr>
              <w:pStyle w:val="Tabletext"/>
              <w:jc w:val="center"/>
            </w:pPr>
            <w:r w:rsidRPr="003A0C5C">
              <w:t>1</w:t>
            </w:r>
          </w:p>
        </w:tc>
        <w:tc>
          <w:tcPr>
            <w:tcW w:w="715" w:type="dxa"/>
            <w:gridSpan w:val="2"/>
            <w:vMerge/>
            <w:tcBorders>
              <w:bottom w:val="nil"/>
            </w:tcBorders>
            <w:shd w:val="clear" w:color="auto" w:fill="FFFFFF" w:themeFill="background1"/>
          </w:tcPr>
          <w:p w14:paraId="667E6E32" w14:textId="77777777" w:rsidR="00E9008A" w:rsidRPr="003A0C5C" w:rsidRDefault="00E9008A" w:rsidP="00313B2A">
            <w:pPr>
              <w:pStyle w:val="Tabletext"/>
              <w:jc w:val="center"/>
            </w:pPr>
          </w:p>
        </w:tc>
        <w:tc>
          <w:tcPr>
            <w:tcW w:w="716" w:type="dxa"/>
            <w:gridSpan w:val="2"/>
            <w:vMerge/>
            <w:tcBorders>
              <w:bottom w:val="nil"/>
            </w:tcBorders>
            <w:shd w:val="clear" w:color="auto" w:fill="FFFFFF" w:themeFill="background1"/>
          </w:tcPr>
          <w:p w14:paraId="1B566AA1" w14:textId="77777777" w:rsidR="00E9008A" w:rsidRPr="003A0C5C" w:rsidRDefault="00E9008A" w:rsidP="00313B2A">
            <w:pPr>
              <w:pStyle w:val="Tabletext"/>
              <w:jc w:val="center"/>
            </w:pPr>
          </w:p>
        </w:tc>
        <w:tc>
          <w:tcPr>
            <w:tcW w:w="716" w:type="dxa"/>
            <w:vMerge/>
            <w:tcBorders>
              <w:bottom w:val="nil"/>
            </w:tcBorders>
            <w:shd w:val="clear" w:color="auto" w:fill="FFFFFF" w:themeFill="background1"/>
          </w:tcPr>
          <w:p w14:paraId="5D455CA2" w14:textId="77777777" w:rsidR="00E9008A" w:rsidRPr="003A0C5C" w:rsidRDefault="00E9008A" w:rsidP="00313B2A">
            <w:pPr>
              <w:pStyle w:val="Tabletext"/>
              <w:jc w:val="center"/>
            </w:pPr>
          </w:p>
        </w:tc>
        <w:tc>
          <w:tcPr>
            <w:tcW w:w="716" w:type="dxa"/>
            <w:gridSpan w:val="2"/>
            <w:vMerge/>
            <w:tcBorders>
              <w:bottom w:val="nil"/>
            </w:tcBorders>
            <w:shd w:val="clear" w:color="auto" w:fill="FFFFFF" w:themeFill="background1"/>
          </w:tcPr>
          <w:p w14:paraId="48FF8AE4" w14:textId="77777777" w:rsidR="00E9008A" w:rsidRPr="003A0C5C" w:rsidRDefault="00E9008A" w:rsidP="00313B2A">
            <w:pPr>
              <w:pStyle w:val="Tabletext"/>
              <w:jc w:val="center"/>
            </w:pPr>
          </w:p>
        </w:tc>
      </w:tr>
      <w:tr w:rsidR="003A0C5C" w:rsidRPr="003A0C5C" w14:paraId="5B5EE083" w14:textId="77777777" w:rsidTr="00313B2A">
        <w:trPr>
          <w:cantSplit/>
        </w:trPr>
        <w:tc>
          <w:tcPr>
            <w:tcW w:w="2857" w:type="dxa"/>
            <w:tcBorders>
              <w:top w:val="nil"/>
              <w:bottom w:val="nil"/>
            </w:tcBorders>
            <w:shd w:val="clear" w:color="auto" w:fill="BFBFBF" w:themeFill="background1" w:themeFillShade="BF"/>
          </w:tcPr>
          <w:p w14:paraId="67CDC378" w14:textId="77777777" w:rsidR="00E9008A" w:rsidRPr="003A0C5C" w:rsidRDefault="00E9008A" w:rsidP="00313B2A">
            <w:pPr>
              <w:pStyle w:val="Tabletext"/>
              <w:keepNext/>
              <w:rPr>
                <w:b/>
              </w:rPr>
            </w:pPr>
            <w:r w:rsidRPr="003A0C5C">
              <w:rPr>
                <w:b/>
              </w:rPr>
              <w:t>Paving</w:t>
            </w:r>
          </w:p>
        </w:tc>
        <w:tc>
          <w:tcPr>
            <w:tcW w:w="1241" w:type="dxa"/>
            <w:tcBorders>
              <w:top w:val="nil"/>
              <w:bottom w:val="nil"/>
            </w:tcBorders>
            <w:shd w:val="clear" w:color="auto" w:fill="BFBFBF" w:themeFill="background1" w:themeFillShade="BF"/>
          </w:tcPr>
          <w:p w14:paraId="5BD0BE30" w14:textId="77777777" w:rsidR="00E9008A" w:rsidRPr="003A0C5C" w:rsidRDefault="00E9008A" w:rsidP="00313B2A">
            <w:pPr>
              <w:pStyle w:val="Tabletext"/>
              <w:jc w:val="center"/>
            </w:pPr>
          </w:p>
        </w:tc>
        <w:tc>
          <w:tcPr>
            <w:tcW w:w="959" w:type="dxa"/>
            <w:tcBorders>
              <w:top w:val="nil"/>
              <w:bottom w:val="nil"/>
            </w:tcBorders>
            <w:shd w:val="clear" w:color="auto" w:fill="BFBFBF" w:themeFill="background1" w:themeFillShade="BF"/>
          </w:tcPr>
          <w:p w14:paraId="721D3158" w14:textId="77777777" w:rsidR="00E9008A" w:rsidRPr="003A0C5C" w:rsidRDefault="00E9008A" w:rsidP="00313B2A">
            <w:pPr>
              <w:pStyle w:val="Tabletext"/>
              <w:jc w:val="center"/>
            </w:pPr>
          </w:p>
        </w:tc>
        <w:tc>
          <w:tcPr>
            <w:tcW w:w="613" w:type="dxa"/>
            <w:tcBorders>
              <w:top w:val="nil"/>
              <w:bottom w:val="nil"/>
            </w:tcBorders>
            <w:shd w:val="clear" w:color="auto" w:fill="BFBFBF" w:themeFill="background1" w:themeFillShade="BF"/>
          </w:tcPr>
          <w:p w14:paraId="64FAEB1D" w14:textId="77777777" w:rsidR="00E9008A" w:rsidRPr="003A0C5C" w:rsidRDefault="00E9008A" w:rsidP="00313B2A">
            <w:pPr>
              <w:pStyle w:val="Tabletext"/>
              <w:jc w:val="center"/>
            </w:pPr>
          </w:p>
        </w:tc>
        <w:tc>
          <w:tcPr>
            <w:tcW w:w="2250" w:type="dxa"/>
            <w:gridSpan w:val="6"/>
            <w:tcBorders>
              <w:top w:val="nil"/>
              <w:bottom w:val="nil"/>
            </w:tcBorders>
            <w:shd w:val="clear" w:color="auto" w:fill="BFBFBF" w:themeFill="background1" w:themeFillShade="BF"/>
          </w:tcPr>
          <w:p w14:paraId="091A91FA" w14:textId="77777777" w:rsidR="00E9008A" w:rsidRPr="003A0C5C" w:rsidRDefault="00E9008A" w:rsidP="00313B2A">
            <w:pPr>
              <w:pStyle w:val="Tabletext"/>
              <w:jc w:val="center"/>
            </w:pPr>
          </w:p>
        </w:tc>
      </w:tr>
      <w:tr w:rsidR="003A0C5C" w:rsidRPr="003A0C5C" w14:paraId="2C66B45B" w14:textId="77777777" w:rsidTr="00313B2A">
        <w:trPr>
          <w:cantSplit/>
        </w:trPr>
        <w:tc>
          <w:tcPr>
            <w:tcW w:w="2857" w:type="dxa"/>
            <w:tcBorders>
              <w:top w:val="nil"/>
              <w:bottom w:val="nil"/>
            </w:tcBorders>
            <w:shd w:val="clear" w:color="auto" w:fill="FFFFFF" w:themeFill="background1"/>
          </w:tcPr>
          <w:p w14:paraId="61D7E05F" w14:textId="77777777" w:rsidR="00E9008A" w:rsidRPr="003A0C5C" w:rsidRDefault="00E9008A" w:rsidP="00313B2A">
            <w:pPr>
              <w:pStyle w:val="Tabletext"/>
              <w:keepNext/>
            </w:pPr>
            <w:r w:rsidRPr="003A0C5C">
              <w:t>Backhoes</w:t>
            </w:r>
          </w:p>
        </w:tc>
        <w:tc>
          <w:tcPr>
            <w:tcW w:w="1241" w:type="dxa"/>
            <w:tcBorders>
              <w:top w:val="nil"/>
              <w:bottom w:val="nil"/>
            </w:tcBorders>
            <w:shd w:val="clear" w:color="auto" w:fill="FFFFFF" w:themeFill="background1"/>
          </w:tcPr>
          <w:p w14:paraId="31C79419" w14:textId="77777777" w:rsidR="00E9008A" w:rsidRPr="003A0C5C" w:rsidRDefault="00E9008A" w:rsidP="00313B2A">
            <w:pPr>
              <w:pStyle w:val="Tabletext"/>
              <w:jc w:val="center"/>
            </w:pPr>
            <w:r w:rsidRPr="003A0C5C">
              <w:t>80</w:t>
            </w:r>
          </w:p>
        </w:tc>
        <w:tc>
          <w:tcPr>
            <w:tcW w:w="959" w:type="dxa"/>
            <w:tcBorders>
              <w:top w:val="nil"/>
              <w:bottom w:val="nil"/>
            </w:tcBorders>
            <w:shd w:val="clear" w:color="auto" w:fill="FFFFFF" w:themeFill="background1"/>
          </w:tcPr>
          <w:p w14:paraId="50895906" w14:textId="77777777" w:rsidR="00E9008A" w:rsidRPr="003A0C5C" w:rsidRDefault="00E9008A" w:rsidP="00313B2A">
            <w:pPr>
              <w:pStyle w:val="Tabletext"/>
              <w:jc w:val="center"/>
            </w:pPr>
            <w:r w:rsidRPr="003A0C5C">
              <w:t>1</w:t>
            </w:r>
          </w:p>
        </w:tc>
        <w:tc>
          <w:tcPr>
            <w:tcW w:w="715" w:type="dxa"/>
            <w:gridSpan w:val="2"/>
            <w:tcBorders>
              <w:top w:val="nil"/>
            </w:tcBorders>
            <w:shd w:val="clear" w:color="auto" w:fill="FFFFFF" w:themeFill="background1"/>
          </w:tcPr>
          <w:p w14:paraId="40292222" w14:textId="77777777" w:rsidR="00E9008A" w:rsidRPr="003A0C5C" w:rsidRDefault="00E9008A" w:rsidP="00313B2A">
            <w:pPr>
              <w:pStyle w:val="Tabletext"/>
              <w:jc w:val="center"/>
            </w:pPr>
            <w:r w:rsidRPr="003A0C5C">
              <w:t>R1</w:t>
            </w:r>
          </w:p>
        </w:tc>
        <w:tc>
          <w:tcPr>
            <w:tcW w:w="716" w:type="dxa"/>
            <w:gridSpan w:val="2"/>
            <w:tcBorders>
              <w:top w:val="nil"/>
            </w:tcBorders>
            <w:shd w:val="clear" w:color="auto" w:fill="FFFFFF" w:themeFill="background1"/>
          </w:tcPr>
          <w:p w14:paraId="050F3BDC" w14:textId="77777777" w:rsidR="00E9008A" w:rsidRPr="003A0C5C" w:rsidRDefault="00E9008A" w:rsidP="00313B2A">
            <w:pPr>
              <w:pStyle w:val="Tabletext"/>
              <w:jc w:val="center"/>
            </w:pPr>
            <w:r w:rsidRPr="003A0C5C">
              <w:t>R2</w:t>
            </w:r>
          </w:p>
        </w:tc>
        <w:tc>
          <w:tcPr>
            <w:tcW w:w="716" w:type="dxa"/>
            <w:tcBorders>
              <w:top w:val="nil"/>
            </w:tcBorders>
            <w:shd w:val="clear" w:color="auto" w:fill="FFFFFF" w:themeFill="background1"/>
          </w:tcPr>
          <w:p w14:paraId="347821AB" w14:textId="77777777" w:rsidR="00E9008A" w:rsidRPr="003A0C5C" w:rsidRDefault="00E9008A" w:rsidP="00313B2A">
            <w:pPr>
              <w:pStyle w:val="Tabletext"/>
              <w:jc w:val="center"/>
            </w:pPr>
            <w:r w:rsidRPr="003A0C5C">
              <w:t>R3</w:t>
            </w:r>
          </w:p>
        </w:tc>
        <w:tc>
          <w:tcPr>
            <w:tcW w:w="716" w:type="dxa"/>
            <w:gridSpan w:val="2"/>
            <w:tcBorders>
              <w:top w:val="nil"/>
            </w:tcBorders>
            <w:shd w:val="clear" w:color="auto" w:fill="FFFFFF" w:themeFill="background1"/>
          </w:tcPr>
          <w:p w14:paraId="7FB0602E" w14:textId="77777777" w:rsidR="00E9008A" w:rsidRPr="003A0C5C" w:rsidRDefault="00E9008A" w:rsidP="00313B2A">
            <w:pPr>
              <w:pStyle w:val="Tabletext"/>
              <w:jc w:val="center"/>
            </w:pPr>
            <w:r w:rsidRPr="003A0C5C">
              <w:t>R4</w:t>
            </w:r>
          </w:p>
        </w:tc>
      </w:tr>
      <w:tr w:rsidR="003A0C5C" w:rsidRPr="003A0C5C" w14:paraId="7AE589ED" w14:textId="77777777" w:rsidTr="00313B2A">
        <w:trPr>
          <w:cantSplit/>
        </w:trPr>
        <w:tc>
          <w:tcPr>
            <w:tcW w:w="2857" w:type="dxa"/>
            <w:tcBorders>
              <w:top w:val="nil"/>
              <w:bottom w:val="nil"/>
            </w:tcBorders>
            <w:shd w:val="clear" w:color="auto" w:fill="FFFFFF" w:themeFill="background1"/>
          </w:tcPr>
          <w:p w14:paraId="7B21D368" w14:textId="77777777" w:rsidR="00E9008A" w:rsidRPr="003A0C5C" w:rsidRDefault="00E9008A" w:rsidP="00313B2A">
            <w:pPr>
              <w:pStyle w:val="Tabletext"/>
              <w:keepNext/>
            </w:pPr>
            <w:r w:rsidRPr="003A0C5C">
              <w:t>Loaders</w:t>
            </w:r>
          </w:p>
        </w:tc>
        <w:tc>
          <w:tcPr>
            <w:tcW w:w="1241" w:type="dxa"/>
            <w:tcBorders>
              <w:top w:val="nil"/>
              <w:bottom w:val="nil"/>
            </w:tcBorders>
            <w:shd w:val="clear" w:color="auto" w:fill="FFFFFF" w:themeFill="background1"/>
          </w:tcPr>
          <w:p w14:paraId="5BB84081" w14:textId="77777777" w:rsidR="00E9008A" w:rsidRPr="003A0C5C" w:rsidRDefault="00E9008A" w:rsidP="00313B2A">
            <w:pPr>
              <w:pStyle w:val="Tabletext"/>
              <w:jc w:val="center"/>
            </w:pPr>
            <w:r w:rsidRPr="003A0C5C">
              <w:t>80</w:t>
            </w:r>
          </w:p>
        </w:tc>
        <w:tc>
          <w:tcPr>
            <w:tcW w:w="959" w:type="dxa"/>
            <w:tcBorders>
              <w:top w:val="nil"/>
              <w:bottom w:val="nil"/>
            </w:tcBorders>
            <w:shd w:val="clear" w:color="auto" w:fill="FFFFFF" w:themeFill="background1"/>
          </w:tcPr>
          <w:p w14:paraId="468F7B4A" w14:textId="77777777" w:rsidR="00E9008A" w:rsidRPr="003A0C5C" w:rsidRDefault="00E9008A" w:rsidP="00313B2A">
            <w:pPr>
              <w:pStyle w:val="Tabletext"/>
              <w:jc w:val="center"/>
            </w:pPr>
            <w:r w:rsidRPr="003A0C5C">
              <w:t>2</w:t>
            </w:r>
          </w:p>
        </w:tc>
        <w:tc>
          <w:tcPr>
            <w:tcW w:w="715" w:type="dxa"/>
            <w:gridSpan w:val="2"/>
            <w:shd w:val="clear" w:color="auto" w:fill="FFFFFF" w:themeFill="background1"/>
          </w:tcPr>
          <w:p w14:paraId="0979AB57" w14:textId="77777777" w:rsidR="00E9008A" w:rsidRPr="003A0C5C" w:rsidRDefault="00E9008A" w:rsidP="00313B2A">
            <w:pPr>
              <w:pStyle w:val="Tabletext"/>
              <w:jc w:val="center"/>
            </w:pPr>
          </w:p>
        </w:tc>
        <w:tc>
          <w:tcPr>
            <w:tcW w:w="716" w:type="dxa"/>
            <w:gridSpan w:val="2"/>
            <w:shd w:val="clear" w:color="auto" w:fill="FFFFFF" w:themeFill="background1"/>
          </w:tcPr>
          <w:p w14:paraId="1BAED9D6" w14:textId="77777777" w:rsidR="00E9008A" w:rsidRPr="003A0C5C" w:rsidRDefault="00E9008A" w:rsidP="00313B2A">
            <w:pPr>
              <w:pStyle w:val="Tabletext"/>
              <w:jc w:val="center"/>
            </w:pPr>
          </w:p>
        </w:tc>
        <w:tc>
          <w:tcPr>
            <w:tcW w:w="716" w:type="dxa"/>
            <w:shd w:val="clear" w:color="auto" w:fill="FFFFFF" w:themeFill="background1"/>
          </w:tcPr>
          <w:p w14:paraId="1DE7A72F" w14:textId="77777777" w:rsidR="00E9008A" w:rsidRPr="003A0C5C" w:rsidRDefault="00E9008A" w:rsidP="00313B2A">
            <w:pPr>
              <w:pStyle w:val="Tabletext"/>
              <w:jc w:val="center"/>
            </w:pPr>
          </w:p>
        </w:tc>
        <w:tc>
          <w:tcPr>
            <w:tcW w:w="716" w:type="dxa"/>
            <w:gridSpan w:val="2"/>
            <w:shd w:val="clear" w:color="auto" w:fill="FFFFFF" w:themeFill="background1"/>
          </w:tcPr>
          <w:p w14:paraId="5B0571A4" w14:textId="77777777" w:rsidR="00E9008A" w:rsidRPr="003A0C5C" w:rsidRDefault="00E9008A" w:rsidP="00313B2A">
            <w:pPr>
              <w:pStyle w:val="Tabletext"/>
              <w:jc w:val="center"/>
            </w:pPr>
          </w:p>
        </w:tc>
      </w:tr>
      <w:tr w:rsidR="003A0C5C" w:rsidRPr="003A0C5C" w14:paraId="0A0C9A07" w14:textId="77777777" w:rsidTr="00313B2A">
        <w:trPr>
          <w:cantSplit/>
        </w:trPr>
        <w:tc>
          <w:tcPr>
            <w:tcW w:w="2857" w:type="dxa"/>
            <w:tcBorders>
              <w:top w:val="nil"/>
              <w:bottom w:val="nil"/>
            </w:tcBorders>
            <w:shd w:val="clear" w:color="auto" w:fill="FFFFFF" w:themeFill="background1"/>
          </w:tcPr>
          <w:p w14:paraId="52E931C6" w14:textId="77777777" w:rsidR="00E9008A" w:rsidRPr="003A0C5C" w:rsidRDefault="00E9008A" w:rsidP="00313B2A">
            <w:pPr>
              <w:pStyle w:val="Tabletext"/>
              <w:keepNext/>
            </w:pPr>
            <w:r w:rsidRPr="003A0C5C">
              <w:t>Pavers</w:t>
            </w:r>
          </w:p>
        </w:tc>
        <w:tc>
          <w:tcPr>
            <w:tcW w:w="1241" w:type="dxa"/>
            <w:tcBorders>
              <w:top w:val="nil"/>
              <w:bottom w:val="nil"/>
            </w:tcBorders>
            <w:shd w:val="clear" w:color="auto" w:fill="FFFFFF" w:themeFill="background1"/>
          </w:tcPr>
          <w:p w14:paraId="57274954" w14:textId="77777777" w:rsidR="00E9008A" w:rsidRPr="003A0C5C" w:rsidRDefault="00E9008A" w:rsidP="00313B2A">
            <w:pPr>
              <w:pStyle w:val="Tabletext"/>
              <w:jc w:val="center"/>
            </w:pPr>
            <w:r w:rsidRPr="003A0C5C">
              <w:t>85</w:t>
            </w:r>
          </w:p>
        </w:tc>
        <w:tc>
          <w:tcPr>
            <w:tcW w:w="959" w:type="dxa"/>
            <w:tcBorders>
              <w:top w:val="nil"/>
              <w:bottom w:val="nil"/>
            </w:tcBorders>
            <w:shd w:val="clear" w:color="auto" w:fill="FFFFFF" w:themeFill="background1"/>
          </w:tcPr>
          <w:p w14:paraId="1934F189" w14:textId="77777777" w:rsidR="00E9008A" w:rsidRPr="003A0C5C" w:rsidRDefault="00E9008A" w:rsidP="00313B2A">
            <w:pPr>
              <w:pStyle w:val="Tabletext"/>
              <w:jc w:val="center"/>
            </w:pPr>
            <w:r w:rsidRPr="003A0C5C">
              <w:t>1</w:t>
            </w:r>
          </w:p>
        </w:tc>
        <w:tc>
          <w:tcPr>
            <w:tcW w:w="715" w:type="dxa"/>
            <w:gridSpan w:val="2"/>
            <w:shd w:val="clear" w:color="auto" w:fill="FFFFFF" w:themeFill="background1"/>
          </w:tcPr>
          <w:p w14:paraId="1F22DC54" w14:textId="77777777" w:rsidR="00E9008A" w:rsidRPr="003A0C5C" w:rsidRDefault="00E9008A" w:rsidP="00313B2A">
            <w:pPr>
              <w:pStyle w:val="Tabletext"/>
              <w:jc w:val="center"/>
            </w:pPr>
          </w:p>
        </w:tc>
        <w:tc>
          <w:tcPr>
            <w:tcW w:w="716" w:type="dxa"/>
            <w:gridSpan w:val="2"/>
            <w:shd w:val="clear" w:color="auto" w:fill="FFFFFF" w:themeFill="background1"/>
          </w:tcPr>
          <w:p w14:paraId="176B47E7" w14:textId="77777777" w:rsidR="00E9008A" w:rsidRPr="003A0C5C" w:rsidRDefault="00E9008A" w:rsidP="00313B2A">
            <w:pPr>
              <w:pStyle w:val="Tabletext"/>
              <w:jc w:val="center"/>
            </w:pPr>
          </w:p>
        </w:tc>
        <w:tc>
          <w:tcPr>
            <w:tcW w:w="716" w:type="dxa"/>
            <w:shd w:val="clear" w:color="auto" w:fill="FFFFFF" w:themeFill="background1"/>
          </w:tcPr>
          <w:p w14:paraId="09B2240A" w14:textId="77777777" w:rsidR="00E9008A" w:rsidRPr="003A0C5C" w:rsidRDefault="00E9008A" w:rsidP="00313B2A">
            <w:pPr>
              <w:pStyle w:val="Tabletext"/>
              <w:jc w:val="center"/>
            </w:pPr>
          </w:p>
        </w:tc>
        <w:tc>
          <w:tcPr>
            <w:tcW w:w="716" w:type="dxa"/>
            <w:gridSpan w:val="2"/>
            <w:shd w:val="clear" w:color="auto" w:fill="FFFFFF" w:themeFill="background1"/>
          </w:tcPr>
          <w:p w14:paraId="121D532D" w14:textId="77777777" w:rsidR="00E9008A" w:rsidRPr="003A0C5C" w:rsidRDefault="00E9008A" w:rsidP="00313B2A">
            <w:pPr>
              <w:pStyle w:val="Tabletext"/>
              <w:jc w:val="center"/>
            </w:pPr>
          </w:p>
        </w:tc>
      </w:tr>
      <w:tr w:rsidR="003A0C5C" w:rsidRPr="003A0C5C" w14:paraId="185E9618" w14:textId="77777777" w:rsidTr="00313B2A">
        <w:trPr>
          <w:cantSplit/>
        </w:trPr>
        <w:tc>
          <w:tcPr>
            <w:tcW w:w="2857" w:type="dxa"/>
            <w:tcBorders>
              <w:top w:val="nil"/>
              <w:bottom w:val="nil"/>
            </w:tcBorders>
            <w:shd w:val="clear" w:color="auto" w:fill="FFFFFF" w:themeFill="background1"/>
          </w:tcPr>
          <w:p w14:paraId="207DA642" w14:textId="77777777" w:rsidR="00E9008A" w:rsidRPr="003A0C5C" w:rsidRDefault="00E9008A" w:rsidP="00313B2A">
            <w:pPr>
              <w:pStyle w:val="Tabletext"/>
              <w:keepNext/>
            </w:pPr>
            <w:r w:rsidRPr="003A0C5C">
              <w:t>Paving Equipment</w:t>
            </w:r>
          </w:p>
        </w:tc>
        <w:tc>
          <w:tcPr>
            <w:tcW w:w="1241" w:type="dxa"/>
            <w:tcBorders>
              <w:top w:val="nil"/>
              <w:bottom w:val="nil"/>
            </w:tcBorders>
            <w:shd w:val="clear" w:color="auto" w:fill="FFFFFF" w:themeFill="background1"/>
          </w:tcPr>
          <w:p w14:paraId="0F5FEFCC" w14:textId="77777777" w:rsidR="00E9008A" w:rsidRPr="003A0C5C" w:rsidRDefault="00E9008A" w:rsidP="00313B2A">
            <w:pPr>
              <w:pStyle w:val="Tabletext"/>
              <w:jc w:val="center"/>
            </w:pPr>
            <w:r w:rsidRPr="003A0C5C">
              <w:t>85</w:t>
            </w:r>
          </w:p>
        </w:tc>
        <w:tc>
          <w:tcPr>
            <w:tcW w:w="959" w:type="dxa"/>
            <w:tcBorders>
              <w:top w:val="nil"/>
              <w:bottom w:val="nil"/>
            </w:tcBorders>
            <w:shd w:val="clear" w:color="auto" w:fill="FFFFFF" w:themeFill="background1"/>
          </w:tcPr>
          <w:p w14:paraId="6E7F12F7" w14:textId="77777777" w:rsidR="00E9008A" w:rsidRPr="003A0C5C" w:rsidRDefault="00E9008A" w:rsidP="00313B2A">
            <w:pPr>
              <w:pStyle w:val="Tabletext"/>
              <w:jc w:val="center"/>
            </w:pPr>
            <w:r w:rsidRPr="003A0C5C">
              <w:t>3</w:t>
            </w:r>
          </w:p>
        </w:tc>
        <w:tc>
          <w:tcPr>
            <w:tcW w:w="715" w:type="dxa"/>
            <w:gridSpan w:val="2"/>
            <w:shd w:val="clear" w:color="auto" w:fill="FFFFFF" w:themeFill="background1"/>
          </w:tcPr>
          <w:p w14:paraId="1C076DDE" w14:textId="77777777" w:rsidR="00E9008A" w:rsidRPr="003A0C5C" w:rsidRDefault="00E9008A" w:rsidP="00313B2A">
            <w:pPr>
              <w:pStyle w:val="Tabletext"/>
              <w:jc w:val="center"/>
            </w:pPr>
          </w:p>
        </w:tc>
        <w:tc>
          <w:tcPr>
            <w:tcW w:w="716" w:type="dxa"/>
            <w:gridSpan w:val="2"/>
            <w:shd w:val="clear" w:color="auto" w:fill="FFFFFF" w:themeFill="background1"/>
          </w:tcPr>
          <w:p w14:paraId="640E92EC" w14:textId="77777777" w:rsidR="00E9008A" w:rsidRPr="003A0C5C" w:rsidRDefault="00E9008A" w:rsidP="00313B2A">
            <w:pPr>
              <w:pStyle w:val="Tabletext"/>
              <w:jc w:val="center"/>
            </w:pPr>
          </w:p>
        </w:tc>
        <w:tc>
          <w:tcPr>
            <w:tcW w:w="716" w:type="dxa"/>
            <w:shd w:val="clear" w:color="auto" w:fill="FFFFFF" w:themeFill="background1"/>
          </w:tcPr>
          <w:p w14:paraId="1E274732" w14:textId="77777777" w:rsidR="00E9008A" w:rsidRPr="003A0C5C" w:rsidRDefault="00E9008A" w:rsidP="00313B2A">
            <w:pPr>
              <w:pStyle w:val="Tabletext"/>
              <w:jc w:val="center"/>
            </w:pPr>
          </w:p>
        </w:tc>
        <w:tc>
          <w:tcPr>
            <w:tcW w:w="716" w:type="dxa"/>
            <w:gridSpan w:val="2"/>
            <w:shd w:val="clear" w:color="auto" w:fill="FFFFFF" w:themeFill="background1"/>
          </w:tcPr>
          <w:p w14:paraId="63E30C5F" w14:textId="77777777" w:rsidR="00E9008A" w:rsidRPr="003A0C5C" w:rsidRDefault="00E9008A" w:rsidP="00313B2A">
            <w:pPr>
              <w:pStyle w:val="Tabletext"/>
              <w:jc w:val="center"/>
            </w:pPr>
          </w:p>
        </w:tc>
      </w:tr>
      <w:tr w:rsidR="003A0C5C" w:rsidRPr="003A0C5C" w14:paraId="0F1B5268" w14:textId="77777777" w:rsidTr="00313B2A">
        <w:trPr>
          <w:cantSplit/>
        </w:trPr>
        <w:tc>
          <w:tcPr>
            <w:tcW w:w="2857" w:type="dxa"/>
            <w:tcBorders>
              <w:top w:val="nil"/>
              <w:bottom w:val="nil"/>
            </w:tcBorders>
            <w:shd w:val="clear" w:color="auto" w:fill="FFFFFF" w:themeFill="background1"/>
          </w:tcPr>
          <w:p w14:paraId="7FB0DAAD" w14:textId="77777777" w:rsidR="00727104" w:rsidRPr="003A0C5C" w:rsidRDefault="00727104" w:rsidP="00727104">
            <w:pPr>
              <w:pStyle w:val="Tabletext"/>
              <w:keepNext/>
            </w:pPr>
            <w:r w:rsidRPr="003A0C5C">
              <w:t>Rollers</w:t>
            </w:r>
          </w:p>
        </w:tc>
        <w:tc>
          <w:tcPr>
            <w:tcW w:w="1241" w:type="dxa"/>
            <w:tcBorders>
              <w:top w:val="nil"/>
              <w:bottom w:val="nil"/>
            </w:tcBorders>
            <w:shd w:val="clear" w:color="auto" w:fill="FFFFFF" w:themeFill="background1"/>
          </w:tcPr>
          <w:p w14:paraId="3EC21562" w14:textId="77777777" w:rsidR="00727104" w:rsidRPr="003A0C5C" w:rsidRDefault="00727104" w:rsidP="00727104">
            <w:pPr>
              <w:pStyle w:val="Tabletext"/>
              <w:jc w:val="center"/>
            </w:pPr>
            <w:r w:rsidRPr="003A0C5C">
              <w:t>85</w:t>
            </w:r>
          </w:p>
        </w:tc>
        <w:tc>
          <w:tcPr>
            <w:tcW w:w="959" w:type="dxa"/>
            <w:tcBorders>
              <w:top w:val="nil"/>
              <w:bottom w:val="nil"/>
            </w:tcBorders>
            <w:shd w:val="clear" w:color="auto" w:fill="FFFFFF" w:themeFill="background1"/>
          </w:tcPr>
          <w:p w14:paraId="36BB383A" w14:textId="77777777" w:rsidR="00727104" w:rsidRPr="003A0C5C" w:rsidRDefault="00727104" w:rsidP="00727104">
            <w:pPr>
              <w:pStyle w:val="Tabletext"/>
              <w:jc w:val="center"/>
            </w:pPr>
            <w:r w:rsidRPr="003A0C5C">
              <w:t>2</w:t>
            </w:r>
          </w:p>
        </w:tc>
        <w:tc>
          <w:tcPr>
            <w:tcW w:w="715" w:type="dxa"/>
            <w:gridSpan w:val="2"/>
            <w:shd w:val="clear" w:color="auto" w:fill="FFFFFF" w:themeFill="background1"/>
          </w:tcPr>
          <w:p w14:paraId="4768EAED" w14:textId="6EB5565C" w:rsidR="00727104" w:rsidRPr="003A0C5C" w:rsidRDefault="00727104" w:rsidP="00727104">
            <w:pPr>
              <w:pStyle w:val="Tabletext"/>
              <w:jc w:val="center"/>
            </w:pPr>
            <w:r w:rsidRPr="003A0C5C">
              <w:t>78</w:t>
            </w:r>
          </w:p>
        </w:tc>
        <w:tc>
          <w:tcPr>
            <w:tcW w:w="716" w:type="dxa"/>
            <w:gridSpan w:val="2"/>
            <w:shd w:val="clear" w:color="auto" w:fill="FFFFFF" w:themeFill="background1"/>
          </w:tcPr>
          <w:p w14:paraId="1F09687B" w14:textId="3DBEED8D" w:rsidR="00727104" w:rsidRPr="003A0C5C" w:rsidRDefault="00727104" w:rsidP="00727104">
            <w:pPr>
              <w:pStyle w:val="Tabletext"/>
              <w:jc w:val="center"/>
            </w:pPr>
            <w:r w:rsidRPr="003A0C5C">
              <w:t>7</w:t>
            </w:r>
            <w:r w:rsidR="00ED505C" w:rsidRPr="003A0C5C">
              <w:t>5</w:t>
            </w:r>
          </w:p>
        </w:tc>
        <w:tc>
          <w:tcPr>
            <w:tcW w:w="716" w:type="dxa"/>
            <w:shd w:val="clear" w:color="auto" w:fill="FFFFFF" w:themeFill="background1"/>
          </w:tcPr>
          <w:p w14:paraId="46F9FD1E" w14:textId="60AC03E0" w:rsidR="00727104" w:rsidRPr="003A0C5C" w:rsidRDefault="00727104" w:rsidP="00727104">
            <w:pPr>
              <w:pStyle w:val="Tabletext"/>
              <w:jc w:val="center"/>
            </w:pPr>
            <w:r w:rsidRPr="003A0C5C">
              <w:t>7</w:t>
            </w:r>
            <w:r w:rsidR="00ED505C" w:rsidRPr="003A0C5C">
              <w:t>7</w:t>
            </w:r>
          </w:p>
        </w:tc>
        <w:tc>
          <w:tcPr>
            <w:tcW w:w="716" w:type="dxa"/>
            <w:gridSpan w:val="2"/>
            <w:shd w:val="clear" w:color="auto" w:fill="FFFFFF" w:themeFill="background1"/>
          </w:tcPr>
          <w:p w14:paraId="7F7037D8" w14:textId="421D976B" w:rsidR="00727104" w:rsidRPr="003A0C5C" w:rsidRDefault="00727104" w:rsidP="00727104">
            <w:pPr>
              <w:pStyle w:val="Tabletext"/>
              <w:jc w:val="center"/>
            </w:pPr>
            <w:r w:rsidRPr="003A0C5C">
              <w:t>70</w:t>
            </w:r>
          </w:p>
        </w:tc>
      </w:tr>
      <w:tr w:rsidR="003A0C5C" w:rsidRPr="003A0C5C" w14:paraId="5D9F9120" w14:textId="77777777" w:rsidTr="00313B2A">
        <w:trPr>
          <w:cantSplit/>
        </w:trPr>
        <w:tc>
          <w:tcPr>
            <w:tcW w:w="2857" w:type="dxa"/>
            <w:tcBorders>
              <w:top w:val="nil"/>
              <w:bottom w:val="nil"/>
            </w:tcBorders>
            <w:shd w:val="clear" w:color="auto" w:fill="FFFFFF" w:themeFill="background1"/>
          </w:tcPr>
          <w:p w14:paraId="263519DA" w14:textId="77777777" w:rsidR="00E9008A" w:rsidRPr="003A0C5C" w:rsidRDefault="00E9008A" w:rsidP="00313B2A">
            <w:pPr>
              <w:pStyle w:val="Tabletext"/>
              <w:keepNext/>
            </w:pPr>
            <w:r w:rsidRPr="003A0C5C">
              <w:t>Sweepers/Scrubbers</w:t>
            </w:r>
          </w:p>
        </w:tc>
        <w:tc>
          <w:tcPr>
            <w:tcW w:w="1241" w:type="dxa"/>
            <w:tcBorders>
              <w:top w:val="nil"/>
              <w:bottom w:val="nil"/>
            </w:tcBorders>
            <w:shd w:val="clear" w:color="auto" w:fill="FFFFFF" w:themeFill="background1"/>
          </w:tcPr>
          <w:p w14:paraId="5E2D9144" w14:textId="77777777" w:rsidR="00E9008A" w:rsidRPr="003A0C5C" w:rsidRDefault="00E9008A" w:rsidP="00313B2A">
            <w:pPr>
              <w:pStyle w:val="Tabletext"/>
              <w:jc w:val="center"/>
            </w:pPr>
            <w:r w:rsidRPr="003A0C5C">
              <w:t>85</w:t>
            </w:r>
          </w:p>
        </w:tc>
        <w:tc>
          <w:tcPr>
            <w:tcW w:w="959" w:type="dxa"/>
            <w:tcBorders>
              <w:top w:val="nil"/>
              <w:bottom w:val="nil"/>
            </w:tcBorders>
            <w:shd w:val="clear" w:color="auto" w:fill="FFFFFF" w:themeFill="background1"/>
          </w:tcPr>
          <w:p w14:paraId="152ACC13" w14:textId="77777777" w:rsidR="00E9008A" w:rsidRPr="003A0C5C" w:rsidRDefault="00E9008A" w:rsidP="00313B2A">
            <w:pPr>
              <w:pStyle w:val="Tabletext"/>
              <w:jc w:val="center"/>
            </w:pPr>
            <w:r w:rsidRPr="003A0C5C">
              <w:t>1</w:t>
            </w:r>
          </w:p>
        </w:tc>
        <w:tc>
          <w:tcPr>
            <w:tcW w:w="715" w:type="dxa"/>
            <w:gridSpan w:val="2"/>
            <w:shd w:val="clear" w:color="auto" w:fill="FFFFFF" w:themeFill="background1"/>
          </w:tcPr>
          <w:p w14:paraId="25E3BDBC" w14:textId="77777777" w:rsidR="00E9008A" w:rsidRPr="003A0C5C" w:rsidRDefault="00E9008A" w:rsidP="00313B2A">
            <w:pPr>
              <w:pStyle w:val="Tabletext"/>
              <w:jc w:val="center"/>
            </w:pPr>
          </w:p>
        </w:tc>
        <w:tc>
          <w:tcPr>
            <w:tcW w:w="716" w:type="dxa"/>
            <w:gridSpan w:val="2"/>
            <w:shd w:val="clear" w:color="auto" w:fill="FFFFFF" w:themeFill="background1"/>
          </w:tcPr>
          <w:p w14:paraId="2CF29E0E" w14:textId="77777777" w:rsidR="00E9008A" w:rsidRPr="003A0C5C" w:rsidRDefault="00E9008A" w:rsidP="00313B2A">
            <w:pPr>
              <w:pStyle w:val="Tabletext"/>
              <w:jc w:val="center"/>
            </w:pPr>
          </w:p>
        </w:tc>
        <w:tc>
          <w:tcPr>
            <w:tcW w:w="716" w:type="dxa"/>
            <w:shd w:val="clear" w:color="auto" w:fill="FFFFFF" w:themeFill="background1"/>
          </w:tcPr>
          <w:p w14:paraId="72A640DF" w14:textId="77777777" w:rsidR="00E9008A" w:rsidRPr="003A0C5C" w:rsidRDefault="00E9008A" w:rsidP="00313B2A">
            <w:pPr>
              <w:pStyle w:val="Tabletext"/>
              <w:jc w:val="center"/>
            </w:pPr>
          </w:p>
        </w:tc>
        <w:tc>
          <w:tcPr>
            <w:tcW w:w="716" w:type="dxa"/>
            <w:gridSpan w:val="2"/>
            <w:shd w:val="clear" w:color="auto" w:fill="FFFFFF" w:themeFill="background1"/>
          </w:tcPr>
          <w:p w14:paraId="6F139748" w14:textId="77777777" w:rsidR="00E9008A" w:rsidRPr="003A0C5C" w:rsidRDefault="00E9008A" w:rsidP="00313B2A">
            <w:pPr>
              <w:pStyle w:val="Tabletext"/>
              <w:jc w:val="center"/>
            </w:pPr>
          </w:p>
        </w:tc>
      </w:tr>
      <w:tr w:rsidR="003A0C5C" w:rsidRPr="003A0C5C" w14:paraId="43A15333" w14:textId="77777777" w:rsidTr="00313B2A">
        <w:trPr>
          <w:cantSplit/>
        </w:trPr>
        <w:tc>
          <w:tcPr>
            <w:tcW w:w="2857" w:type="dxa"/>
            <w:tcBorders>
              <w:top w:val="nil"/>
              <w:bottom w:val="nil"/>
            </w:tcBorders>
            <w:shd w:val="clear" w:color="auto" w:fill="FFFFFF" w:themeFill="background1"/>
          </w:tcPr>
          <w:p w14:paraId="4D8F6F16" w14:textId="77777777" w:rsidR="00E9008A" w:rsidRPr="003A0C5C" w:rsidRDefault="00E9008A" w:rsidP="00313B2A">
            <w:pPr>
              <w:pStyle w:val="Tabletext"/>
              <w:keepNext/>
            </w:pPr>
            <w:r w:rsidRPr="003A0C5C">
              <w:t>Dumpers/Tenders</w:t>
            </w:r>
          </w:p>
        </w:tc>
        <w:tc>
          <w:tcPr>
            <w:tcW w:w="1241" w:type="dxa"/>
            <w:tcBorders>
              <w:top w:val="nil"/>
              <w:bottom w:val="nil"/>
            </w:tcBorders>
            <w:shd w:val="clear" w:color="auto" w:fill="FFFFFF" w:themeFill="background1"/>
          </w:tcPr>
          <w:p w14:paraId="12A57F81" w14:textId="77777777" w:rsidR="00E9008A" w:rsidRPr="003A0C5C" w:rsidRDefault="00E9008A" w:rsidP="00313B2A">
            <w:pPr>
              <w:pStyle w:val="Tabletext"/>
              <w:jc w:val="center"/>
            </w:pPr>
            <w:r w:rsidRPr="003A0C5C">
              <w:t>84</w:t>
            </w:r>
          </w:p>
        </w:tc>
        <w:tc>
          <w:tcPr>
            <w:tcW w:w="959" w:type="dxa"/>
            <w:tcBorders>
              <w:top w:val="nil"/>
              <w:bottom w:val="nil"/>
            </w:tcBorders>
            <w:shd w:val="clear" w:color="auto" w:fill="FFFFFF" w:themeFill="background1"/>
          </w:tcPr>
          <w:p w14:paraId="7219298A" w14:textId="77777777" w:rsidR="00E9008A" w:rsidRPr="003A0C5C" w:rsidRDefault="00E9008A" w:rsidP="00313B2A">
            <w:pPr>
              <w:pStyle w:val="Tabletext"/>
              <w:jc w:val="center"/>
            </w:pPr>
            <w:r w:rsidRPr="003A0C5C">
              <w:t>2</w:t>
            </w:r>
          </w:p>
        </w:tc>
        <w:tc>
          <w:tcPr>
            <w:tcW w:w="715" w:type="dxa"/>
            <w:gridSpan w:val="2"/>
            <w:tcBorders>
              <w:bottom w:val="nil"/>
            </w:tcBorders>
            <w:shd w:val="clear" w:color="auto" w:fill="FFFFFF" w:themeFill="background1"/>
          </w:tcPr>
          <w:p w14:paraId="4A5B7D61" w14:textId="77777777" w:rsidR="00E9008A" w:rsidRPr="003A0C5C" w:rsidRDefault="00E9008A" w:rsidP="00313B2A">
            <w:pPr>
              <w:pStyle w:val="Tabletext"/>
              <w:jc w:val="center"/>
            </w:pPr>
          </w:p>
        </w:tc>
        <w:tc>
          <w:tcPr>
            <w:tcW w:w="716" w:type="dxa"/>
            <w:gridSpan w:val="2"/>
            <w:tcBorders>
              <w:bottom w:val="nil"/>
            </w:tcBorders>
            <w:shd w:val="clear" w:color="auto" w:fill="FFFFFF" w:themeFill="background1"/>
          </w:tcPr>
          <w:p w14:paraId="32E5E1F5" w14:textId="77777777" w:rsidR="00E9008A" w:rsidRPr="003A0C5C" w:rsidRDefault="00E9008A" w:rsidP="00313B2A">
            <w:pPr>
              <w:pStyle w:val="Tabletext"/>
              <w:jc w:val="center"/>
            </w:pPr>
          </w:p>
        </w:tc>
        <w:tc>
          <w:tcPr>
            <w:tcW w:w="716" w:type="dxa"/>
            <w:tcBorders>
              <w:bottom w:val="nil"/>
            </w:tcBorders>
            <w:shd w:val="clear" w:color="auto" w:fill="FFFFFF" w:themeFill="background1"/>
          </w:tcPr>
          <w:p w14:paraId="381A472D" w14:textId="77777777" w:rsidR="00E9008A" w:rsidRPr="003A0C5C" w:rsidRDefault="00E9008A" w:rsidP="00313B2A">
            <w:pPr>
              <w:pStyle w:val="Tabletext"/>
              <w:jc w:val="center"/>
            </w:pPr>
          </w:p>
        </w:tc>
        <w:tc>
          <w:tcPr>
            <w:tcW w:w="716" w:type="dxa"/>
            <w:gridSpan w:val="2"/>
            <w:tcBorders>
              <w:bottom w:val="nil"/>
            </w:tcBorders>
            <w:shd w:val="clear" w:color="auto" w:fill="FFFFFF" w:themeFill="background1"/>
          </w:tcPr>
          <w:p w14:paraId="632954A6" w14:textId="77777777" w:rsidR="00E9008A" w:rsidRPr="003A0C5C" w:rsidRDefault="00E9008A" w:rsidP="00313B2A">
            <w:pPr>
              <w:pStyle w:val="Tabletext"/>
              <w:jc w:val="center"/>
            </w:pPr>
          </w:p>
        </w:tc>
      </w:tr>
      <w:tr w:rsidR="003A0C5C" w:rsidRPr="003A0C5C" w14:paraId="28101543" w14:textId="77777777" w:rsidTr="00313B2A">
        <w:trPr>
          <w:cantSplit/>
        </w:trPr>
        <w:tc>
          <w:tcPr>
            <w:tcW w:w="2857" w:type="dxa"/>
            <w:tcBorders>
              <w:top w:val="nil"/>
              <w:bottom w:val="nil"/>
            </w:tcBorders>
            <w:shd w:val="clear" w:color="auto" w:fill="D9D9D9" w:themeFill="background1" w:themeFillShade="D9"/>
          </w:tcPr>
          <w:p w14:paraId="1F019EC6" w14:textId="77777777" w:rsidR="00E9008A" w:rsidRPr="003A0C5C" w:rsidRDefault="00E9008A" w:rsidP="00313B2A">
            <w:pPr>
              <w:pStyle w:val="Tabletext"/>
              <w:keepNext/>
              <w:rPr>
                <w:b/>
              </w:rPr>
            </w:pPr>
            <w:r w:rsidRPr="003A0C5C">
              <w:rPr>
                <w:b/>
              </w:rPr>
              <w:t>Architectural Coatings</w:t>
            </w:r>
          </w:p>
        </w:tc>
        <w:tc>
          <w:tcPr>
            <w:tcW w:w="1241" w:type="dxa"/>
            <w:tcBorders>
              <w:top w:val="nil"/>
              <w:bottom w:val="nil"/>
            </w:tcBorders>
            <w:shd w:val="clear" w:color="auto" w:fill="D9D9D9" w:themeFill="background1" w:themeFillShade="D9"/>
          </w:tcPr>
          <w:p w14:paraId="1C34E434" w14:textId="77777777" w:rsidR="00E9008A" w:rsidRPr="003A0C5C" w:rsidRDefault="00E9008A" w:rsidP="00313B2A">
            <w:pPr>
              <w:pStyle w:val="Tabletext"/>
              <w:jc w:val="center"/>
            </w:pPr>
          </w:p>
        </w:tc>
        <w:tc>
          <w:tcPr>
            <w:tcW w:w="959" w:type="dxa"/>
            <w:tcBorders>
              <w:top w:val="nil"/>
              <w:bottom w:val="nil"/>
            </w:tcBorders>
            <w:shd w:val="clear" w:color="auto" w:fill="D9D9D9" w:themeFill="background1" w:themeFillShade="D9"/>
          </w:tcPr>
          <w:p w14:paraId="3423634D" w14:textId="77777777" w:rsidR="00E9008A" w:rsidRPr="003A0C5C" w:rsidRDefault="00E9008A" w:rsidP="00313B2A">
            <w:pPr>
              <w:pStyle w:val="Tabletext"/>
              <w:jc w:val="center"/>
            </w:pPr>
          </w:p>
        </w:tc>
        <w:tc>
          <w:tcPr>
            <w:tcW w:w="613" w:type="dxa"/>
            <w:tcBorders>
              <w:top w:val="nil"/>
              <w:bottom w:val="nil"/>
            </w:tcBorders>
            <w:shd w:val="clear" w:color="auto" w:fill="D9D9D9" w:themeFill="background1" w:themeFillShade="D9"/>
          </w:tcPr>
          <w:p w14:paraId="4CA55498" w14:textId="77777777" w:rsidR="00E9008A" w:rsidRPr="003A0C5C" w:rsidRDefault="00E9008A" w:rsidP="00313B2A">
            <w:pPr>
              <w:pStyle w:val="Tabletext"/>
              <w:jc w:val="center"/>
            </w:pPr>
          </w:p>
        </w:tc>
        <w:tc>
          <w:tcPr>
            <w:tcW w:w="2250" w:type="dxa"/>
            <w:gridSpan w:val="6"/>
            <w:tcBorders>
              <w:top w:val="nil"/>
              <w:bottom w:val="nil"/>
            </w:tcBorders>
            <w:shd w:val="clear" w:color="auto" w:fill="D9D9D9" w:themeFill="background1" w:themeFillShade="D9"/>
          </w:tcPr>
          <w:p w14:paraId="7DAB19F7" w14:textId="77777777" w:rsidR="00E9008A" w:rsidRPr="003A0C5C" w:rsidRDefault="00E9008A" w:rsidP="00313B2A">
            <w:pPr>
              <w:pStyle w:val="Tabletext"/>
              <w:jc w:val="center"/>
            </w:pPr>
          </w:p>
        </w:tc>
      </w:tr>
      <w:tr w:rsidR="003A0C5C" w:rsidRPr="003A0C5C" w14:paraId="3DA2787C" w14:textId="77777777" w:rsidTr="00313B2A">
        <w:trPr>
          <w:cantSplit/>
        </w:trPr>
        <w:tc>
          <w:tcPr>
            <w:tcW w:w="2857" w:type="dxa"/>
            <w:tcBorders>
              <w:top w:val="nil"/>
              <w:bottom w:val="nil"/>
            </w:tcBorders>
            <w:shd w:val="clear" w:color="auto" w:fill="FFFFFF" w:themeFill="background1"/>
          </w:tcPr>
          <w:p w14:paraId="0C0C80FD" w14:textId="77777777" w:rsidR="00E9008A" w:rsidRPr="003A0C5C" w:rsidRDefault="00E9008A" w:rsidP="00313B2A">
            <w:pPr>
              <w:pStyle w:val="Tabletext"/>
              <w:keepNext/>
            </w:pPr>
            <w:r w:rsidRPr="003A0C5C">
              <w:t>Air Compressors</w:t>
            </w:r>
          </w:p>
        </w:tc>
        <w:tc>
          <w:tcPr>
            <w:tcW w:w="1241" w:type="dxa"/>
            <w:tcBorders>
              <w:top w:val="nil"/>
              <w:bottom w:val="nil"/>
            </w:tcBorders>
            <w:shd w:val="clear" w:color="auto" w:fill="FFFFFF" w:themeFill="background1"/>
          </w:tcPr>
          <w:p w14:paraId="56BD0EA0" w14:textId="77777777" w:rsidR="00E9008A" w:rsidRPr="003A0C5C" w:rsidRDefault="00E9008A" w:rsidP="00313B2A">
            <w:pPr>
              <w:pStyle w:val="Tabletext"/>
              <w:jc w:val="center"/>
            </w:pPr>
            <w:r w:rsidRPr="003A0C5C">
              <w:t>80</w:t>
            </w:r>
          </w:p>
        </w:tc>
        <w:tc>
          <w:tcPr>
            <w:tcW w:w="959" w:type="dxa"/>
            <w:tcBorders>
              <w:top w:val="nil"/>
              <w:bottom w:val="nil"/>
            </w:tcBorders>
            <w:shd w:val="clear" w:color="auto" w:fill="FFFFFF" w:themeFill="background1"/>
          </w:tcPr>
          <w:p w14:paraId="2DE6EA1E" w14:textId="77777777" w:rsidR="00E9008A" w:rsidRPr="003A0C5C" w:rsidRDefault="00E9008A" w:rsidP="00313B2A">
            <w:pPr>
              <w:pStyle w:val="Tabletext"/>
              <w:jc w:val="center"/>
            </w:pPr>
            <w:r w:rsidRPr="003A0C5C">
              <w:t>1</w:t>
            </w:r>
          </w:p>
        </w:tc>
        <w:tc>
          <w:tcPr>
            <w:tcW w:w="715" w:type="dxa"/>
            <w:gridSpan w:val="2"/>
            <w:tcBorders>
              <w:top w:val="nil"/>
            </w:tcBorders>
            <w:shd w:val="clear" w:color="auto" w:fill="FFFFFF" w:themeFill="background1"/>
          </w:tcPr>
          <w:p w14:paraId="0EB03A26" w14:textId="77777777" w:rsidR="00E9008A" w:rsidRPr="003A0C5C" w:rsidRDefault="00E9008A" w:rsidP="00313B2A">
            <w:pPr>
              <w:pStyle w:val="Tabletext"/>
              <w:jc w:val="center"/>
            </w:pPr>
            <w:r w:rsidRPr="003A0C5C">
              <w:t>R1</w:t>
            </w:r>
          </w:p>
        </w:tc>
        <w:tc>
          <w:tcPr>
            <w:tcW w:w="716" w:type="dxa"/>
            <w:gridSpan w:val="2"/>
            <w:tcBorders>
              <w:top w:val="nil"/>
            </w:tcBorders>
            <w:shd w:val="clear" w:color="auto" w:fill="FFFFFF" w:themeFill="background1"/>
          </w:tcPr>
          <w:p w14:paraId="19B36E97" w14:textId="77777777" w:rsidR="00E9008A" w:rsidRPr="003A0C5C" w:rsidRDefault="00E9008A" w:rsidP="00313B2A">
            <w:pPr>
              <w:pStyle w:val="Tabletext"/>
              <w:jc w:val="center"/>
            </w:pPr>
            <w:r w:rsidRPr="003A0C5C">
              <w:t>R2</w:t>
            </w:r>
          </w:p>
        </w:tc>
        <w:tc>
          <w:tcPr>
            <w:tcW w:w="716" w:type="dxa"/>
            <w:tcBorders>
              <w:top w:val="nil"/>
            </w:tcBorders>
            <w:shd w:val="clear" w:color="auto" w:fill="FFFFFF" w:themeFill="background1"/>
          </w:tcPr>
          <w:p w14:paraId="13A665D5" w14:textId="77777777" w:rsidR="00E9008A" w:rsidRPr="003A0C5C" w:rsidRDefault="00E9008A" w:rsidP="00313B2A">
            <w:pPr>
              <w:pStyle w:val="Tabletext"/>
              <w:jc w:val="center"/>
            </w:pPr>
            <w:r w:rsidRPr="003A0C5C">
              <w:t>R3</w:t>
            </w:r>
          </w:p>
        </w:tc>
        <w:tc>
          <w:tcPr>
            <w:tcW w:w="716" w:type="dxa"/>
            <w:gridSpan w:val="2"/>
            <w:tcBorders>
              <w:top w:val="nil"/>
            </w:tcBorders>
            <w:shd w:val="clear" w:color="auto" w:fill="FFFFFF" w:themeFill="background1"/>
          </w:tcPr>
          <w:p w14:paraId="719D6116" w14:textId="77777777" w:rsidR="00E9008A" w:rsidRPr="003A0C5C" w:rsidRDefault="00E9008A" w:rsidP="00313B2A">
            <w:pPr>
              <w:pStyle w:val="Tabletext"/>
              <w:jc w:val="center"/>
            </w:pPr>
            <w:r w:rsidRPr="003A0C5C">
              <w:t>R4</w:t>
            </w:r>
          </w:p>
        </w:tc>
      </w:tr>
      <w:tr w:rsidR="003A0C5C" w:rsidRPr="003A0C5C" w14:paraId="18E50E40" w14:textId="77777777" w:rsidTr="00313B2A">
        <w:trPr>
          <w:cantSplit/>
        </w:trPr>
        <w:tc>
          <w:tcPr>
            <w:tcW w:w="2857" w:type="dxa"/>
            <w:tcBorders>
              <w:top w:val="nil"/>
              <w:bottom w:val="nil"/>
            </w:tcBorders>
            <w:shd w:val="clear" w:color="auto" w:fill="FFFFFF" w:themeFill="background1"/>
          </w:tcPr>
          <w:p w14:paraId="1CF511AE" w14:textId="77777777" w:rsidR="00E9008A" w:rsidRPr="003A0C5C" w:rsidRDefault="00E9008A" w:rsidP="00313B2A">
            <w:pPr>
              <w:pStyle w:val="Tabletext"/>
              <w:keepNext/>
            </w:pPr>
            <w:r w:rsidRPr="003A0C5C">
              <w:t>Rough Terrain Forklifts</w:t>
            </w:r>
          </w:p>
        </w:tc>
        <w:tc>
          <w:tcPr>
            <w:tcW w:w="1241" w:type="dxa"/>
            <w:tcBorders>
              <w:top w:val="nil"/>
              <w:bottom w:val="nil"/>
            </w:tcBorders>
            <w:shd w:val="clear" w:color="auto" w:fill="FFFFFF" w:themeFill="background1"/>
          </w:tcPr>
          <w:p w14:paraId="00B3F185" w14:textId="77777777" w:rsidR="00E9008A" w:rsidRPr="003A0C5C" w:rsidRDefault="00E9008A" w:rsidP="00313B2A">
            <w:pPr>
              <w:pStyle w:val="Tabletext"/>
              <w:jc w:val="center"/>
            </w:pPr>
            <w:r w:rsidRPr="003A0C5C">
              <w:t>75</w:t>
            </w:r>
          </w:p>
        </w:tc>
        <w:tc>
          <w:tcPr>
            <w:tcW w:w="959" w:type="dxa"/>
            <w:tcBorders>
              <w:top w:val="nil"/>
              <w:bottom w:val="nil"/>
            </w:tcBorders>
            <w:shd w:val="clear" w:color="auto" w:fill="FFFFFF" w:themeFill="background1"/>
          </w:tcPr>
          <w:p w14:paraId="12451C5D" w14:textId="77777777" w:rsidR="00E9008A" w:rsidRPr="003A0C5C" w:rsidRDefault="00E9008A" w:rsidP="00313B2A">
            <w:pPr>
              <w:pStyle w:val="Tabletext"/>
              <w:jc w:val="center"/>
            </w:pPr>
            <w:r w:rsidRPr="003A0C5C">
              <w:t>2</w:t>
            </w:r>
          </w:p>
        </w:tc>
        <w:tc>
          <w:tcPr>
            <w:tcW w:w="715" w:type="dxa"/>
            <w:gridSpan w:val="2"/>
            <w:shd w:val="clear" w:color="auto" w:fill="FFFFFF" w:themeFill="background1"/>
          </w:tcPr>
          <w:p w14:paraId="005DD33D" w14:textId="77777777" w:rsidR="00E9008A" w:rsidRPr="003A0C5C" w:rsidRDefault="00E9008A" w:rsidP="00313B2A">
            <w:pPr>
              <w:pStyle w:val="Tabletext"/>
              <w:jc w:val="center"/>
            </w:pPr>
          </w:p>
        </w:tc>
        <w:tc>
          <w:tcPr>
            <w:tcW w:w="716" w:type="dxa"/>
            <w:gridSpan w:val="2"/>
            <w:shd w:val="clear" w:color="auto" w:fill="FFFFFF" w:themeFill="background1"/>
          </w:tcPr>
          <w:p w14:paraId="2A7D73A9" w14:textId="77777777" w:rsidR="00E9008A" w:rsidRPr="003A0C5C" w:rsidRDefault="00E9008A" w:rsidP="00313B2A">
            <w:pPr>
              <w:pStyle w:val="Tabletext"/>
              <w:jc w:val="center"/>
            </w:pPr>
          </w:p>
        </w:tc>
        <w:tc>
          <w:tcPr>
            <w:tcW w:w="716" w:type="dxa"/>
            <w:shd w:val="clear" w:color="auto" w:fill="FFFFFF" w:themeFill="background1"/>
          </w:tcPr>
          <w:p w14:paraId="29CAE7D6" w14:textId="77777777" w:rsidR="00E9008A" w:rsidRPr="003A0C5C" w:rsidRDefault="00E9008A" w:rsidP="00313B2A">
            <w:pPr>
              <w:pStyle w:val="Tabletext"/>
              <w:jc w:val="center"/>
            </w:pPr>
          </w:p>
        </w:tc>
        <w:tc>
          <w:tcPr>
            <w:tcW w:w="716" w:type="dxa"/>
            <w:gridSpan w:val="2"/>
            <w:shd w:val="clear" w:color="auto" w:fill="FFFFFF" w:themeFill="background1"/>
          </w:tcPr>
          <w:p w14:paraId="682CC742" w14:textId="77777777" w:rsidR="00E9008A" w:rsidRPr="003A0C5C" w:rsidRDefault="00E9008A" w:rsidP="00313B2A">
            <w:pPr>
              <w:pStyle w:val="Tabletext"/>
              <w:jc w:val="center"/>
            </w:pPr>
          </w:p>
        </w:tc>
      </w:tr>
      <w:tr w:rsidR="003A0C5C" w:rsidRPr="003A0C5C" w14:paraId="35F5E5BF" w14:textId="77777777" w:rsidTr="00313B2A">
        <w:trPr>
          <w:cantSplit/>
        </w:trPr>
        <w:tc>
          <w:tcPr>
            <w:tcW w:w="2857" w:type="dxa"/>
            <w:tcBorders>
              <w:top w:val="nil"/>
              <w:bottom w:val="nil"/>
            </w:tcBorders>
            <w:shd w:val="clear" w:color="auto" w:fill="FFFFFF" w:themeFill="background1"/>
          </w:tcPr>
          <w:p w14:paraId="26607230" w14:textId="77777777" w:rsidR="00727104" w:rsidRPr="003A0C5C" w:rsidRDefault="00727104" w:rsidP="00727104">
            <w:pPr>
              <w:pStyle w:val="Tabletext"/>
              <w:keepNext/>
            </w:pPr>
            <w:r w:rsidRPr="003A0C5C">
              <w:t>Cement/Mortar Mixers</w:t>
            </w:r>
          </w:p>
        </w:tc>
        <w:tc>
          <w:tcPr>
            <w:tcW w:w="1241" w:type="dxa"/>
            <w:tcBorders>
              <w:top w:val="nil"/>
              <w:bottom w:val="nil"/>
            </w:tcBorders>
            <w:shd w:val="clear" w:color="auto" w:fill="FFFFFF" w:themeFill="background1"/>
          </w:tcPr>
          <w:p w14:paraId="5D09531C" w14:textId="77777777" w:rsidR="00727104" w:rsidRPr="003A0C5C" w:rsidRDefault="00727104" w:rsidP="00727104">
            <w:pPr>
              <w:pStyle w:val="Tabletext"/>
              <w:jc w:val="center"/>
            </w:pPr>
            <w:r w:rsidRPr="003A0C5C">
              <w:t>80</w:t>
            </w:r>
          </w:p>
        </w:tc>
        <w:tc>
          <w:tcPr>
            <w:tcW w:w="959" w:type="dxa"/>
            <w:tcBorders>
              <w:top w:val="nil"/>
              <w:bottom w:val="nil"/>
            </w:tcBorders>
            <w:shd w:val="clear" w:color="auto" w:fill="FFFFFF" w:themeFill="background1"/>
          </w:tcPr>
          <w:p w14:paraId="49C63170" w14:textId="77777777" w:rsidR="00727104" w:rsidRPr="003A0C5C" w:rsidRDefault="00727104" w:rsidP="00727104">
            <w:pPr>
              <w:pStyle w:val="Tabletext"/>
              <w:jc w:val="center"/>
            </w:pPr>
            <w:r w:rsidRPr="003A0C5C">
              <w:t>1</w:t>
            </w:r>
          </w:p>
        </w:tc>
        <w:tc>
          <w:tcPr>
            <w:tcW w:w="715" w:type="dxa"/>
            <w:gridSpan w:val="2"/>
            <w:tcBorders>
              <w:bottom w:val="nil"/>
            </w:tcBorders>
            <w:shd w:val="clear" w:color="auto" w:fill="FFFFFF" w:themeFill="background1"/>
          </w:tcPr>
          <w:p w14:paraId="53636E7A" w14:textId="0446C50F" w:rsidR="00727104" w:rsidRPr="003A0C5C" w:rsidRDefault="00727104" w:rsidP="00727104">
            <w:pPr>
              <w:pStyle w:val="Tabletext"/>
              <w:jc w:val="center"/>
            </w:pPr>
            <w:r w:rsidRPr="003A0C5C">
              <w:t>72</w:t>
            </w:r>
          </w:p>
        </w:tc>
        <w:tc>
          <w:tcPr>
            <w:tcW w:w="716" w:type="dxa"/>
            <w:gridSpan w:val="2"/>
            <w:tcBorders>
              <w:bottom w:val="nil"/>
            </w:tcBorders>
            <w:shd w:val="clear" w:color="auto" w:fill="FFFFFF" w:themeFill="background1"/>
          </w:tcPr>
          <w:p w14:paraId="28922187" w14:textId="2A02741E" w:rsidR="00727104" w:rsidRPr="003A0C5C" w:rsidRDefault="00727104" w:rsidP="00727104">
            <w:pPr>
              <w:pStyle w:val="Tabletext"/>
              <w:jc w:val="center"/>
            </w:pPr>
            <w:r w:rsidRPr="003A0C5C">
              <w:t>68</w:t>
            </w:r>
          </w:p>
        </w:tc>
        <w:tc>
          <w:tcPr>
            <w:tcW w:w="716" w:type="dxa"/>
            <w:tcBorders>
              <w:bottom w:val="nil"/>
            </w:tcBorders>
            <w:shd w:val="clear" w:color="auto" w:fill="FFFFFF" w:themeFill="background1"/>
          </w:tcPr>
          <w:p w14:paraId="091CFE68" w14:textId="3B2D680F" w:rsidR="00727104" w:rsidRPr="003A0C5C" w:rsidRDefault="00727104" w:rsidP="00727104">
            <w:pPr>
              <w:pStyle w:val="Tabletext"/>
              <w:jc w:val="center"/>
            </w:pPr>
            <w:r w:rsidRPr="003A0C5C">
              <w:t>70</w:t>
            </w:r>
          </w:p>
        </w:tc>
        <w:tc>
          <w:tcPr>
            <w:tcW w:w="716" w:type="dxa"/>
            <w:gridSpan w:val="2"/>
            <w:tcBorders>
              <w:bottom w:val="nil"/>
            </w:tcBorders>
            <w:shd w:val="clear" w:color="auto" w:fill="FFFFFF" w:themeFill="background1"/>
          </w:tcPr>
          <w:p w14:paraId="38587E66" w14:textId="57FDD406" w:rsidR="00727104" w:rsidRPr="003A0C5C" w:rsidRDefault="00727104" w:rsidP="00727104">
            <w:pPr>
              <w:pStyle w:val="Tabletext"/>
              <w:jc w:val="center"/>
            </w:pPr>
            <w:r w:rsidRPr="003A0C5C">
              <w:t>64</w:t>
            </w:r>
          </w:p>
        </w:tc>
      </w:tr>
      <w:tr w:rsidR="003A0C5C" w:rsidRPr="003A0C5C" w14:paraId="07A25020" w14:textId="77777777" w:rsidTr="00313B2A">
        <w:trPr>
          <w:cantSplit/>
        </w:trPr>
        <w:tc>
          <w:tcPr>
            <w:tcW w:w="2857" w:type="dxa"/>
            <w:tcBorders>
              <w:top w:val="nil"/>
              <w:bottom w:val="nil"/>
            </w:tcBorders>
            <w:shd w:val="clear" w:color="auto" w:fill="D9D9D9" w:themeFill="background1" w:themeFillShade="D9"/>
          </w:tcPr>
          <w:p w14:paraId="357BB04C" w14:textId="77777777" w:rsidR="00E9008A" w:rsidRPr="003A0C5C" w:rsidRDefault="00E9008A" w:rsidP="00313B2A">
            <w:pPr>
              <w:pStyle w:val="Tabletext"/>
              <w:keepNext/>
              <w:rPr>
                <w:b/>
              </w:rPr>
            </w:pPr>
            <w:r w:rsidRPr="003A0C5C">
              <w:rPr>
                <w:b/>
              </w:rPr>
              <w:t>Landscaping</w:t>
            </w:r>
          </w:p>
        </w:tc>
        <w:tc>
          <w:tcPr>
            <w:tcW w:w="1241" w:type="dxa"/>
            <w:tcBorders>
              <w:top w:val="nil"/>
              <w:bottom w:val="nil"/>
            </w:tcBorders>
            <w:shd w:val="clear" w:color="auto" w:fill="D9D9D9" w:themeFill="background1" w:themeFillShade="D9"/>
          </w:tcPr>
          <w:p w14:paraId="65271A44" w14:textId="77777777" w:rsidR="00E9008A" w:rsidRPr="003A0C5C" w:rsidRDefault="00E9008A" w:rsidP="00313B2A">
            <w:pPr>
              <w:pStyle w:val="Tabletext"/>
              <w:jc w:val="center"/>
            </w:pPr>
          </w:p>
        </w:tc>
        <w:tc>
          <w:tcPr>
            <w:tcW w:w="959" w:type="dxa"/>
            <w:tcBorders>
              <w:top w:val="nil"/>
              <w:bottom w:val="nil"/>
            </w:tcBorders>
            <w:shd w:val="clear" w:color="auto" w:fill="D9D9D9" w:themeFill="background1" w:themeFillShade="D9"/>
          </w:tcPr>
          <w:p w14:paraId="2827878F" w14:textId="77777777" w:rsidR="00E9008A" w:rsidRPr="003A0C5C" w:rsidRDefault="00E9008A" w:rsidP="00313B2A">
            <w:pPr>
              <w:pStyle w:val="Tabletext"/>
              <w:jc w:val="center"/>
            </w:pPr>
          </w:p>
        </w:tc>
        <w:tc>
          <w:tcPr>
            <w:tcW w:w="613" w:type="dxa"/>
            <w:tcBorders>
              <w:top w:val="nil"/>
              <w:bottom w:val="nil"/>
            </w:tcBorders>
            <w:shd w:val="clear" w:color="auto" w:fill="D9D9D9" w:themeFill="background1" w:themeFillShade="D9"/>
          </w:tcPr>
          <w:p w14:paraId="0F883F29" w14:textId="77777777" w:rsidR="00E9008A" w:rsidRPr="003A0C5C" w:rsidRDefault="00E9008A" w:rsidP="00313B2A">
            <w:pPr>
              <w:pStyle w:val="Tabletext"/>
              <w:jc w:val="center"/>
            </w:pPr>
          </w:p>
        </w:tc>
        <w:tc>
          <w:tcPr>
            <w:tcW w:w="2250" w:type="dxa"/>
            <w:gridSpan w:val="6"/>
            <w:tcBorders>
              <w:top w:val="nil"/>
              <w:bottom w:val="nil"/>
            </w:tcBorders>
            <w:shd w:val="clear" w:color="auto" w:fill="D9D9D9" w:themeFill="background1" w:themeFillShade="D9"/>
          </w:tcPr>
          <w:p w14:paraId="78EBC2EF" w14:textId="77777777" w:rsidR="00E9008A" w:rsidRPr="003A0C5C" w:rsidRDefault="00E9008A" w:rsidP="00313B2A">
            <w:pPr>
              <w:pStyle w:val="Tabletext"/>
              <w:jc w:val="center"/>
            </w:pPr>
          </w:p>
        </w:tc>
      </w:tr>
      <w:tr w:rsidR="003A0C5C" w:rsidRPr="003A0C5C" w14:paraId="5BA899B5" w14:textId="77777777" w:rsidTr="00313B2A">
        <w:trPr>
          <w:cantSplit/>
        </w:trPr>
        <w:tc>
          <w:tcPr>
            <w:tcW w:w="2857" w:type="dxa"/>
            <w:tcBorders>
              <w:top w:val="nil"/>
              <w:bottom w:val="nil"/>
            </w:tcBorders>
            <w:shd w:val="clear" w:color="auto" w:fill="FFFFFF" w:themeFill="background1"/>
          </w:tcPr>
          <w:p w14:paraId="78E8947E" w14:textId="77777777" w:rsidR="00E9008A" w:rsidRPr="003A0C5C" w:rsidRDefault="00E9008A" w:rsidP="00313B2A">
            <w:pPr>
              <w:pStyle w:val="Tabletext"/>
              <w:keepNext/>
            </w:pPr>
            <w:r w:rsidRPr="003A0C5C">
              <w:t>Forklifts</w:t>
            </w:r>
          </w:p>
        </w:tc>
        <w:tc>
          <w:tcPr>
            <w:tcW w:w="1241" w:type="dxa"/>
            <w:tcBorders>
              <w:top w:val="nil"/>
              <w:bottom w:val="nil"/>
            </w:tcBorders>
            <w:shd w:val="clear" w:color="auto" w:fill="FFFFFF" w:themeFill="background1"/>
          </w:tcPr>
          <w:p w14:paraId="0D95A0CF" w14:textId="77777777" w:rsidR="00E9008A" w:rsidRPr="003A0C5C" w:rsidRDefault="00E9008A" w:rsidP="00313B2A">
            <w:pPr>
              <w:pStyle w:val="Tabletext"/>
              <w:jc w:val="center"/>
            </w:pPr>
            <w:r w:rsidRPr="003A0C5C">
              <w:t>75</w:t>
            </w:r>
          </w:p>
        </w:tc>
        <w:tc>
          <w:tcPr>
            <w:tcW w:w="959" w:type="dxa"/>
            <w:tcBorders>
              <w:top w:val="nil"/>
              <w:bottom w:val="nil"/>
            </w:tcBorders>
            <w:shd w:val="clear" w:color="auto" w:fill="FFFFFF" w:themeFill="background1"/>
          </w:tcPr>
          <w:p w14:paraId="4046E291" w14:textId="77777777" w:rsidR="00E9008A" w:rsidRPr="003A0C5C" w:rsidRDefault="00E9008A" w:rsidP="00313B2A">
            <w:pPr>
              <w:pStyle w:val="Tabletext"/>
              <w:jc w:val="center"/>
            </w:pPr>
            <w:r w:rsidRPr="003A0C5C">
              <w:t>2</w:t>
            </w:r>
          </w:p>
        </w:tc>
        <w:tc>
          <w:tcPr>
            <w:tcW w:w="715" w:type="dxa"/>
            <w:gridSpan w:val="2"/>
            <w:tcBorders>
              <w:top w:val="nil"/>
            </w:tcBorders>
            <w:shd w:val="clear" w:color="auto" w:fill="FFFFFF" w:themeFill="background1"/>
          </w:tcPr>
          <w:p w14:paraId="7A6EA572" w14:textId="77777777" w:rsidR="00E9008A" w:rsidRPr="003A0C5C" w:rsidRDefault="00E9008A" w:rsidP="00313B2A">
            <w:pPr>
              <w:pStyle w:val="Tabletext"/>
              <w:jc w:val="center"/>
            </w:pPr>
            <w:r w:rsidRPr="003A0C5C">
              <w:t>R1</w:t>
            </w:r>
          </w:p>
        </w:tc>
        <w:tc>
          <w:tcPr>
            <w:tcW w:w="716" w:type="dxa"/>
            <w:gridSpan w:val="2"/>
            <w:tcBorders>
              <w:top w:val="nil"/>
            </w:tcBorders>
            <w:shd w:val="clear" w:color="auto" w:fill="FFFFFF" w:themeFill="background1"/>
          </w:tcPr>
          <w:p w14:paraId="01CDFF47" w14:textId="77777777" w:rsidR="00E9008A" w:rsidRPr="003A0C5C" w:rsidRDefault="00E9008A" w:rsidP="00313B2A">
            <w:pPr>
              <w:pStyle w:val="Tabletext"/>
              <w:jc w:val="center"/>
            </w:pPr>
            <w:r w:rsidRPr="003A0C5C">
              <w:t>R2</w:t>
            </w:r>
          </w:p>
        </w:tc>
        <w:tc>
          <w:tcPr>
            <w:tcW w:w="716" w:type="dxa"/>
            <w:tcBorders>
              <w:top w:val="nil"/>
            </w:tcBorders>
            <w:shd w:val="clear" w:color="auto" w:fill="FFFFFF" w:themeFill="background1"/>
          </w:tcPr>
          <w:p w14:paraId="56C6F9D1" w14:textId="77777777" w:rsidR="00E9008A" w:rsidRPr="003A0C5C" w:rsidRDefault="00E9008A" w:rsidP="00313B2A">
            <w:pPr>
              <w:pStyle w:val="Tabletext"/>
              <w:jc w:val="center"/>
            </w:pPr>
            <w:r w:rsidRPr="003A0C5C">
              <w:t>R3</w:t>
            </w:r>
          </w:p>
        </w:tc>
        <w:tc>
          <w:tcPr>
            <w:tcW w:w="716" w:type="dxa"/>
            <w:gridSpan w:val="2"/>
            <w:tcBorders>
              <w:top w:val="nil"/>
            </w:tcBorders>
            <w:shd w:val="clear" w:color="auto" w:fill="FFFFFF" w:themeFill="background1"/>
          </w:tcPr>
          <w:p w14:paraId="2A6ABB85" w14:textId="77777777" w:rsidR="00E9008A" w:rsidRPr="003A0C5C" w:rsidRDefault="00E9008A" w:rsidP="00313B2A">
            <w:pPr>
              <w:pStyle w:val="Tabletext"/>
              <w:jc w:val="center"/>
            </w:pPr>
            <w:r w:rsidRPr="003A0C5C">
              <w:t>R4</w:t>
            </w:r>
          </w:p>
        </w:tc>
      </w:tr>
      <w:tr w:rsidR="003A0C5C" w:rsidRPr="003A0C5C" w14:paraId="7D603A1A" w14:textId="77777777" w:rsidTr="00313B2A">
        <w:trPr>
          <w:cantSplit/>
        </w:trPr>
        <w:tc>
          <w:tcPr>
            <w:tcW w:w="2857" w:type="dxa"/>
            <w:tcBorders>
              <w:top w:val="nil"/>
              <w:bottom w:val="nil"/>
            </w:tcBorders>
            <w:shd w:val="clear" w:color="auto" w:fill="FFFFFF" w:themeFill="background1"/>
          </w:tcPr>
          <w:p w14:paraId="6E1D9E07" w14:textId="77777777" w:rsidR="00E9008A" w:rsidRPr="003A0C5C" w:rsidRDefault="00E9008A" w:rsidP="00313B2A">
            <w:pPr>
              <w:pStyle w:val="Tabletext"/>
              <w:keepNext/>
            </w:pPr>
            <w:r w:rsidRPr="003A0C5C">
              <w:t>Skid Steer Loaders</w:t>
            </w:r>
          </w:p>
        </w:tc>
        <w:tc>
          <w:tcPr>
            <w:tcW w:w="1241" w:type="dxa"/>
            <w:tcBorders>
              <w:top w:val="nil"/>
              <w:bottom w:val="nil"/>
            </w:tcBorders>
            <w:shd w:val="clear" w:color="auto" w:fill="FFFFFF" w:themeFill="background1"/>
          </w:tcPr>
          <w:p w14:paraId="01445441" w14:textId="77777777" w:rsidR="00E9008A" w:rsidRPr="003A0C5C" w:rsidRDefault="00E9008A" w:rsidP="00313B2A">
            <w:pPr>
              <w:pStyle w:val="Tabletext"/>
              <w:jc w:val="center"/>
            </w:pPr>
            <w:r w:rsidRPr="003A0C5C">
              <w:t>80</w:t>
            </w:r>
          </w:p>
        </w:tc>
        <w:tc>
          <w:tcPr>
            <w:tcW w:w="959" w:type="dxa"/>
            <w:tcBorders>
              <w:top w:val="nil"/>
              <w:bottom w:val="nil"/>
            </w:tcBorders>
            <w:shd w:val="clear" w:color="auto" w:fill="FFFFFF" w:themeFill="background1"/>
          </w:tcPr>
          <w:p w14:paraId="3560EFB2" w14:textId="77777777" w:rsidR="00E9008A" w:rsidRPr="003A0C5C" w:rsidRDefault="00E9008A" w:rsidP="00313B2A">
            <w:pPr>
              <w:pStyle w:val="Tabletext"/>
              <w:jc w:val="center"/>
            </w:pPr>
            <w:r w:rsidRPr="003A0C5C">
              <w:t>1</w:t>
            </w:r>
          </w:p>
        </w:tc>
        <w:tc>
          <w:tcPr>
            <w:tcW w:w="715" w:type="dxa"/>
            <w:gridSpan w:val="2"/>
            <w:shd w:val="clear" w:color="auto" w:fill="FFFFFF" w:themeFill="background1"/>
          </w:tcPr>
          <w:p w14:paraId="62D84E57" w14:textId="77777777" w:rsidR="00E9008A" w:rsidRPr="003A0C5C" w:rsidRDefault="00E9008A" w:rsidP="00313B2A">
            <w:pPr>
              <w:pStyle w:val="Tabletext"/>
              <w:jc w:val="center"/>
            </w:pPr>
          </w:p>
        </w:tc>
        <w:tc>
          <w:tcPr>
            <w:tcW w:w="716" w:type="dxa"/>
            <w:gridSpan w:val="2"/>
            <w:shd w:val="clear" w:color="auto" w:fill="FFFFFF" w:themeFill="background1"/>
          </w:tcPr>
          <w:p w14:paraId="1F423A4F" w14:textId="77777777" w:rsidR="00E9008A" w:rsidRPr="003A0C5C" w:rsidRDefault="00E9008A" w:rsidP="00313B2A">
            <w:pPr>
              <w:pStyle w:val="Tabletext"/>
              <w:jc w:val="center"/>
            </w:pPr>
          </w:p>
        </w:tc>
        <w:tc>
          <w:tcPr>
            <w:tcW w:w="716" w:type="dxa"/>
            <w:shd w:val="clear" w:color="auto" w:fill="FFFFFF" w:themeFill="background1"/>
          </w:tcPr>
          <w:p w14:paraId="4AC3AAA3" w14:textId="77777777" w:rsidR="00E9008A" w:rsidRPr="003A0C5C" w:rsidRDefault="00E9008A" w:rsidP="00313B2A">
            <w:pPr>
              <w:pStyle w:val="Tabletext"/>
              <w:jc w:val="center"/>
            </w:pPr>
          </w:p>
        </w:tc>
        <w:tc>
          <w:tcPr>
            <w:tcW w:w="716" w:type="dxa"/>
            <w:gridSpan w:val="2"/>
            <w:shd w:val="clear" w:color="auto" w:fill="FFFFFF" w:themeFill="background1"/>
          </w:tcPr>
          <w:p w14:paraId="4F76030F" w14:textId="77777777" w:rsidR="00E9008A" w:rsidRPr="003A0C5C" w:rsidRDefault="00E9008A" w:rsidP="00313B2A">
            <w:pPr>
              <w:pStyle w:val="Tabletext"/>
              <w:jc w:val="center"/>
            </w:pPr>
          </w:p>
        </w:tc>
      </w:tr>
      <w:tr w:rsidR="003A0C5C" w:rsidRPr="003A0C5C" w14:paraId="6B062D8A" w14:textId="77777777" w:rsidTr="00313B2A">
        <w:trPr>
          <w:cantSplit/>
        </w:trPr>
        <w:tc>
          <w:tcPr>
            <w:tcW w:w="2857" w:type="dxa"/>
            <w:tcBorders>
              <w:top w:val="nil"/>
              <w:bottom w:val="single" w:sz="4" w:space="0" w:color="auto"/>
            </w:tcBorders>
            <w:shd w:val="clear" w:color="auto" w:fill="FFFFFF" w:themeFill="background1"/>
          </w:tcPr>
          <w:p w14:paraId="6FA1E79C" w14:textId="77777777" w:rsidR="00727104" w:rsidRPr="003A0C5C" w:rsidRDefault="00727104" w:rsidP="00727104">
            <w:pPr>
              <w:pStyle w:val="Tabletext"/>
              <w:keepNext/>
            </w:pPr>
            <w:r w:rsidRPr="003A0C5C">
              <w:t>Dumpers/Tenders</w:t>
            </w:r>
          </w:p>
        </w:tc>
        <w:tc>
          <w:tcPr>
            <w:tcW w:w="1241" w:type="dxa"/>
            <w:tcBorders>
              <w:top w:val="nil"/>
              <w:bottom w:val="single" w:sz="4" w:space="0" w:color="auto"/>
            </w:tcBorders>
            <w:shd w:val="clear" w:color="auto" w:fill="FFFFFF" w:themeFill="background1"/>
          </w:tcPr>
          <w:p w14:paraId="313F48BA" w14:textId="77777777" w:rsidR="00727104" w:rsidRPr="003A0C5C" w:rsidRDefault="00727104" w:rsidP="00727104">
            <w:pPr>
              <w:pStyle w:val="Tabletext"/>
              <w:jc w:val="center"/>
            </w:pPr>
            <w:r w:rsidRPr="003A0C5C">
              <w:t>84</w:t>
            </w:r>
          </w:p>
        </w:tc>
        <w:tc>
          <w:tcPr>
            <w:tcW w:w="959" w:type="dxa"/>
            <w:tcBorders>
              <w:top w:val="nil"/>
              <w:bottom w:val="single" w:sz="4" w:space="0" w:color="auto"/>
            </w:tcBorders>
            <w:shd w:val="clear" w:color="auto" w:fill="FFFFFF" w:themeFill="background1"/>
          </w:tcPr>
          <w:p w14:paraId="63D5E78D" w14:textId="77777777" w:rsidR="00727104" w:rsidRPr="003A0C5C" w:rsidRDefault="00727104" w:rsidP="00727104">
            <w:pPr>
              <w:pStyle w:val="Tabletext"/>
              <w:jc w:val="center"/>
            </w:pPr>
            <w:r w:rsidRPr="003A0C5C">
              <w:t>1</w:t>
            </w:r>
          </w:p>
        </w:tc>
        <w:tc>
          <w:tcPr>
            <w:tcW w:w="715" w:type="dxa"/>
            <w:gridSpan w:val="2"/>
            <w:tcBorders>
              <w:bottom w:val="single" w:sz="4" w:space="0" w:color="auto"/>
            </w:tcBorders>
            <w:shd w:val="clear" w:color="auto" w:fill="FFFFFF" w:themeFill="background1"/>
          </w:tcPr>
          <w:p w14:paraId="20210037" w14:textId="3FBBDC72" w:rsidR="00727104" w:rsidRPr="003A0C5C" w:rsidRDefault="00727104" w:rsidP="00727104">
            <w:pPr>
              <w:pStyle w:val="Tabletext"/>
              <w:jc w:val="center"/>
            </w:pPr>
            <w:r w:rsidRPr="003A0C5C">
              <w:t>67</w:t>
            </w:r>
          </w:p>
        </w:tc>
        <w:tc>
          <w:tcPr>
            <w:tcW w:w="716" w:type="dxa"/>
            <w:gridSpan w:val="2"/>
            <w:tcBorders>
              <w:bottom w:val="single" w:sz="4" w:space="0" w:color="auto"/>
            </w:tcBorders>
            <w:shd w:val="clear" w:color="auto" w:fill="FFFFFF" w:themeFill="background1"/>
          </w:tcPr>
          <w:p w14:paraId="2D11F85A" w14:textId="2504DB54" w:rsidR="00727104" w:rsidRPr="003A0C5C" w:rsidRDefault="00727104" w:rsidP="00727104">
            <w:pPr>
              <w:pStyle w:val="Tabletext"/>
              <w:jc w:val="center"/>
            </w:pPr>
            <w:r w:rsidRPr="003A0C5C">
              <w:t>63</w:t>
            </w:r>
          </w:p>
        </w:tc>
        <w:tc>
          <w:tcPr>
            <w:tcW w:w="716" w:type="dxa"/>
            <w:tcBorders>
              <w:bottom w:val="single" w:sz="4" w:space="0" w:color="auto"/>
            </w:tcBorders>
            <w:shd w:val="clear" w:color="auto" w:fill="FFFFFF" w:themeFill="background1"/>
          </w:tcPr>
          <w:p w14:paraId="25715B48" w14:textId="465EFE28" w:rsidR="00727104" w:rsidRPr="003A0C5C" w:rsidRDefault="00727104" w:rsidP="00727104">
            <w:pPr>
              <w:pStyle w:val="Tabletext"/>
              <w:jc w:val="center"/>
            </w:pPr>
            <w:r w:rsidRPr="003A0C5C">
              <w:t>65</w:t>
            </w:r>
          </w:p>
        </w:tc>
        <w:tc>
          <w:tcPr>
            <w:tcW w:w="716" w:type="dxa"/>
            <w:gridSpan w:val="2"/>
            <w:tcBorders>
              <w:bottom w:val="single" w:sz="4" w:space="0" w:color="auto"/>
            </w:tcBorders>
            <w:shd w:val="clear" w:color="auto" w:fill="FFFFFF" w:themeFill="background1"/>
          </w:tcPr>
          <w:p w14:paraId="08C790AF" w14:textId="412B1671" w:rsidR="00727104" w:rsidRPr="003A0C5C" w:rsidRDefault="00727104" w:rsidP="00727104">
            <w:pPr>
              <w:pStyle w:val="Tabletext"/>
              <w:jc w:val="center"/>
            </w:pPr>
            <w:r w:rsidRPr="003A0C5C">
              <w:t>59</w:t>
            </w:r>
          </w:p>
        </w:tc>
      </w:tr>
      <w:tr w:rsidR="003A0C5C" w:rsidRPr="003A0C5C" w14:paraId="14F6119B" w14:textId="77777777" w:rsidTr="00313B2A">
        <w:trPr>
          <w:cantSplit/>
        </w:trPr>
        <w:tc>
          <w:tcPr>
            <w:tcW w:w="2857" w:type="dxa"/>
            <w:tcBorders>
              <w:top w:val="single" w:sz="4" w:space="0" w:color="auto"/>
              <w:bottom w:val="single" w:sz="4" w:space="0" w:color="auto"/>
            </w:tcBorders>
            <w:shd w:val="clear" w:color="auto" w:fill="FFFFFF" w:themeFill="background1"/>
          </w:tcPr>
          <w:p w14:paraId="670DE82A" w14:textId="731128D0" w:rsidR="00E9008A" w:rsidRPr="003A0C5C" w:rsidRDefault="00E9008A" w:rsidP="00313B2A">
            <w:pPr>
              <w:pStyle w:val="Tabletext"/>
              <w:keepNext/>
              <w:rPr>
                <w:rStyle w:val="Bold"/>
              </w:rPr>
            </w:pPr>
            <w:r w:rsidRPr="003A0C5C">
              <w:rPr>
                <w:rStyle w:val="Bold"/>
              </w:rPr>
              <w:t xml:space="preserve">Maximum Combined Noise Levels </w:t>
            </w:r>
          </w:p>
        </w:tc>
        <w:tc>
          <w:tcPr>
            <w:tcW w:w="1241" w:type="dxa"/>
            <w:tcBorders>
              <w:top w:val="single" w:sz="4" w:space="0" w:color="auto"/>
              <w:bottom w:val="single" w:sz="4" w:space="0" w:color="auto"/>
            </w:tcBorders>
            <w:shd w:val="clear" w:color="auto" w:fill="FFFFFF" w:themeFill="background1"/>
          </w:tcPr>
          <w:p w14:paraId="1B9075CB" w14:textId="77777777" w:rsidR="00E9008A" w:rsidRPr="003A0C5C" w:rsidRDefault="00E9008A" w:rsidP="00313B2A">
            <w:pPr>
              <w:pStyle w:val="Tabletext"/>
              <w:keepNext/>
              <w:jc w:val="center"/>
              <w:rPr>
                <w:rStyle w:val="Bold"/>
              </w:rPr>
            </w:pPr>
            <w:r w:rsidRPr="003A0C5C">
              <w:rPr>
                <w:rStyle w:val="Bold"/>
              </w:rPr>
              <w:t>—</w:t>
            </w:r>
          </w:p>
        </w:tc>
        <w:tc>
          <w:tcPr>
            <w:tcW w:w="959" w:type="dxa"/>
            <w:tcBorders>
              <w:top w:val="single" w:sz="4" w:space="0" w:color="auto"/>
              <w:bottom w:val="single" w:sz="4" w:space="0" w:color="auto"/>
            </w:tcBorders>
            <w:shd w:val="clear" w:color="auto" w:fill="FFFFFF" w:themeFill="background1"/>
          </w:tcPr>
          <w:p w14:paraId="10039AC1" w14:textId="77777777" w:rsidR="00E9008A" w:rsidRPr="003A0C5C" w:rsidRDefault="00E9008A" w:rsidP="00313B2A">
            <w:pPr>
              <w:pStyle w:val="Tabletext"/>
              <w:keepNext/>
              <w:jc w:val="center"/>
              <w:rPr>
                <w:rStyle w:val="Bold"/>
              </w:rPr>
            </w:pPr>
            <w:r w:rsidRPr="003A0C5C">
              <w:rPr>
                <w:rStyle w:val="Bold"/>
              </w:rPr>
              <w:t>—</w:t>
            </w:r>
          </w:p>
        </w:tc>
        <w:tc>
          <w:tcPr>
            <w:tcW w:w="715" w:type="dxa"/>
            <w:gridSpan w:val="2"/>
            <w:tcBorders>
              <w:top w:val="single" w:sz="4" w:space="0" w:color="auto"/>
              <w:bottom w:val="single" w:sz="4" w:space="0" w:color="auto"/>
            </w:tcBorders>
            <w:shd w:val="clear" w:color="auto" w:fill="FFFFFF" w:themeFill="background1"/>
          </w:tcPr>
          <w:p w14:paraId="7554A5D1" w14:textId="206F9C13" w:rsidR="00E9008A" w:rsidRPr="003A0C5C" w:rsidDel="001B3D07" w:rsidRDefault="00727104" w:rsidP="00313B2A">
            <w:pPr>
              <w:pStyle w:val="Tabletext"/>
              <w:keepNext/>
              <w:jc w:val="center"/>
              <w:rPr>
                <w:rStyle w:val="Bold"/>
              </w:rPr>
            </w:pPr>
            <w:r w:rsidRPr="003A0C5C">
              <w:rPr>
                <w:rStyle w:val="Bold"/>
              </w:rPr>
              <w:t>81.</w:t>
            </w:r>
            <w:r w:rsidR="00ED505C" w:rsidRPr="003A0C5C">
              <w:rPr>
                <w:rStyle w:val="Bold"/>
              </w:rPr>
              <w:t>8</w:t>
            </w:r>
          </w:p>
        </w:tc>
        <w:tc>
          <w:tcPr>
            <w:tcW w:w="716" w:type="dxa"/>
            <w:gridSpan w:val="2"/>
            <w:tcBorders>
              <w:top w:val="single" w:sz="4" w:space="0" w:color="auto"/>
              <w:bottom w:val="single" w:sz="4" w:space="0" w:color="auto"/>
            </w:tcBorders>
            <w:shd w:val="clear" w:color="auto" w:fill="FFFFFF" w:themeFill="background1"/>
          </w:tcPr>
          <w:p w14:paraId="4B6A3C9C" w14:textId="74C34D21" w:rsidR="00E9008A" w:rsidRPr="003A0C5C" w:rsidDel="001B3D07" w:rsidRDefault="00727104" w:rsidP="00313B2A">
            <w:pPr>
              <w:pStyle w:val="Tabletext"/>
              <w:keepNext/>
              <w:jc w:val="center"/>
              <w:rPr>
                <w:rStyle w:val="Bold"/>
              </w:rPr>
            </w:pPr>
            <w:r w:rsidRPr="003A0C5C">
              <w:rPr>
                <w:rStyle w:val="Bold"/>
              </w:rPr>
              <w:t>7</w:t>
            </w:r>
            <w:r w:rsidR="00ED505C" w:rsidRPr="003A0C5C">
              <w:rPr>
                <w:rStyle w:val="Bold"/>
              </w:rPr>
              <w:t>9.0</w:t>
            </w:r>
          </w:p>
        </w:tc>
        <w:tc>
          <w:tcPr>
            <w:tcW w:w="716" w:type="dxa"/>
            <w:tcBorders>
              <w:top w:val="single" w:sz="4" w:space="0" w:color="auto"/>
              <w:bottom w:val="single" w:sz="4" w:space="0" w:color="auto"/>
            </w:tcBorders>
            <w:shd w:val="clear" w:color="auto" w:fill="FFFFFF" w:themeFill="background1"/>
          </w:tcPr>
          <w:p w14:paraId="45A405E9" w14:textId="0372EF17" w:rsidR="00E9008A" w:rsidRPr="003A0C5C" w:rsidDel="001B3D07" w:rsidRDefault="00727104" w:rsidP="00313B2A">
            <w:pPr>
              <w:pStyle w:val="Tabletext"/>
              <w:keepNext/>
              <w:jc w:val="center"/>
              <w:rPr>
                <w:rStyle w:val="Bold"/>
              </w:rPr>
            </w:pPr>
            <w:r w:rsidRPr="003A0C5C">
              <w:rPr>
                <w:rStyle w:val="Bold"/>
              </w:rPr>
              <w:t>8</w:t>
            </w:r>
            <w:r w:rsidR="00ED505C" w:rsidRPr="003A0C5C">
              <w:rPr>
                <w:rStyle w:val="Bold"/>
              </w:rPr>
              <w:t>0.9</w:t>
            </w:r>
          </w:p>
        </w:tc>
        <w:tc>
          <w:tcPr>
            <w:tcW w:w="716" w:type="dxa"/>
            <w:gridSpan w:val="2"/>
            <w:tcBorders>
              <w:top w:val="single" w:sz="4" w:space="0" w:color="auto"/>
              <w:bottom w:val="single" w:sz="4" w:space="0" w:color="auto"/>
            </w:tcBorders>
            <w:shd w:val="clear" w:color="auto" w:fill="FFFFFF" w:themeFill="background1"/>
          </w:tcPr>
          <w:p w14:paraId="4083A24C" w14:textId="6B4B01D2" w:rsidR="00E9008A" w:rsidRPr="003A0C5C" w:rsidDel="001B3D07" w:rsidRDefault="00727104" w:rsidP="00313B2A">
            <w:pPr>
              <w:pStyle w:val="Tabletext"/>
              <w:keepNext/>
              <w:jc w:val="center"/>
              <w:rPr>
                <w:rStyle w:val="Bold"/>
              </w:rPr>
            </w:pPr>
            <w:r w:rsidRPr="003A0C5C">
              <w:rPr>
                <w:rStyle w:val="Bold"/>
              </w:rPr>
              <w:t>7</w:t>
            </w:r>
            <w:r w:rsidR="00ED505C" w:rsidRPr="003A0C5C">
              <w:rPr>
                <w:rStyle w:val="Bold"/>
              </w:rPr>
              <w:t>4.2</w:t>
            </w:r>
          </w:p>
        </w:tc>
      </w:tr>
      <w:tr w:rsidR="00E9008A" w:rsidRPr="003A0C5C" w14:paraId="2B8B19CE" w14:textId="77777777" w:rsidTr="00313B2A">
        <w:trPr>
          <w:cantSplit/>
        </w:trPr>
        <w:tc>
          <w:tcPr>
            <w:tcW w:w="7920" w:type="dxa"/>
            <w:gridSpan w:val="10"/>
            <w:tcBorders>
              <w:top w:val="single" w:sz="4" w:space="0" w:color="auto"/>
              <w:bottom w:val="single" w:sz="4" w:space="0" w:color="auto"/>
            </w:tcBorders>
            <w:shd w:val="clear" w:color="auto" w:fill="auto"/>
            <w:hideMark/>
          </w:tcPr>
          <w:p w14:paraId="3F0E3289" w14:textId="77777777" w:rsidR="00E9008A" w:rsidRPr="003A0C5C" w:rsidRDefault="00E9008A" w:rsidP="00434F8A">
            <w:pPr>
              <w:pStyle w:val="TableNotes"/>
              <w:spacing w:before="120" w:after="60"/>
            </w:pPr>
            <w:r w:rsidRPr="003A0C5C">
              <w:t>NOTE:</w:t>
            </w:r>
          </w:p>
          <w:p w14:paraId="1EB599B3" w14:textId="77777777" w:rsidR="00E9008A" w:rsidRPr="003A0C5C" w:rsidRDefault="00E9008A" w:rsidP="00313B2A">
            <w:pPr>
              <w:pStyle w:val="TableNotes"/>
            </w:pPr>
            <w:r w:rsidRPr="003A0C5C">
              <w:t>Noise Levels at 50 feet and Usage Factor are derived from Federal Highway Administration’s Roadway Construction Noise Model User’s Guide. Usage factors are the ratio of the time that a piece of equipment is in use to the total time that it could be in use. Usage factors are typically attributable to multiple pieces of equipment operating simultaneously.</w:t>
            </w:r>
          </w:p>
          <w:p w14:paraId="37D61908" w14:textId="3791C588" w:rsidR="00E9008A" w:rsidRPr="003A0C5C" w:rsidRDefault="00E9008A" w:rsidP="00434F8A">
            <w:pPr>
              <w:pStyle w:val="TableSource"/>
              <w:spacing w:before="120" w:after="120"/>
            </w:pPr>
            <w:r w:rsidRPr="003A0C5C">
              <w:t>SOURCE:</w:t>
            </w:r>
            <w:r w:rsidR="0010254B" w:rsidRPr="003A0C5C">
              <w:t xml:space="preserve"> </w:t>
            </w:r>
            <w:r w:rsidRPr="003A0C5C">
              <w:t>ESA 2022</w:t>
            </w:r>
          </w:p>
        </w:tc>
      </w:tr>
    </w:tbl>
    <w:p w14:paraId="1269BBC5" w14:textId="77777777" w:rsidR="00E9008A" w:rsidRPr="003A0C5C" w:rsidRDefault="00E9008A" w:rsidP="00E9008A">
      <w:pPr>
        <w:pStyle w:val="12spaceindentcontinue"/>
        <w:rPr>
          <w:highlight w:val="yellow"/>
        </w:rPr>
      </w:pPr>
    </w:p>
    <w:p w14:paraId="3339D8AB" w14:textId="2CED90AE" w:rsidR="00434F8A" w:rsidRPr="003A0C5C" w:rsidRDefault="00434F8A" w:rsidP="00434F8A">
      <w:pPr>
        <w:pStyle w:val="12spaceindentcontinue"/>
      </w:pPr>
      <w:r w:rsidRPr="003A0C5C">
        <w:t xml:space="preserve">As shown in </w:t>
      </w:r>
      <w:r w:rsidRPr="003A0C5C">
        <w:rPr>
          <w:rStyle w:val="Bold"/>
          <w:b w:val="0"/>
          <w:bCs/>
        </w:rPr>
        <w:t>Table 13</w:t>
      </w:r>
      <w:r w:rsidRPr="003A0C5C">
        <w:rPr>
          <w:b/>
          <w:bCs/>
        </w:rPr>
        <w:t>,</w:t>
      </w:r>
      <w:r w:rsidRPr="003A0C5C">
        <w:t xml:space="preserve"> estimated construction noise levels at the off-site receptors in the vicinity of the project site range from 59 to </w:t>
      </w:r>
      <w:r w:rsidR="00D80B89" w:rsidRPr="003A0C5C">
        <w:t>81.8</w:t>
      </w:r>
      <w:r w:rsidRPr="003A0C5C">
        <w:t xml:space="preserve"> dBA </w:t>
      </w:r>
      <w:proofErr w:type="spellStart"/>
      <w:r w:rsidRPr="003A0C5C">
        <w:t>L</w:t>
      </w:r>
      <w:r w:rsidRPr="003A0C5C">
        <w:rPr>
          <w:vertAlign w:val="subscript"/>
        </w:rPr>
        <w:t>eq</w:t>
      </w:r>
      <w:proofErr w:type="spellEnd"/>
      <w:r w:rsidRPr="003A0C5C">
        <w:t xml:space="preserve">. CMC Section 12.08, Part 4, limits construction noise levels to 65 dBA </w:t>
      </w:r>
      <w:proofErr w:type="spellStart"/>
      <w:r w:rsidRPr="003A0C5C">
        <w:t>L</w:t>
      </w:r>
      <w:r w:rsidRPr="003A0C5C">
        <w:rPr>
          <w:vertAlign w:val="subscript"/>
        </w:rPr>
        <w:t>eq</w:t>
      </w:r>
      <w:proofErr w:type="spellEnd"/>
      <w:r w:rsidRPr="003A0C5C">
        <w:t xml:space="preserve"> for semi-residential receptors between the hours of 7 a.m. and 8 p.m. The project construction noise levels per phase would exceed 65 dBA </w:t>
      </w:r>
      <w:proofErr w:type="spellStart"/>
      <w:r w:rsidRPr="003A0C5C">
        <w:t>L</w:t>
      </w:r>
      <w:r w:rsidRPr="003A0C5C">
        <w:rPr>
          <w:vertAlign w:val="subscript"/>
        </w:rPr>
        <w:t>eq</w:t>
      </w:r>
      <w:proofErr w:type="spellEnd"/>
      <w:r w:rsidRPr="003A0C5C">
        <w:t xml:space="preserve"> at the nearest sensitive source and impacts would be significant without mitigation. Because it would take a buffer zone of 400 feet from the residences to reduce the construction noise level to 65 dBA </w:t>
      </w:r>
      <w:proofErr w:type="spellStart"/>
      <w:r w:rsidRPr="003A0C5C">
        <w:t>Leq</w:t>
      </w:r>
      <w:proofErr w:type="spellEnd"/>
      <w:r w:rsidRPr="003A0C5C">
        <w:t xml:space="preserve"> (maximum combined construction noise levels range from 82 and 81 dBA </w:t>
      </w:r>
      <w:proofErr w:type="spellStart"/>
      <w:r w:rsidRPr="003A0C5C">
        <w:t>Leq</w:t>
      </w:r>
      <w:proofErr w:type="spellEnd"/>
      <w:r w:rsidRPr="003A0C5C">
        <w:t>, respectively from R1 and R3), it is not feasible or practical to implement a buffer zone for on-site construction activity.</w:t>
      </w:r>
    </w:p>
    <w:p w14:paraId="2CC240BA" w14:textId="62EB581E" w:rsidR="00434F8A" w:rsidRPr="003A0C5C" w:rsidRDefault="00434F8A" w:rsidP="00434F8A">
      <w:pPr>
        <w:pStyle w:val="12spaceindentcontinue"/>
      </w:pPr>
      <w:r w:rsidRPr="003A0C5C">
        <w:t xml:space="preserve">As stated earlier, CMC Article 5, Chapter 5, Section 5502, provides a list of amendments added to the LACMC for application in the City of Carson. Section 5502(c) amends CMC Chapter 12.08, Part 4, to address noise standards for construction activities with nearby residential land uses. Long-term construction (defined as more than 21 days of scheduled work) is permitted Monday through Saturday from 7 a.m. to 8 p.m. given construction does not exceed 65 dBA in single-family residential areas, 70 dBA in multi-family residential areas, and 70 dBA in semi-residential/commercial areas. Construction noise levels take precedence over the noise standards listed in </w:t>
      </w:r>
      <w:r w:rsidRPr="003A0C5C">
        <w:rPr>
          <w:rStyle w:val="Bold"/>
          <w:b w:val="0"/>
          <w:bCs/>
        </w:rPr>
        <w:t>Table 10</w:t>
      </w:r>
      <w:r w:rsidRPr="003A0C5C">
        <w:t xml:space="preserve">, above. </w:t>
      </w:r>
    </w:p>
    <w:p w14:paraId="69EE68D4" w14:textId="3CFD9304" w:rsidR="00B3059F" w:rsidRPr="003A0C5C" w:rsidRDefault="00B3059F" w:rsidP="00E9008A">
      <w:pPr>
        <w:pStyle w:val="12spaceindentcontinue"/>
      </w:pPr>
      <w:r w:rsidRPr="003A0C5C">
        <w:t xml:space="preserve">In order to meet the criteria of the ambient noise-based threshold (ambient noise + 5 dBA) between the hours of 7 a.m. and 8 p.m., Monday through Saturday, temporary construction noise barriers </w:t>
      </w:r>
      <w:r w:rsidR="003A1335" w:rsidRPr="003A0C5C">
        <w:t xml:space="preserve">would </w:t>
      </w:r>
      <w:r w:rsidRPr="003A0C5C">
        <w:t xml:space="preserve">be implemented for residences to the north and east of the </w:t>
      </w:r>
      <w:r w:rsidR="00433408" w:rsidRPr="003A0C5C">
        <w:t>project</w:t>
      </w:r>
      <w:r w:rsidRPr="003A0C5C">
        <w:t xml:space="preserve"> site</w:t>
      </w:r>
      <w:r w:rsidR="00783F34" w:rsidRPr="003A0C5C">
        <w:t>, as described in Mitigation Measure MM-NOI-1</w:t>
      </w:r>
      <w:r w:rsidRPr="003A0C5C">
        <w:t xml:space="preserve">. </w:t>
      </w:r>
      <w:r w:rsidR="00A95450" w:rsidRPr="003A0C5C">
        <w:t>In addition, as stated previously, it is conservatively assumed that multiple equipment would operate simultaneously near the project boundary. In reality, equipment would likely be dispersed throughout the project site; as such</w:t>
      </w:r>
      <w:r w:rsidR="00727104" w:rsidRPr="003A0C5C">
        <w:t xml:space="preserve">, the noisiest equipment, such as paving equipment or concrete saws, </w:t>
      </w:r>
      <w:r w:rsidR="003A1335" w:rsidRPr="003A0C5C">
        <w:t>would be</w:t>
      </w:r>
      <w:r w:rsidR="00727104" w:rsidRPr="003A0C5C">
        <w:t xml:space="preserve"> </w:t>
      </w:r>
      <w:r w:rsidR="00C7522A" w:rsidRPr="003A0C5C">
        <w:t xml:space="preserve">restricted to </w:t>
      </w:r>
      <w:r w:rsidR="00A95450" w:rsidRPr="003A0C5C">
        <w:t xml:space="preserve">have no more than two pieces of the heavy-duty equipment </w:t>
      </w:r>
      <w:r w:rsidR="00F172F2" w:rsidRPr="003A0C5C">
        <w:t>use</w:t>
      </w:r>
      <w:r w:rsidR="00C7522A" w:rsidRPr="003A0C5C">
        <w:t xml:space="preserve"> </w:t>
      </w:r>
      <w:r w:rsidR="003F23B0" w:rsidRPr="003A0C5C">
        <w:t xml:space="preserve">at the same time </w:t>
      </w:r>
      <w:r w:rsidR="00C7522A" w:rsidRPr="003A0C5C">
        <w:t>within a</w:t>
      </w:r>
      <w:r w:rsidR="00727104" w:rsidRPr="003A0C5C">
        <w:t xml:space="preserve"> </w:t>
      </w:r>
      <w:r w:rsidR="00C4057B" w:rsidRPr="003A0C5C">
        <w:t>50-foot</w:t>
      </w:r>
      <w:r w:rsidR="00727104" w:rsidRPr="003A0C5C">
        <w:t xml:space="preserve"> distance </w:t>
      </w:r>
      <w:r w:rsidR="003F23B0" w:rsidRPr="003A0C5C">
        <w:t>of</w:t>
      </w:r>
      <w:r w:rsidR="00727104" w:rsidRPr="003A0C5C">
        <w:t xml:space="preserve"> the project </w:t>
      </w:r>
      <w:r w:rsidR="00E44B1B" w:rsidRPr="003A0C5C">
        <w:t>site boundary</w:t>
      </w:r>
      <w:r w:rsidR="00727104" w:rsidRPr="003A0C5C">
        <w:t xml:space="preserve">, as described in Mitigation Measure MM-NOI-2. </w:t>
      </w:r>
      <w:r w:rsidR="002E41CD" w:rsidRPr="003A0C5C">
        <w:rPr>
          <w:b/>
        </w:rPr>
        <w:t>Table 14</w:t>
      </w:r>
      <w:r w:rsidR="002E41CD" w:rsidRPr="003A0C5C">
        <w:rPr>
          <w:bCs/>
        </w:rPr>
        <w:t>,</w:t>
      </w:r>
      <w:r w:rsidR="002E41CD" w:rsidRPr="003A0C5C">
        <w:rPr>
          <w:b/>
        </w:rPr>
        <w:t xml:space="preserve"> </w:t>
      </w:r>
      <w:r w:rsidR="002E41CD" w:rsidRPr="003A0C5C">
        <w:rPr>
          <w:bCs/>
          <w:i/>
          <w:iCs/>
        </w:rPr>
        <w:t xml:space="preserve">Construction Noise Levels with </w:t>
      </w:r>
      <w:r w:rsidR="00727104" w:rsidRPr="003A0C5C">
        <w:rPr>
          <w:bCs/>
          <w:i/>
          <w:iCs/>
        </w:rPr>
        <w:t>Mitigation</w:t>
      </w:r>
      <w:r w:rsidR="002E41CD" w:rsidRPr="003A0C5C">
        <w:rPr>
          <w:bCs/>
          <w:i/>
          <w:iCs/>
        </w:rPr>
        <w:t xml:space="preserve">, </w:t>
      </w:r>
      <w:r w:rsidR="002E41CD" w:rsidRPr="003A0C5C">
        <w:t>shows the reduced construction noise levels at the off-site sensitive receivers. Noise levels attributable to on-site construction activity would be reduced, with attenuation provided by the temporary construction noise barriers</w:t>
      </w:r>
      <w:r w:rsidR="00727104" w:rsidRPr="003A0C5C">
        <w:t xml:space="preserve"> and the added distance from the sensitive receptors</w:t>
      </w:r>
      <w:r w:rsidR="002E41CD" w:rsidRPr="003A0C5C">
        <w:t xml:space="preserve">, to comply with the threshold of ambient noise levels plus 5 dBA. </w:t>
      </w:r>
      <w:r w:rsidR="00727104" w:rsidRPr="003A0C5C">
        <w:t>With</w:t>
      </w:r>
      <w:r w:rsidRPr="003A0C5C">
        <w:t xml:space="preserve"> the implementation of</w:t>
      </w:r>
      <w:r w:rsidR="00727104" w:rsidRPr="003A0C5C">
        <w:t xml:space="preserve"> </w:t>
      </w:r>
      <w:r w:rsidR="00440D3E" w:rsidRPr="003A0C5C">
        <w:t xml:space="preserve">Mitigation Measures </w:t>
      </w:r>
      <w:r w:rsidR="00727104" w:rsidRPr="003A0C5C">
        <w:t>MM-NOI-1 and MM-NOI-2</w:t>
      </w:r>
      <w:r w:rsidRPr="003A0C5C">
        <w:t xml:space="preserve">, Project construction noise would also comply with the City’s 65 dBA </w:t>
      </w:r>
      <w:proofErr w:type="spellStart"/>
      <w:r w:rsidRPr="003A0C5C">
        <w:t>Leq</w:t>
      </w:r>
      <w:proofErr w:type="spellEnd"/>
      <w:r w:rsidRPr="003A0C5C">
        <w:t xml:space="preserve"> noise threshold for single-family residences.</w:t>
      </w:r>
      <w:r w:rsidR="00783F34" w:rsidRPr="003A0C5C">
        <w:t xml:space="preserve"> </w:t>
      </w:r>
    </w:p>
    <w:tbl>
      <w:tblPr>
        <w:tblW w:w="0" w:type="auto"/>
        <w:tblInd w:w="720" w:type="dxa"/>
        <w:tblLayout w:type="fixed"/>
        <w:tblCellMar>
          <w:left w:w="86" w:type="dxa"/>
          <w:right w:w="86" w:type="dxa"/>
        </w:tblCellMar>
        <w:tblLook w:val="04A0" w:firstRow="1" w:lastRow="0" w:firstColumn="1" w:lastColumn="0" w:noHBand="0" w:noVBand="1"/>
      </w:tblPr>
      <w:tblGrid>
        <w:gridCol w:w="1409"/>
        <w:gridCol w:w="1651"/>
        <w:gridCol w:w="2160"/>
        <w:gridCol w:w="1584"/>
        <w:gridCol w:w="1116"/>
      </w:tblGrid>
      <w:tr w:rsidR="003A0C5C" w:rsidRPr="003A0C5C" w14:paraId="45802263" w14:textId="77777777" w:rsidTr="00160F99">
        <w:trPr>
          <w:cantSplit/>
          <w:tblHeader/>
        </w:trPr>
        <w:tc>
          <w:tcPr>
            <w:tcW w:w="7920" w:type="dxa"/>
            <w:gridSpan w:val="5"/>
            <w:tcBorders>
              <w:bottom w:val="single" w:sz="4" w:space="0" w:color="auto"/>
            </w:tcBorders>
            <w:vAlign w:val="bottom"/>
          </w:tcPr>
          <w:p w14:paraId="17662AAE" w14:textId="13ED3559" w:rsidR="002E41CD" w:rsidRPr="003A0C5C" w:rsidRDefault="002E41CD" w:rsidP="007E20BF">
            <w:pPr>
              <w:pStyle w:val="TableNoTitle"/>
            </w:pPr>
            <w:bookmarkStart w:id="91" w:name="_Toc101792206"/>
            <w:r w:rsidRPr="003A0C5C">
              <w:t>Table 14</w:t>
            </w:r>
            <w:r w:rsidRPr="003A0C5C">
              <w:br/>
            </w:r>
            <w:r w:rsidRPr="003A0C5C">
              <w:tab/>
              <w:t xml:space="preserve">Construction Noise Levels with </w:t>
            </w:r>
            <w:r w:rsidR="00727104" w:rsidRPr="003A0C5C">
              <w:t>Mitigation</w:t>
            </w:r>
            <w:bookmarkEnd w:id="91"/>
          </w:p>
        </w:tc>
      </w:tr>
      <w:tr w:rsidR="003A0C5C" w:rsidRPr="003A0C5C" w14:paraId="41DA09AE" w14:textId="77777777" w:rsidTr="00160F99">
        <w:trPr>
          <w:cantSplit/>
          <w:tblHeader/>
        </w:trPr>
        <w:tc>
          <w:tcPr>
            <w:tcW w:w="1409" w:type="dxa"/>
            <w:tcBorders>
              <w:top w:val="single" w:sz="4" w:space="0" w:color="auto"/>
              <w:bottom w:val="single" w:sz="12" w:space="0" w:color="auto"/>
            </w:tcBorders>
            <w:vAlign w:val="bottom"/>
          </w:tcPr>
          <w:p w14:paraId="30DAC5F4" w14:textId="648E00D5" w:rsidR="002E41CD" w:rsidRPr="003A0C5C" w:rsidRDefault="002E41CD" w:rsidP="007E20BF">
            <w:pPr>
              <w:pStyle w:val="Tablecolumnheading"/>
            </w:pPr>
            <w:r w:rsidRPr="003A0C5C">
              <w:t>Sensitive Receptor Location</w:t>
            </w:r>
          </w:p>
        </w:tc>
        <w:tc>
          <w:tcPr>
            <w:tcW w:w="1651" w:type="dxa"/>
            <w:tcBorders>
              <w:top w:val="single" w:sz="4" w:space="0" w:color="auto"/>
              <w:bottom w:val="single" w:sz="12" w:space="0" w:color="auto"/>
            </w:tcBorders>
            <w:vAlign w:val="bottom"/>
          </w:tcPr>
          <w:p w14:paraId="7FAF1B69" w14:textId="75F30FFF" w:rsidR="002E41CD" w:rsidRPr="003A0C5C" w:rsidRDefault="002E41CD" w:rsidP="002E41CD">
            <w:pPr>
              <w:pStyle w:val="Tablecolumnheading"/>
              <w:jc w:val="center"/>
            </w:pPr>
            <w:r w:rsidRPr="003A0C5C">
              <w:t>Estimated Construction</w:t>
            </w:r>
            <w:r w:rsidR="00160F99" w:rsidRPr="003A0C5C">
              <w:t xml:space="preserve"> </w:t>
            </w:r>
            <w:r w:rsidRPr="003A0C5C">
              <w:t>Noise</w:t>
            </w:r>
          </w:p>
          <w:p w14:paraId="53E8E4DA" w14:textId="7BBB8799" w:rsidR="002E41CD" w:rsidRPr="003A0C5C" w:rsidRDefault="002E41CD" w:rsidP="002E41CD">
            <w:pPr>
              <w:pStyle w:val="Tablecolumnheading"/>
              <w:jc w:val="center"/>
            </w:pPr>
            <w:r w:rsidRPr="003A0C5C">
              <w:t>(</w:t>
            </w:r>
            <w:proofErr w:type="spellStart"/>
            <w:r w:rsidRPr="003A0C5C">
              <w:t>Leq</w:t>
            </w:r>
            <w:proofErr w:type="spellEnd"/>
            <w:r w:rsidRPr="003A0C5C">
              <w:t>, dBA)</w:t>
            </w:r>
          </w:p>
        </w:tc>
        <w:tc>
          <w:tcPr>
            <w:tcW w:w="2160" w:type="dxa"/>
            <w:tcBorders>
              <w:top w:val="single" w:sz="4" w:space="0" w:color="auto"/>
              <w:bottom w:val="single" w:sz="12" w:space="0" w:color="auto"/>
            </w:tcBorders>
            <w:vAlign w:val="bottom"/>
          </w:tcPr>
          <w:p w14:paraId="35BC75C0" w14:textId="506D8B53" w:rsidR="002E41CD" w:rsidRPr="003A0C5C" w:rsidRDefault="002E41CD" w:rsidP="002E41CD">
            <w:pPr>
              <w:pStyle w:val="Tablecolumnheading"/>
              <w:jc w:val="center"/>
            </w:pPr>
            <w:r w:rsidRPr="003A0C5C">
              <w:t xml:space="preserve">Construction Noise Levels with </w:t>
            </w:r>
            <w:r w:rsidR="000840DF" w:rsidRPr="003A0C5C">
              <w:t>Mitigation</w:t>
            </w:r>
          </w:p>
          <w:p w14:paraId="28A0566A" w14:textId="19FE0C97" w:rsidR="002E41CD" w:rsidRPr="003A0C5C" w:rsidRDefault="002E41CD" w:rsidP="002E41CD">
            <w:pPr>
              <w:pStyle w:val="Tablecolumnheading"/>
              <w:jc w:val="center"/>
            </w:pPr>
            <w:r w:rsidRPr="003A0C5C">
              <w:t>(</w:t>
            </w:r>
            <w:proofErr w:type="spellStart"/>
            <w:r w:rsidRPr="003A0C5C">
              <w:t>Leq</w:t>
            </w:r>
            <w:proofErr w:type="spellEnd"/>
            <w:r w:rsidRPr="003A0C5C">
              <w:t>, dBA)</w:t>
            </w:r>
          </w:p>
        </w:tc>
        <w:tc>
          <w:tcPr>
            <w:tcW w:w="1584" w:type="dxa"/>
            <w:tcBorders>
              <w:top w:val="single" w:sz="4" w:space="0" w:color="auto"/>
              <w:bottom w:val="single" w:sz="12" w:space="0" w:color="auto"/>
            </w:tcBorders>
            <w:vAlign w:val="bottom"/>
          </w:tcPr>
          <w:p w14:paraId="402D0DD9" w14:textId="77777777" w:rsidR="002E41CD" w:rsidRPr="003A0C5C" w:rsidRDefault="002E41CD" w:rsidP="002E41CD">
            <w:pPr>
              <w:pStyle w:val="Tablecolumnheading"/>
              <w:jc w:val="center"/>
            </w:pPr>
            <w:r w:rsidRPr="003A0C5C">
              <w:t xml:space="preserve">Construction Noise Threshold </w:t>
            </w:r>
          </w:p>
          <w:p w14:paraId="2A1FE478" w14:textId="1B791760" w:rsidR="002E41CD" w:rsidRPr="003A0C5C" w:rsidRDefault="002E41CD" w:rsidP="002E41CD">
            <w:pPr>
              <w:pStyle w:val="Tablecolumnheading"/>
              <w:jc w:val="center"/>
            </w:pPr>
            <w:r w:rsidRPr="003A0C5C">
              <w:t>(Ambient + 5 dBA)</w:t>
            </w:r>
          </w:p>
        </w:tc>
        <w:tc>
          <w:tcPr>
            <w:tcW w:w="1116" w:type="dxa"/>
            <w:tcBorders>
              <w:top w:val="single" w:sz="4" w:space="0" w:color="auto"/>
              <w:bottom w:val="single" w:sz="12" w:space="0" w:color="auto"/>
            </w:tcBorders>
            <w:vAlign w:val="bottom"/>
          </w:tcPr>
          <w:p w14:paraId="248C9FC5" w14:textId="51BEB399" w:rsidR="002E41CD" w:rsidRPr="003A0C5C" w:rsidRDefault="00777B20" w:rsidP="007E20BF">
            <w:pPr>
              <w:pStyle w:val="Tablecolumnheading"/>
              <w:jc w:val="center"/>
            </w:pPr>
            <w:r w:rsidRPr="003A0C5C">
              <w:t>Significant?</w:t>
            </w:r>
          </w:p>
        </w:tc>
      </w:tr>
      <w:tr w:rsidR="003A0C5C" w:rsidRPr="003A0C5C" w14:paraId="6D5D316E" w14:textId="77777777" w:rsidTr="00160F99">
        <w:trPr>
          <w:cantSplit/>
        </w:trPr>
        <w:tc>
          <w:tcPr>
            <w:tcW w:w="1409" w:type="dxa"/>
            <w:tcBorders>
              <w:top w:val="single" w:sz="12" w:space="0" w:color="auto"/>
            </w:tcBorders>
          </w:tcPr>
          <w:p w14:paraId="64B22C21" w14:textId="32E61384" w:rsidR="002E41CD" w:rsidRPr="003A0C5C" w:rsidRDefault="002E41CD" w:rsidP="007E20BF">
            <w:pPr>
              <w:pStyle w:val="Tabletext"/>
              <w:keepNext/>
            </w:pPr>
            <w:r w:rsidRPr="003A0C5C">
              <w:t>R1</w:t>
            </w:r>
          </w:p>
        </w:tc>
        <w:tc>
          <w:tcPr>
            <w:tcW w:w="1651" w:type="dxa"/>
            <w:tcBorders>
              <w:top w:val="single" w:sz="12" w:space="0" w:color="auto"/>
            </w:tcBorders>
          </w:tcPr>
          <w:p w14:paraId="2253D89D" w14:textId="6286C99E" w:rsidR="002E41CD" w:rsidRPr="003A0C5C" w:rsidRDefault="00727104" w:rsidP="007E20BF">
            <w:pPr>
              <w:pStyle w:val="Tabletext"/>
              <w:jc w:val="center"/>
            </w:pPr>
            <w:r w:rsidRPr="003A0C5C">
              <w:t>81.</w:t>
            </w:r>
            <w:r w:rsidR="00D80B89" w:rsidRPr="003A0C5C">
              <w:t>8</w:t>
            </w:r>
          </w:p>
        </w:tc>
        <w:tc>
          <w:tcPr>
            <w:tcW w:w="2160" w:type="dxa"/>
            <w:tcBorders>
              <w:top w:val="single" w:sz="12" w:space="0" w:color="auto"/>
            </w:tcBorders>
          </w:tcPr>
          <w:p w14:paraId="05A9C4B9" w14:textId="2FF182D6" w:rsidR="002E41CD" w:rsidRPr="003A0C5C" w:rsidRDefault="00777B20" w:rsidP="007E20BF">
            <w:pPr>
              <w:pStyle w:val="Tabletext"/>
              <w:jc w:val="center"/>
            </w:pPr>
            <w:r w:rsidRPr="003A0C5C">
              <w:t>6</w:t>
            </w:r>
            <w:r w:rsidR="00D80B89" w:rsidRPr="003A0C5C">
              <w:t>2.8</w:t>
            </w:r>
          </w:p>
        </w:tc>
        <w:tc>
          <w:tcPr>
            <w:tcW w:w="1584" w:type="dxa"/>
            <w:tcBorders>
              <w:top w:val="single" w:sz="12" w:space="0" w:color="auto"/>
            </w:tcBorders>
          </w:tcPr>
          <w:p w14:paraId="5CEC9DD6" w14:textId="65145FEE" w:rsidR="002E41CD" w:rsidRPr="003A0C5C" w:rsidRDefault="00777B20" w:rsidP="007E20BF">
            <w:pPr>
              <w:pStyle w:val="Tabletext"/>
              <w:jc w:val="center"/>
            </w:pPr>
            <w:r w:rsidRPr="003A0C5C">
              <w:t>63.6</w:t>
            </w:r>
          </w:p>
        </w:tc>
        <w:tc>
          <w:tcPr>
            <w:tcW w:w="1116" w:type="dxa"/>
            <w:tcBorders>
              <w:top w:val="single" w:sz="12" w:space="0" w:color="auto"/>
            </w:tcBorders>
          </w:tcPr>
          <w:p w14:paraId="7C6FF028" w14:textId="7C8DCBCC" w:rsidR="002E41CD" w:rsidRPr="003A0C5C" w:rsidRDefault="00777B20" w:rsidP="007E20BF">
            <w:pPr>
              <w:pStyle w:val="Tabletext"/>
              <w:jc w:val="center"/>
            </w:pPr>
            <w:r w:rsidRPr="003A0C5C">
              <w:t>No</w:t>
            </w:r>
          </w:p>
        </w:tc>
      </w:tr>
      <w:tr w:rsidR="003A0C5C" w:rsidRPr="003A0C5C" w14:paraId="45865850" w14:textId="77777777" w:rsidTr="00160F99">
        <w:trPr>
          <w:cantSplit/>
        </w:trPr>
        <w:tc>
          <w:tcPr>
            <w:tcW w:w="1409" w:type="dxa"/>
          </w:tcPr>
          <w:p w14:paraId="2B3E2F64" w14:textId="414CAB4D" w:rsidR="002E41CD" w:rsidRPr="003A0C5C" w:rsidRDefault="002E41CD" w:rsidP="007E20BF">
            <w:pPr>
              <w:pStyle w:val="Tabletext"/>
              <w:keepNext/>
            </w:pPr>
            <w:r w:rsidRPr="003A0C5C">
              <w:t>R2</w:t>
            </w:r>
          </w:p>
        </w:tc>
        <w:tc>
          <w:tcPr>
            <w:tcW w:w="1651" w:type="dxa"/>
          </w:tcPr>
          <w:p w14:paraId="0BACCE7F" w14:textId="67F18B69" w:rsidR="002E41CD" w:rsidRPr="003A0C5C" w:rsidRDefault="00727104" w:rsidP="007E20BF">
            <w:pPr>
              <w:pStyle w:val="Tabletext"/>
              <w:jc w:val="center"/>
            </w:pPr>
            <w:r w:rsidRPr="003A0C5C">
              <w:t>7</w:t>
            </w:r>
            <w:r w:rsidR="00D80B89" w:rsidRPr="003A0C5C">
              <w:t>9.0</w:t>
            </w:r>
          </w:p>
        </w:tc>
        <w:tc>
          <w:tcPr>
            <w:tcW w:w="2160" w:type="dxa"/>
          </w:tcPr>
          <w:p w14:paraId="7F7A9654" w14:textId="3569CCE0" w:rsidR="002E41CD" w:rsidRPr="003A0C5C" w:rsidRDefault="00D80B89" w:rsidP="007E20BF">
            <w:pPr>
              <w:pStyle w:val="Tabletext"/>
              <w:jc w:val="center"/>
            </w:pPr>
            <w:r w:rsidRPr="003A0C5C">
              <w:t>60.5</w:t>
            </w:r>
          </w:p>
        </w:tc>
        <w:tc>
          <w:tcPr>
            <w:tcW w:w="1584" w:type="dxa"/>
          </w:tcPr>
          <w:p w14:paraId="1CE61D90" w14:textId="637FDEFF" w:rsidR="002E41CD" w:rsidRPr="003A0C5C" w:rsidRDefault="00777B20" w:rsidP="007E20BF">
            <w:pPr>
              <w:pStyle w:val="Tabletext"/>
              <w:jc w:val="center"/>
            </w:pPr>
            <w:r w:rsidRPr="003A0C5C">
              <w:t>61.5</w:t>
            </w:r>
          </w:p>
        </w:tc>
        <w:tc>
          <w:tcPr>
            <w:tcW w:w="1116" w:type="dxa"/>
          </w:tcPr>
          <w:p w14:paraId="4308D955" w14:textId="3B626075" w:rsidR="002E41CD" w:rsidRPr="003A0C5C" w:rsidRDefault="00777B20" w:rsidP="007E20BF">
            <w:pPr>
              <w:pStyle w:val="Tabletext"/>
              <w:jc w:val="center"/>
            </w:pPr>
            <w:r w:rsidRPr="003A0C5C">
              <w:t>No</w:t>
            </w:r>
          </w:p>
        </w:tc>
      </w:tr>
      <w:tr w:rsidR="003A0C5C" w:rsidRPr="003A0C5C" w14:paraId="3E12A536" w14:textId="77777777" w:rsidTr="00160F99">
        <w:trPr>
          <w:cantSplit/>
        </w:trPr>
        <w:tc>
          <w:tcPr>
            <w:tcW w:w="1409" w:type="dxa"/>
          </w:tcPr>
          <w:p w14:paraId="4DF6C503" w14:textId="31969366" w:rsidR="002E41CD" w:rsidRPr="003A0C5C" w:rsidRDefault="002E41CD" w:rsidP="007E20BF">
            <w:pPr>
              <w:pStyle w:val="Tabletext"/>
              <w:keepNext/>
            </w:pPr>
            <w:r w:rsidRPr="003A0C5C">
              <w:t>R3</w:t>
            </w:r>
          </w:p>
        </w:tc>
        <w:tc>
          <w:tcPr>
            <w:tcW w:w="1651" w:type="dxa"/>
          </w:tcPr>
          <w:p w14:paraId="0EF0D6AA" w14:textId="387E3341" w:rsidR="002E41CD" w:rsidRPr="003A0C5C" w:rsidRDefault="00D80B89" w:rsidP="007E20BF">
            <w:pPr>
              <w:pStyle w:val="Tabletext"/>
              <w:jc w:val="center"/>
            </w:pPr>
            <w:r w:rsidRPr="003A0C5C">
              <w:t>80.9</w:t>
            </w:r>
          </w:p>
        </w:tc>
        <w:tc>
          <w:tcPr>
            <w:tcW w:w="2160" w:type="dxa"/>
          </w:tcPr>
          <w:p w14:paraId="4867F1AD" w14:textId="52AA191F" w:rsidR="002E41CD" w:rsidRPr="003A0C5C" w:rsidRDefault="00D80B89" w:rsidP="007E20BF">
            <w:pPr>
              <w:pStyle w:val="Tabletext"/>
              <w:jc w:val="center"/>
            </w:pPr>
            <w:r w:rsidRPr="003A0C5C">
              <w:t>58.5</w:t>
            </w:r>
          </w:p>
        </w:tc>
        <w:tc>
          <w:tcPr>
            <w:tcW w:w="1584" w:type="dxa"/>
          </w:tcPr>
          <w:p w14:paraId="56AF6358" w14:textId="77314EDF" w:rsidR="002E41CD" w:rsidRPr="003A0C5C" w:rsidRDefault="00777B20" w:rsidP="007E20BF">
            <w:pPr>
              <w:pStyle w:val="Tabletext"/>
              <w:jc w:val="center"/>
            </w:pPr>
            <w:r w:rsidRPr="003A0C5C">
              <w:t>62.1</w:t>
            </w:r>
          </w:p>
        </w:tc>
        <w:tc>
          <w:tcPr>
            <w:tcW w:w="1116" w:type="dxa"/>
          </w:tcPr>
          <w:p w14:paraId="21831D95" w14:textId="0A268601" w:rsidR="002E41CD" w:rsidRPr="003A0C5C" w:rsidRDefault="00777B20" w:rsidP="007E20BF">
            <w:pPr>
              <w:pStyle w:val="Tabletext"/>
              <w:jc w:val="center"/>
            </w:pPr>
            <w:r w:rsidRPr="003A0C5C">
              <w:t>No</w:t>
            </w:r>
          </w:p>
        </w:tc>
      </w:tr>
      <w:tr w:rsidR="003A0C5C" w:rsidRPr="003A0C5C" w14:paraId="2CF281DC" w14:textId="77777777" w:rsidTr="00160F99">
        <w:trPr>
          <w:cantSplit/>
        </w:trPr>
        <w:tc>
          <w:tcPr>
            <w:tcW w:w="1409" w:type="dxa"/>
          </w:tcPr>
          <w:p w14:paraId="6C58D86A" w14:textId="288B1BCB" w:rsidR="002E41CD" w:rsidRPr="003A0C5C" w:rsidRDefault="002E41CD" w:rsidP="007E20BF">
            <w:pPr>
              <w:pStyle w:val="Tabletext"/>
              <w:keepNext/>
            </w:pPr>
            <w:r w:rsidRPr="003A0C5C">
              <w:t>R4</w:t>
            </w:r>
          </w:p>
        </w:tc>
        <w:tc>
          <w:tcPr>
            <w:tcW w:w="1651" w:type="dxa"/>
          </w:tcPr>
          <w:p w14:paraId="27734582" w14:textId="5C8124F8" w:rsidR="002E41CD" w:rsidRPr="003A0C5C" w:rsidRDefault="00727104" w:rsidP="007E20BF">
            <w:pPr>
              <w:pStyle w:val="Tabletext"/>
              <w:jc w:val="center"/>
            </w:pPr>
            <w:r w:rsidRPr="003A0C5C">
              <w:t>7</w:t>
            </w:r>
            <w:r w:rsidR="00D80B89" w:rsidRPr="003A0C5C">
              <w:t>4.2</w:t>
            </w:r>
          </w:p>
        </w:tc>
        <w:tc>
          <w:tcPr>
            <w:tcW w:w="2160" w:type="dxa"/>
          </w:tcPr>
          <w:p w14:paraId="0C3E4E64" w14:textId="5081EC27" w:rsidR="002E41CD" w:rsidRPr="003A0C5C" w:rsidRDefault="005C4567" w:rsidP="007E20BF">
            <w:pPr>
              <w:pStyle w:val="Tabletext"/>
              <w:jc w:val="center"/>
            </w:pPr>
            <w:r w:rsidRPr="003A0C5C">
              <w:t>7</w:t>
            </w:r>
            <w:r w:rsidR="00727104" w:rsidRPr="003A0C5C">
              <w:t>3</w:t>
            </w:r>
            <w:r w:rsidR="00D80B89" w:rsidRPr="003A0C5C">
              <w:t>.3</w:t>
            </w:r>
          </w:p>
        </w:tc>
        <w:tc>
          <w:tcPr>
            <w:tcW w:w="1584" w:type="dxa"/>
          </w:tcPr>
          <w:p w14:paraId="4D5214B7" w14:textId="5B4D3629" w:rsidR="002E41CD" w:rsidRPr="003A0C5C" w:rsidRDefault="00777B20" w:rsidP="007E20BF">
            <w:pPr>
              <w:pStyle w:val="Tabletext"/>
              <w:jc w:val="center"/>
            </w:pPr>
            <w:r w:rsidRPr="003A0C5C">
              <w:t>77.0</w:t>
            </w:r>
          </w:p>
        </w:tc>
        <w:tc>
          <w:tcPr>
            <w:tcW w:w="1116" w:type="dxa"/>
          </w:tcPr>
          <w:p w14:paraId="60F187C5" w14:textId="3C82F281" w:rsidR="002E41CD" w:rsidRPr="003A0C5C" w:rsidRDefault="00777B20" w:rsidP="007E20BF">
            <w:pPr>
              <w:pStyle w:val="Tabletext"/>
              <w:jc w:val="center"/>
            </w:pPr>
            <w:r w:rsidRPr="003A0C5C">
              <w:t>No</w:t>
            </w:r>
          </w:p>
        </w:tc>
      </w:tr>
      <w:tr w:rsidR="002E41CD" w:rsidRPr="003A0C5C" w14:paraId="48E9620A" w14:textId="77777777" w:rsidTr="00160F99">
        <w:trPr>
          <w:cantSplit/>
        </w:trPr>
        <w:tc>
          <w:tcPr>
            <w:tcW w:w="7920" w:type="dxa"/>
            <w:gridSpan w:val="5"/>
            <w:tcBorders>
              <w:top w:val="single" w:sz="4" w:space="0" w:color="auto"/>
              <w:bottom w:val="single" w:sz="4" w:space="0" w:color="auto"/>
            </w:tcBorders>
          </w:tcPr>
          <w:p w14:paraId="0642BA15" w14:textId="1CF74930" w:rsidR="002E41CD" w:rsidRPr="003A0C5C" w:rsidRDefault="002E41CD" w:rsidP="00434F8A">
            <w:pPr>
              <w:pStyle w:val="TableSource"/>
              <w:spacing w:before="120" w:after="120"/>
            </w:pPr>
            <w:r w:rsidRPr="003A0C5C">
              <w:t>SOURCE:</w:t>
            </w:r>
            <w:r w:rsidR="0010254B" w:rsidRPr="003A0C5C">
              <w:t xml:space="preserve"> </w:t>
            </w:r>
            <w:r w:rsidR="00777B20" w:rsidRPr="003A0C5C">
              <w:t>ESA</w:t>
            </w:r>
            <w:r w:rsidRPr="003A0C5C">
              <w:t xml:space="preserve"> </w:t>
            </w:r>
            <w:r w:rsidR="00777B20" w:rsidRPr="003A0C5C">
              <w:t>2022</w:t>
            </w:r>
          </w:p>
        </w:tc>
      </w:tr>
    </w:tbl>
    <w:p w14:paraId="75FFA65A" w14:textId="77777777" w:rsidR="002E41CD" w:rsidRPr="003A0C5C" w:rsidRDefault="002E41CD" w:rsidP="00E9008A">
      <w:pPr>
        <w:pStyle w:val="12spaceindentcontinue"/>
      </w:pPr>
    </w:p>
    <w:p w14:paraId="7D55366D" w14:textId="1D8DF4A0" w:rsidR="00E9008A" w:rsidRPr="003A0C5C" w:rsidRDefault="00E9008A" w:rsidP="00E9008A">
      <w:pPr>
        <w:pStyle w:val="12spaceindentcontinue"/>
      </w:pPr>
      <w:r w:rsidRPr="003A0C5C">
        <w:t>The proposed project would comply with LACMC Section 12.08.440 and CMC Section 7-12.22; the proposed project’s construction activities, including delivery and haul routes, would be prohibited between the hours of 7 p.m. and 7 a.m. Monday through Saturday or any time on Sundays or holidays.</w:t>
      </w:r>
    </w:p>
    <w:p w14:paraId="4915E6D6" w14:textId="4BE64E9F" w:rsidR="00E9008A" w:rsidRPr="003A0C5C" w:rsidRDefault="00E9008A" w:rsidP="00E9008A">
      <w:pPr>
        <w:pStyle w:val="12spaceindentcontinue"/>
      </w:pPr>
      <w:r w:rsidRPr="003A0C5C">
        <w:t>Therefore, with respect to a violation of the noise standards and regulations established in the CMC, noise impacts during project construction would be less than significant with implementation of Mitigation Measure</w:t>
      </w:r>
      <w:r w:rsidR="000840DF" w:rsidRPr="003A0C5C">
        <w:t>s</w:t>
      </w:r>
      <w:r w:rsidRPr="003A0C5C">
        <w:t xml:space="preserve"> MM-NOI-1</w:t>
      </w:r>
      <w:r w:rsidR="00727104" w:rsidRPr="003A0C5C">
        <w:t xml:space="preserve"> and M</w:t>
      </w:r>
      <w:r w:rsidR="001948EF" w:rsidRPr="003A0C5C">
        <w:t>M</w:t>
      </w:r>
      <w:r w:rsidR="00727104" w:rsidRPr="003A0C5C">
        <w:t>-NOI-2</w:t>
      </w:r>
      <w:r w:rsidRPr="003A0C5C">
        <w:t>.</w:t>
      </w:r>
    </w:p>
    <w:p w14:paraId="1A04C74F" w14:textId="77777777" w:rsidR="00E9008A" w:rsidRPr="003A0C5C" w:rsidRDefault="00E9008A" w:rsidP="00E9008A">
      <w:pPr>
        <w:pStyle w:val="Heading7"/>
        <w:ind w:left="720"/>
        <w:rPr>
          <w:bCs/>
          <w:iCs w:val="0"/>
        </w:rPr>
      </w:pPr>
      <w:r w:rsidRPr="003A0C5C">
        <w:rPr>
          <w:bCs/>
          <w:iCs w:val="0"/>
        </w:rPr>
        <w:t>Off-Site Construction Activities</w:t>
      </w:r>
    </w:p>
    <w:p w14:paraId="445EE9A1" w14:textId="1198EE04" w:rsidR="00E9008A" w:rsidRPr="003A0C5C" w:rsidRDefault="00E9008A" w:rsidP="00E9008A">
      <w:pPr>
        <w:pStyle w:val="12spaceindentcontinue"/>
      </w:pPr>
      <w:r w:rsidRPr="003A0C5C">
        <w:t>During all phases of construction, haul and vendor truck trips would be required to bring construction materials and building debris to and from the project site. The temporary addition of the number of trips required per day during construction activities would not result in a doubling of trips along access roads leading to the project site. Therefore, the increase in noise level would be substantially less than the threshold of a 5 dBA increase in an area characterized by normally acceptable and conditionally acceptable noise levels or a 3 dBA increase in an area characterized by conditionally unacceptable or normally unacceptable noise levels. In order to increase traffic noise levels by 3 dBA, the traffic volumes with the proposed project would need to double from the “Existing” to the “with Project” conditions. The proposed project would not cause traffic volumes to double as a result of implementation and operation. Additionally, the off-site haul truck activities are temporary in nature and would only take place for 1</w:t>
      </w:r>
      <w:r w:rsidR="00CA22B3" w:rsidRPr="003A0C5C">
        <w:t>3</w:t>
      </w:r>
      <w:r w:rsidRPr="003A0C5C">
        <w:t xml:space="preserve"> months after which the proposed project would cease to have any significant lasting noise impact on the surrounding areas. Therefore, off-site construction traffic noise impacts would be less than significant and no mitigation measures would be required.</w:t>
      </w:r>
    </w:p>
    <w:p w14:paraId="0835ADB8" w14:textId="77777777" w:rsidR="00E9008A" w:rsidRPr="003A0C5C" w:rsidRDefault="00E9008A" w:rsidP="00E9008A">
      <w:pPr>
        <w:pStyle w:val="Heading6"/>
        <w:ind w:left="720"/>
        <w:rPr>
          <w:bCs/>
        </w:rPr>
      </w:pPr>
      <w:r w:rsidRPr="003A0C5C">
        <w:rPr>
          <w:bCs/>
        </w:rPr>
        <w:t>Operational Noise</w:t>
      </w:r>
    </w:p>
    <w:p w14:paraId="0E56125C" w14:textId="77777777" w:rsidR="00E9008A" w:rsidRPr="003A0C5C" w:rsidRDefault="00E9008A" w:rsidP="00E9008A">
      <w:pPr>
        <w:pStyle w:val="12spaceindentcontinue"/>
        <w:rPr>
          <w:highlight w:val="yellow"/>
        </w:rPr>
      </w:pPr>
      <w:r w:rsidRPr="003A0C5C">
        <w:t>The existing noise environment in the project vicinity is dominated by traffic noise from nearby roadways, as well as nearby commercial activities. Long-term operation of the proposed project would have a minimal effect on the noise environment in proximity to the project area. Noise generated by the proposed project would result primarily from the added off-site traffic.</w:t>
      </w:r>
    </w:p>
    <w:p w14:paraId="170B14D6" w14:textId="77777777" w:rsidR="00E9008A" w:rsidRPr="003A0C5C" w:rsidRDefault="00E9008A" w:rsidP="00E9008A">
      <w:pPr>
        <w:pStyle w:val="Heading7"/>
        <w:ind w:left="720"/>
        <w:rPr>
          <w:bCs/>
          <w:iCs w:val="0"/>
        </w:rPr>
      </w:pPr>
      <w:r w:rsidRPr="003A0C5C">
        <w:rPr>
          <w:bCs/>
          <w:iCs w:val="0"/>
        </w:rPr>
        <w:t>Off-Site Traffic Noise</w:t>
      </w:r>
    </w:p>
    <w:p w14:paraId="1F2B1F2D" w14:textId="77777777" w:rsidR="00E9008A" w:rsidRPr="003A0C5C" w:rsidRDefault="00E9008A" w:rsidP="00E9008A">
      <w:pPr>
        <w:pStyle w:val="12spaceindentcontinue"/>
        <w:rPr>
          <w:spacing w:val="-2"/>
        </w:rPr>
      </w:pPr>
      <w:r w:rsidRPr="003A0C5C">
        <w:rPr>
          <w:spacing w:val="-2"/>
        </w:rPr>
        <w:t>Vehicle trips attributed to operation of the proposed project would increase average daily traffic (ADT) volumes along the major thoroughfares within the project vicinity, which was analyzed to determine if any traffic-related noise impacts would result from project development. Typically, a doubling of traffic volumes increases the hourly equivalent sound level by approximately 3 dBA (FHWA 2018). The proposed project would not double existing daily trips along access roads leading to the project site and traffic noise from the proposed project would generate less than a 3 dBA increase. Therefore, operation of the proposed project would not result in a substantial increase in project-related traffic noise levels over existing traffic noise levels in the project vicinity</w:t>
      </w:r>
      <w:r w:rsidRPr="003A0C5C">
        <w:rPr>
          <w:rFonts w:eastAsia="Malgun Gothic" w:hint="eastAsia"/>
          <w:spacing w:val="-2"/>
          <w:lang w:eastAsia="ko-KR"/>
        </w:rPr>
        <w:t>.</w:t>
      </w:r>
      <w:r w:rsidRPr="003A0C5C">
        <w:rPr>
          <w:spacing w:val="-2"/>
        </w:rPr>
        <w:t xml:space="preserve"> The increase in noise level would be substantially less than threshold of a 5 dBA increase in an area characterized by normally acceptable and conditionally acceptable noise levels or 3 dBA increase in an area characterized by conditionally unacceptable or normally unacceptable noise levels. In order to increase traffic noise levels by 3 dBA, the traffic volumes with the proposed project would need to double from the “Existing” to the “With Project” conditions. The proposed project would not cause traffic volumes to double as a result of implementation and operation. As a result, project-related operational traffic noise impacts would be less than significant.</w:t>
      </w:r>
    </w:p>
    <w:p w14:paraId="5457B51F" w14:textId="32EFC554" w:rsidR="00E9008A" w:rsidRPr="003A0C5C" w:rsidRDefault="00E9008A" w:rsidP="00E9008A">
      <w:pPr>
        <w:pStyle w:val="12spaceindent"/>
        <w:ind w:firstLine="0"/>
        <w:rPr>
          <w:spacing w:val="-2"/>
        </w:rPr>
      </w:pPr>
      <w:r w:rsidRPr="003A0C5C">
        <w:rPr>
          <w:spacing w:val="-2"/>
        </w:rPr>
        <w:t xml:space="preserve">To predict the noise increase due to vehicular traffic, the Federal Highway Administration’s Traffic Noise Model (TNM), Version 2.5, was used to predict vehicular traffic noise levels at off-site noise-sensitive receivers based on peak hour trip rates and trip distribution from the traffic study. The estimated noise contribution from project trips was then compared to existing noise levels. The project noise contribution, existing noise levels, and estimated combined noise levels are shown in </w:t>
      </w:r>
      <w:r w:rsidRPr="003A0C5C">
        <w:rPr>
          <w:b/>
          <w:spacing w:val="-2"/>
        </w:rPr>
        <w:t xml:space="preserve">Table </w:t>
      </w:r>
      <w:r w:rsidR="00BB3B91" w:rsidRPr="003A0C5C">
        <w:rPr>
          <w:b/>
          <w:spacing w:val="-2"/>
        </w:rPr>
        <w:t>15</w:t>
      </w:r>
      <w:r w:rsidR="001D1298" w:rsidRPr="003A0C5C">
        <w:rPr>
          <w:bCs/>
          <w:spacing w:val="-2"/>
        </w:rPr>
        <w:t>,</w:t>
      </w:r>
      <w:r w:rsidR="001D1298" w:rsidRPr="003A0C5C">
        <w:rPr>
          <w:b/>
          <w:spacing w:val="-2"/>
        </w:rPr>
        <w:t xml:space="preserve"> </w:t>
      </w:r>
      <w:r w:rsidR="001D1298" w:rsidRPr="003A0C5C">
        <w:rPr>
          <w:bCs/>
          <w:i/>
          <w:iCs/>
          <w:spacing w:val="-2"/>
        </w:rPr>
        <w:t>Predicted Existing Traffic Noise Levels</w:t>
      </w:r>
      <w:r w:rsidRPr="003A0C5C">
        <w:rPr>
          <w:spacing w:val="-2"/>
        </w:rPr>
        <w:t>.</w:t>
      </w:r>
    </w:p>
    <w:p w14:paraId="43CC53CF" w14:textId="2ED85C20" w:rsidR="00E9008A" w:rsidRPr="003A0C5C" w:rsidRDefault="00E9008A" w:rsidP="00E9008A">
      <w:pPr>
        <w:pStyle w:val="TableNoTitle"/>
      </w:pPr>
      <w:bookmarkStart w:id="92" w:name="_Toc479332414"/>
      <w:bookmarkStart w:id="93" w:name="_Toc503872592"/>
      <w:bookmarkStart w:id="94" w:name="_Toc9949721"/>
      <w:bookmarkStart w:id="95" w:name="_Toc67056322"/>
      <w:bookmarkStart w:id="96" w:name="_Toc101792207"/>
      <w:r w:rsidRPr="003A0C5C">
        <w:t xml:space="preserve">Table </w:t>
      </w:r>
      <w:r w:rsidR="00BB3B91" w:rsidRPr="003A0C5C">
        <w:t>15</w:t>
      </w:r>
      <w:r w:rsidRPr="003A0C5C">
        <w:br/>
      </w:r>
      <w:r w:rsidR="00160F99" w:rsidRPr="003A0C5C">
        <w:tab/>
      </w:r>
      <w:r w:rsidRPr="003A0C5C">
        <w:t>Predicted Existing Traffic Noise Levels</w:t>
      </w:r>
      <w:bookmarkEnd w:id="92"/>
      <w:bookmarkEnd w:id="93"/>
      <w:bookmarkEnd w:id="94"/>
      <w:bookmarkEnd w:id="95"/>
      <w:bookmarkEnd w:id="96"/>
    </w:p>
    <w:tbl>
      <w:tblPr>
        <w:tblStyle w:val="TableGrid3"/>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330"/>
        <w:gridCol w:w="1530"/>
        <w:gridCol w:w="1350"/>
        <w:gridCol w:w="1800"/>
        <w:gridCol w:w="1350"/>
      </w:tblGrid>
      <w:tr w:rsidR="003A0C5C" w:rsidRPr="003A0C5C" w14:paraId="24F43D73" w14:textId="77777777" w:rsidTr="00313B2A">
        <w:trPr>
          <w:tblHeader/>
          <w:jc w:val="center"/>
        </w:trPr>
        <w:tc>
          <w:tcPr>
            <w:tcW w:w="3330" w:type="dxa"/>
            <w:tcBorders>
              <w:top w:val="single" w:sz="4" w:space="0" w:color="auto"/>
              <w:bottom w:val="single" w:sz="12" w:space="0" w:color="auto"/>
            </w:tcBorders>
            <w:vAlign w:val="bottom"/>
          </w:tcPr>
          <w:p w14:paraId="10B7F51C" w14:textId="77777777" w:rsidR="00E9008A" w:rsidRPr="003A0C5C" w:rsidRDefault="00E9008A" w:rsidP="00313B2A">
            <w:pPr>
              <w:pStyle w:val="Tablecolumnheading"/>
            </w:pPr>
            <w:r w:rsidRPr="003A0C5C">
              <w:t>Roadway Segment</w:t>
            </w:r>
          </w:p>
        </w:tc>
        <w:tc>
          <w:tcPr>
            <w:tcW w:w="1530" w:type="dxa"/>
            <w:tcBorders>
              <w:top w:val="single" w:sz="4" w:space="0" w:color="auto"/>
              <w:bottom w:val="single" w:sz="12" w:space="0" w:color="auto"/>
            </w:tcBorders>
            <w:vAlign w:val="bottom"/>
          </w:tcPr>
          <w:p w14:paraId="7C42DC87" w14:textId="77777777" w:rsidR="00E9008A" w:rsidRPr="003A0C5C" w:rsidRDefault="00E9008A" w:rsidP="00313B2A">
            <w:pPr>
              <w:pStyle w:val="Tablecolumnheading"/>
              <w:jc w:val="center"/>
            </w:pPr>
            <w:r w:rsidRPr="003A0C5C">
              <w:t>Existing Traffic</w:t>
            </w:r>
            <w:r w:rsidRPr="003A0C5C">
              <w:br/>
              <w:t>Noise</w:t>
            </w:r>
            <w:r w:rsidRPr="003A0C5C">
              <w:br/>
              <w:t>(CNEL, dBA)</w:t>
            </w:r>
          </w:p>
        </w:tc>
        <w:tc>
          <w:tcPr>
            <w:tcW w:w="1350" w:type="dxa"/>
            <w:tcBorders>
              <w:top w:val="single" w:sz="4" w:space="0" w:color="auto"/>
              <w:bottom w:val="single" w:sz="12" w:space="0" w:color="auto"/>
            </w:tcBorders>
            <w:vAlign w:val="bottom"/>
          </w:tcPr>
          <w:p w14:paraId="2C133170" w14:textId="77777777" w:rsidR="00E9008A" w:rsidRPr="003A0C5C" w:rsidRDefault="00E9008A" w:rsidP="00313B2A">
            <w:pPr>
              <w:pStyle w:val="Tablecolumnheading"/>
              <w:jc w:val="center"/>
            </w:pPr>
            <w:r w:rsidRPr="003A0C5C">
              <w:t>Existing with Project Traffic Noise Level</w:t>
            </w:r>
            <w:r w:rsidRPr="003A0C5C">
              <w:br/>
              <w:t>(CNEL, dBA)</w:t>
            </w:r>
          </w:p>
        </w:tc>
        <w:tc>
          <w:tcPr>
            <w:tcW w:w="1800" w:type="dxa"/>
            <w:tcBorders>
              <w:top w:val="single" w:sz="4" w:space="0" w:color="auto"/>
              <w:bottom w:val="single" w:sz="12" w:space="0" w:color="auto"/>
            </w:tcBorders>
            <w:vAlign w:val="bottom"/>
          </w:tcPr>
          <w:p w14:paraId="775C5C0B" w14:textId="77777777" w:rsidR="00E9008A" w:rsidRPr="003A0C5C" w:rsidRDefault="00E9008A" w:rsidP="00313B2A">
            <w:pPr>
              <w:pStyle w:val="Tablecolumnheading"/>
              <w:jc w:val="center"/>
            </w:pPr>
            <w:r w:rsidRPr="003A0C5C">
              <w:t>Existing with Project Increase over Existing Noise Level</w:t>
            </w:r>
          </w:p>
        </w:tc>
        <w:tc>
          <w:tcPr>
            <w:tcW w:w="1350" w:type="dxa"/>
            <w:tcBorders>
              <w:top w:val="single" w:sz="4" w:space="0" w:color="auto"/>
              <w:bottom w:val="single" w:sz="12" w:space="0" w:color="auto"/>
            </w:tcBorders>
            <w:vAlign w:val="bottom"/>
          </w:tcPr>
          <w:p w14:paraId="2D440157" w14:textId="77777777" w:rsidR="00E9008A" w:rsidRPr="003A0C5C" w:rsidRDefault="00E9008A" w:rsidP="00313B2A">
            <w:pPr>
              <w:pStyle w:val="Tablecolumnheading"/>
              <w:jc w:val="center"/>
            </w:pPr>
            <w:r w:rsidRPr="003A0C5C">
              <w:t>Significant?</w:t>
            </w:r>
          </w:p>
        </w:tc>
      </w:tr>
      <w:tr w:rsidR="003A0C5C" w:rsidRPr="003A0C5C" w14:paraId="5405ED59" w14:textId="77777777" w:rsidTr="00313B2A">
        <w:trPr>
          <w:jc w:val="center"/>
        </w:trPr>
        <w:tc>
          <w:tcPr>
            <w:tcW w:w="3330" w:type="dxa"/>
            <w:tcBorders>
              <w:top w:val="single" w:sz="12" w:space="0" w:color="auto"/>
              <w:bottom w:val="single" w:sz="4" w:space="0" w:color="auto"/>
            </w:tcBorders>
          </w:tcPr>
          <w:p w14:paraId="48E62C42" w14:textId="77777777" w:rsidR="00E9008A" w:rsidRPr="003A0C5C" w:rsidRDefault="00E9008A" w:rsidP="00434F8A">
            <w:pPr>
              <w:pStyle w:val="Tablerowheading"/>
            </w:pPr>
            <w:r w:rsidRPr="003A0C5C">
              <w:t xml:space="preserve">Avalon Blvd </w:t>
            </w:r>
          </w:p>
        </w:tc>
        <w:tc>
          <w:tcPr>
            <w:tcW w:w="1530" w:type="dxa"/>
            <w:tcBorders>
              <w:top w:val="single" w:sz="12" w:space="0" w:color="auto"/>
              <w:bottom w:val="single" w:sz="4" w:space="0" w:color="auto"/>
            </w:tcBorders>
          </w:tcPr>
          <w:p w14:paraId="413CC4C1" w14:textId="77777777" w:rsidR="00E9008A" w:rsidRPr="003A0C5C" w:rsidRDefault="00E9008A" w:rsidP="00434F8A">
            <w:pPr>
              <w:pStyle w:val="Tablerowheading"/>
            </w:pPr>
          </w:p>
        </w:tc>
        <w:tc>
          <w:tcPr>
            <w:tcW w:w="1350" w:type="dxa"/>
            <w:tcBorders>
              <w:top w:val="single" w:sz="12" w:space="0" w:color="auto"/>
              <w:bottom w:val="single" w:sz="4" w:space="0" w:color="auto"/>
            </w:tcBorders>
          </w:tcPr>
          <w:p w14:paraId="535505B7" w14:textId="77777777" w:rsidR="00E9008A" w:rsidRPr="003A0C5C" w:rsidRDefault="00E9008A" w:rsidP="00434F8A">
            <w:pPr>
              <w:pStyle w:val="Tablerowheading"/>
            </w:pPr>
          </w:p>
        </w:tc>
        <w:tc>
          <w:tcPr>
            <w:tcW w:w="1800" w:type="dxa"/>
            <w:tcBorders>
              <w:top w:val="single" w:sz="12" w:space="0" w:color="auto"/>
              <w:bottom w:val="single" w:sz="4" w:space="0" w:color="auto"/>
            </w:tcBorders>
          </w:tcPr>
          <w:p w14:paraId="7FC92301" w14:textId="77777777" w:rsidR="00E9008A" w:rsidRPr="003A0C5C" w:rsidRDefault="00E9008A" w:rsidP="00434F8A">
            <w:pPr>
              <w:pStyle w:val="Tablerowheading"/>
            </w:pPr>
          </w:p>
        </w:tc>
        <w:tc>
          <w:tcPr>
            <w:tcW w:w="1350" w:type="dxa"/>
            <w:tcBorders>
              <w:top w:val="single" w:sz="12" w:space="0" w:color="auto"/>
              <w:bottom w:val="single" w:sz="4" w:space="0" w:color="auto"/>
            </w:tcBorders>
          </w:tcPr>
          <w:p w14:paraId="6250E249" w14:textId="77777777" w:rsidR="00E9008A" w:rsidRPr="003A0C5C" w:rsidRDefault="00E9008A" w:rsidP="00434F8A">
            <w:pPr>
              <w:pStyle w:val="Tablerowheading"/>
            </w:pPr>
          </w:p>
        </w:tc>
      </w:tr>
      <w:tr w:rsidR="003A0C5C" w:rsidRPr="003A0C5C" w14:paraId="001FB2F3" w14:textId="77777777" w:rsidTr="00313B2A">
        <w:trPr>
          <w:jc w:val="center"/>
        </w:trPr>
        <w:tc>
          <w:tcPr>
            <w:tcW w:w="3330" w:type="dxa"/>
            <w:tcBorders>
              <w:top w:val="single" w:sz="4" w:space="0" w:color="auto"/>
            </w:tcBorders>
          </w:tcPr>
          <w:p w14:paraId="026F5F94" w14:textId="77777777" w:rsidR="00E9008A" w:rsidRPr="003A0C5C" w:rsidRDefault="00E9008A" w:rsidP="00313B2A">
            <w:pPr>
              <w:pStyle w:val="Tabletext"/>
            </w:pPr>
            <w:r w:rsidRPr="003A0C5C">
              <w:t>n/o Carson St</w:t>
            </w:r>
          </w:p>
        </w:tc>
        <w:tc>
          <w:tcPr>
            <w:tcW w:w="1530" w:type="dxa"/>
            <w:tcBorders>
              <w:top w:val="single" w:sz="4" w:space="0" w:color="auto"/>
            </w:tcBorders>
            <w:vAlign w:val="center"/>
          </w:tcPr>
          <w:p w14:paraId="05B267FE" w14:textId="77777777" w:rsidR="00E9008A" w:rsidRPr="003A0C5C" w:rsidRDefault="00E9008A" w:rsidP="00313B2A">
            <w:pPr>
              <w:pStyle w:val="Tabletext"/>
              <w:jc w:val="center"/>
            </w:pPr>
            <w:r w:rsidRPr="003A0C5C">
              <w:t>70.9</w:t>
            </w:r>
          </w:p>
        </w:tc>
        <w:tc>
          <w:tcPr>
            <w:tcW w:w="1350" w:type="dxa"/>
            <w:tcBorders>
              <w:top w:val="single" w:sz="4" w:space="0" w:color="auto"/>
            </w:tcBorders>
            <w:vAlign w:val="center"/>
          </w:tcPr>
          <w:p w14:paraId="284C29BC" w14:textId="77777777" w:rsidR="00E9008A" w:rsidRPr="003A0C5C" w:rsidRDefault="00E9008A" w:rsidP="00313B2A">
            <w:pPr>
              <w:pStyle w:val="Tabletext"/>
              <w:jc w:val="center"/>
            </w:pPr>
            <w:r w:rsidRPr="003A0C5C">
              <w:t>70.9</w:t>
            </w:r>
          </w:p>
        </w:tc>
        <w:tc>
          <w:tcPr>
            <w:tcW w:w="1800" w:type="dxa"/>
            <w:tcBorders>
              <w:top w:val="single" w:sz="4" w:space="0" w:color="auto"/>
            </w:tcBorders>
            <w:shd w:val="clear" w:color="auto" w:fill="auto"/>
            <w:vAlign w:val="center"/>
          </w:tcPr>
          <w:p w14:paraId="0CE9CD15" w14:textId="77777777" w:rsidR="00E9008A" w:rsidRPr="003A0C5C" w:rsidRDefault="00E9008A" w:rsidP="00313B2A">
            <w:pPr>
              <w:pStyle w:val="Tabletext"/>
              <w:jc w:val="center"/>
            </w:pPr>
            <w:r w:rsidRPr="003A0C5C">
              <w:t>0.0</w:t>
            </w:r>
          </w:p>
        </w:tc>
        <w:tc>
          <w:tcPr>
            <w:tcW w:w="1350" w:type="dxa"/>
            <w:tcBorders>
              <w:top w:val="single" w:sz="4" w:space="0" w:color="auto"/>
            </w:tcBorders>
            <w:vAlign w:val="center"/>
          </w:tcPr>
          <w:p w14:paraId="006D6747" w14:textId="77777777" w:rsidR="00E9008A" w:rsidRPr="003A0C5C" w:rsidRDefault="00E9008A" w:rsidP="00313B2A">
            <w:pPr>
              <w:pStyle w:val="Tabletext"/>
              <w:jc w:val="center"/>
            </w:pPr>
            <w:r w:rsidRPr="003A0C5C">
              <w:t>No</w:t>
            </w:r>
          </w:p>
        </w:tc>
      </w:tr>
      <w:tr w:rsidR="003A0C5C" w:rsidRPr="003A0C5C" w14:paraId="16CB6DFF" w14:textId="77777777" w:rsidTr="00313B2A">
        <w:trPr>
          <w:jc w:val="center"/>
        </w:trPr>
        <w:tc>
          <w:tcPr>
            <w:tcW w:w="3330" w:type="dxa"/>
            <w:tcBorders>
              <w:top w:val="single" w:sz="4" w:space="0" w:color="auto"/>
            </w:tcBorders>
          </w:tcPr>
          <w:p w14:paraId="5B20CD2F" w14:textId="77777777" w:rsidR="00E9008A" w:rsidRPr="003A0C5C" w:rsidRDefault="00E9008A" w:rsidP="00313B2A">
            <w:pPr>
              <w:pStyle w:val="Tabletext"/>
            </w:pPr>
            <w:r w:rsidRPr="003A0C5C">
              <w:t>s/o Carson St</w:t>
            </w:r>
          </w:p>
        </w:tc>
        <w:tc>
          <w:tcPr>
            <w:tcW w:w="1530" w:type="dxa"/>
            <w:tcBorders>
              <w:top w:val="single" w:sz="4" w:space="0" w:color="auto"/>
            </w:tcBorders>
            <w:vAlign w:val="center"/>
          </w:tcPr>
          <w:p w14:paraId="146C7AE9" w14:textId="77777777" w:rsidR="00E9008A" w:rsidRPr="003A0C5C" w:rsidRDefault="00E9008A" w:rsidP="00313B2A">
            <w:pPr>
              <w:pStyle w:val="Tabletext"/>
              <w:jc w:val="center"/>
            </w:pPr>
            <w:r w:rsidRPr="003A0C5C">
              <w:t>71.1</w:t>
            </w:r>
          </w:p>
        </w:tc>
        <w:tc>
          <w:tcPr>
            <w:tcW w:w="1350" w:type="dxa"/>
            <w:tcBorders>
              <w:top w:val="single" w:sz="4" w:space="0" w:color="auto"/>
            </w:tcBorders>
            <w:vAlign w:val="center"/>
          </w:tcPr>
          <w:p w14:paraId="20B4057A" w14:textId="77777777" w:rsidR="00E9008A" w:rsidRPr="003A0C5C" w:rsidRDefault="00E9008A" w:rsidP="00313B2A">
            <w:pPr>
              <w:pStyle w:val="Tabletext"/>
              <w:jc w:val="center"/>
            </w:pPr>
            <w:r w:rsidRPr="003A0C5C">
              <w:t>71.1</w:t>
            </w:r>
          </w:p>
        </w:tc>
        <w:tc>
          <w:tcPr>
            <w:tcW w:w="1800" w:type="dxa"/>
            <w:tcBorders>
              <w:top w:val="single" w:sz="4" w:space="0" w:color="auto"/>
            </w:tcBorders>
            <w:shd w:val="clear" w:color="auto" w:fill="auto"/>
            <w:vAlign w:val="center"/>
          </w:tcPr>
          <w:p w14:paraId="3542E214" w14:textId="77777777" w:rsidR="00E9008A" w:rsidRPr="003A0C5C" w:rsidRDefault="00E9008A" w:rsidP="00313B2A">
            <w:pPr>
              <w:pStyle w:val="Tabletext"/>
              <w:jc w:val="center"/>
            </w:pPr>
            <w:r w:rsidRPr="003A0C5C">
              <w:t>0.0</w:t>
            </w:r>
          </w:p>
        </w:tc>
        <w:tc>
          <w:tcPr>
            <w:tcW w:w="1350" w:type="dxa"/>
            <w:tcBorders>
              <w:top w:val="single" w:sz="4" w:space="0" w:color="auto"/>
            </w:tcBorders>
            <w:vAlign w:val="center"/>
          </w:tcPr>
          <w:p w14:paraId="61E7DB0D" w14:textId="77777777" w:rsidR="00E9008A" w:rsidRPr="003A0C5C" w:rsidRDefault="00E9008A" w:rsidP="00313B2A">
            <w:pPr>
              <w:pStyle w:val="Tabletext"/>
              <w:jc w:val="center"/>
            </w:pPr>
            <w:r w:rsidRPr="003A0C5C">
              <w:t>No</w:t>
            </w:r>
          </w:p>
        </w:tc>
      </w:tr>
      <w:tr w:rsidR="003A0C5C" w:rsidRPr="003A0C5C" w14:paraId="14617317" w14:textId="77777777" w:rsidTr="00313B2A">
        <w:trPr>
          <w:jc w:val="center"/>
        </w:trPr>
        <w:tc>
          <w:tcPr>
            <w:tcW w:w="3330" w:type="dxa"/>
            <w:tcBorders>
              <w:top w:val="single" w:sz="4" w:space="0" w:color="auto"/>
            </w:tcBorders>
          </w:tcPr>
          <w:p w14:paraId="1547952C" w14:textId="77777777" w:rsidR="00E9008A" w:rsidRPr="003A0C5C" w:rsidRDefault="00E9008A" w:rsidP="00434F8A">
            <w:pPr>
              <w:pStyle w:val="Tablerowheading"/>
            </w:pPr>
            <w:r w:rsidRPr="003A0C5C">
              <w:t>Carson St</w:t>
            </w:r>
          </w:p>
        </w:tc>
        <w:tc>
          <w:tcPr>
            <w:tcW w:w="1530" w:type="dxa"/>
            <w:tcBorders>
              <w:top w:val="single" w:sz="4" w:space="0" w:color="auto"/>
            </w:tcBorders>
            <w:vAlign w:val="center"/>
          </w:tcPr>
          <w:p w14:paraId="76328209" w14:textId="77777777" w:rsidR="00E9008A" w:rsidRPr="003A0C5C" w:rsidRDefault="00E9008A" w:rsidP="00434F8A">
            <w:pPr>
              <w:pStyle w:val="Tablerowheading"/>
            </w:pPr>
          </w:p>
        </w:tc>
        <w:tc>
          <w:tcPr>
            <w:tcW w:w="1350" w:type="dxa"/>
            <w:tcBorders>
              <w:top w:val="single" w:sz="4" w:space="0" w:color="auto"/>
            </w:tcBorders>
            <w:vAlign w:val="center"/>
          </w:tcPr>
          <w:p w14:paraId="0AB3974C" w14:textId="77777777" w:rsidR="00E9008A" w:rsidRPr="003A0C5C" w:rsidRDefault="00E9008A" w:rsidP="00434F8A">
            <w:pPr>
              <w:pStyle w:val="Tablerowheading"/>
            </w:pPr>
          </w:p>
        </w:tc>
        <w:tc>
          <w:tcPr>
            <w:tcW w:w="1800" w:type="dxa"/>
            <w:tcBorders>
              <w:top w:val="single" w:sz="4" w:space="0" w:color="auto"/>
            </w:tcBorders>
            <w:shd w:val="clear" w:color="auto" w:fill="auto"/>
            <w:vAlign w:val="center"/>
          </w:tcPr>
          <w:p w14:paraId="26BFF42F" w14:textId="77777777" w:rsidR="00E9008A" w:rsidRPr="003A0C5C" w:rsidRDefault="00E9008A" w:rsidP="00434F8A">
            <w:pPr>
              <w:pStyle w:val="Tablerowheading"/>
            </w:pPr>
          </w:p>
        </w:tc>
        <w:tc>
          <w:tcPr>
            <w:tcW w:w="1350" w:type="dxa"/>
            <w:tcBorders>
              <w:top w:val="single" w:sz="4" w:space="0" w:color="auto"/>
            </w:tcBorders>
            <w:vAlign w:val="center"/>
          </w:tcPr>
          <w:p w14:paraId="2D07840B" w14:textId="77777777" w:rsidR="00E9008A" w:rsidRPr="003A0C5C" w:rsidRDefault="00E9008A" w:rsidP="00434F8A">
            <w:pPr>
              <w:pStyle w:val="Tablerowheading"/>
            </w:pPr>
          </w:p>
        </w:tc>
      </w:tr>
      <w:tr w:rsidR="003A0C5C" w:rsidRPr="003A0C5C" w14:paraId="422006CD" w14:textId="77777777" w:rsidTr="00313B2A">
        <w:trPr>
          <w:jc w:val="center"/>
        </w:trPr>
        <w:tc>
          <w:tcPr>
            <w:tcW w:w="3330" w:type="dxa"/>
            <w:tcBorders>
              <w:top w:val="single" w:sz="4" w:space="0" w:color="auto"/>
            </w:tcBorders>
          </w:tcPr>
          <w:p w14:paraId="7988EBB4" w14:textId="30C0103E" w:rsidR="00E9008A" w:rsidRPr="003A0C5C" w:rsidRDefault="00C9208D" w:rsidP="00313B2A">
            <w:pPr>
              <w:pStyle w:val="Tabletext"/>
            </w:pPr>
            <w:proofErr w:type="spellStart"/>
            <w:r w:rsidRPr="003A0C5C">
              <w:t>b</w:t>
            </w:r>
            <w:r w:rsidR="00E9008A" w:rsidRPr="003A0C5C">
              <w:t>twn</w:t>
            </w:r>
            <w:proofErr w:type="spellEnd"/>
            <w:r w:rsidR="00E9008A" w:rsidRPr="003A0C5C">
              <w:t xml:space="preserve"> Avalon Blvd and I-405 SB Ramps</w:t>
            </w:r>
          </w:p>
        </w:tc>
        <w:tc>
          <w:tcPr>
            <w:tcW w:w="1530" w:type="dxa"/>
            <w:tcBorders>
              <w:top w:val="single" w:sz="4" w:space="0" w:color="auto"/>
            </w:tcBorders>
            <w:vAlign w:val="center"/>
          </w:tcPr>
          <w:p w14:paraId="14C75AFE" w14:textId="77777777" w:rsidR="00E9008A" w:rsidRPr="003A0C5C" w:rsidRDefault="00E9008A" w:rsidP="00313B2A">
            <w:pPr>
              <w:pStyle w:val="Tabletext"/>
              <w:jc w:val="center"/>
            </w:pPr>
            <w:r w:rsidRPr="003A0C5C">
              <w:t>73.0</w:t>
            </w:r>
          </w:p>
        </w:tc>
        <w:tc>
          <w:tcPr>
            <w:tcW w:w="1350" w:type="dxa"/>
            <w:tcBorders>
              <w:top w:val="single" w:sz="4" w:space="0" w:color="auto"/>
            </w:tcBorders>
            <w:vAlign w:val="center"/>
          </w:tcPr>
          <w:p w14:paraId="3EFA8CD4" w14:textId="77777777" w:rsidR="00E9008A" w:rsidRPr="003A0C5C" w:rsidRDefault="00E9008A" w:rsidP="00313B2A">
            <w:pPr>
              <w:pStyle w:val="Tabletext"/>
              <w:jc w:val="center"/>
            </w:pPr>
            <w:r w:rsidRPr="003A0C5C">
              <w:t>73.0</w:t>
            </w:r>
          </w:p>
        </w:tc>
        <w:tc>
          <w:tcPr>
            <w:tcW w:w="1800" w:type="dxa"/>
            <w:tcBorders>
              <w:top w:val="single" w:sz="4" w:space="0" w:color="auto"/>
            </w:tcBorders>
            <w:shd w:val="clear" w:color="auto" w:fill="auto"/>
            <w:vAlign w:val="center"/>
          </w:tcPr>
          <w:p w14:paraId="2CF97097" w14:textId="77777777" w:rsidR="00E9008A" w:rsidRPr="003A0C5C" w:rsidRDefault="00E9008A" w:rsidP="00313B2A">
            <w:pPr>
              <w:pStyle w:val="Tabletext"/>
              <w:jc w:val="center"/>
            </w:pPr>
            <w:r w:rsidRPr="003A0C5C">
              <w:t>0.0</w:t>
            </w:r>
          </w:p>
        </w:tc>
        <w:tc>
          <w:tcPr>
            <w:tcW w:w="1350" w:type="dxa"/>
            <w:tcBorders>
              <w:top w:val="single" w:sz="4" w:space="0" w:color="auto"/>
            </w:tcBorders>
            <w:vAlign w:val="center"/>
          </w:tcPr>
          <w:p w14:paraId="786126F2" w14:textId="77777777" w:rsidR="00E9008A" w:rsidRPr="003A0C5C" w:rsidRDefault="00E9008A" w:rsidP="00313B2A">
            <w:pPr>
              <w:pStyle w:val="Tabletext"/>
              <w:jc w:val="center"/>
            </w:pPr>
            <w:r w:rsidRPr="003A0C5C">
              <w:t>No</w:t>
            </w:r>
          </w:p>
        </w:tc>
      </w:tr>
      <w:tr w:rsidR="003A0C5C" w:rsidRPr="003A0C5C" w14:paraId="564C3FBE" w14:textId="77777777" w:rsidTr="00313B2A">
        <w:trPr>
          <w:jc w:val="center"/>
        </w:trPr>
        <w:tc>
          <w:tcPr>
            <w:tcW w:w="3330" w:type="dxa"/>
            <w:tcBorders>
              <w:top w:val="single" w:sz="4" w:space="0" w:color="auto"/>
            </w:tcBorders>
          </w:tcPr>
          <w:p w14:paraId="61B1CE19" w14:textId="533BD9E9" w:rsidR="00E9008A" w:rsidRPr="003A0C5C" w:rsidRDefault="00C9208D" w:rsidP="00313B2A">
            <w:pPr>
              <w:pStyle w:val="Tabletext"/>
            </w:pPr>
            <w:proofErr w:type="spellStart"/>
            <w:r w:rsidRPr="003A0C5C">
              <w:t>b</w:t>
            </w:r>
            <w:r w:rsidR="00E9008A" w:rsidRPr="003A0C5C">
              <w:t>twn</w:t>
            </w:r>
            <w:proofErr w:type="spellEnd"/>
            <w:r w:rsidR="00E9008A" w:rsidRPr="003A0C5C">
              <w:t xml:space="preserve"> I-405 NB Ramps and Perry St</w:t>
            </w:r>
          </w:p>
        </w:tc>
        <w:tc>
          <w:tcPr>
            <w:tcW w:w="1530" w:type="dxa"/>
            <w:tcBorders>
              <w:top w:val="single" w:sz="4" w:space="0" w:color="auto"/>
            </w:tcBorders>
            <w:vAlign w:val="center"/>
          </w:tcPr>
          <w:p w14:paraId="7D3C76EF" w14:textId="77777777" w:rsidR="00E9008A" w:rsidRPr="003A0C5C" w:rsidRDefault="00E9008A" w:rsidP="00313B2A">
            <w:pPr>
              <w:pStyle w:val="Tabletext"/>
              <w:jc w:val="center"/>
            </w:pPr>
            <w:r w:rsidRPr="003A0C5C">
              <w:t>71.9</w:t>
            </w:r>
          </w:p>
        </w:tc>
        <w:tc>
          <w:tcPr>
            <w:tcW w:w="1350" w:type="dxa"/>
            <w:tcBorders>
              <w:top w:val="single" w:sz="4" w:space="0" w:color="auto"/>
            </w:tcBorders>
            <w:vAlign w:val="center"/>
          </w:tcPr>
          <w:p w14:paraId="13ABB792" w14:textId="77777777" w:rsidR="00E9008A" w:rsidRPr="003A0C5C" w:rsidRDefault="00E9008A" w:rsidP="00313B2A">
            <w:pPr>
              <w:pStyle w:val="Tabletext"/>
              <w:jc w:val="center"/>
            </w:pPr>
            <w:r w:rsidRPr="003A0C5C">
              <w:t>71.9</w:t>
            </w:r>
          </w:p>
        </w:tc>
        <w:tc>
          <w:tcPr>
            <w:tcW w:w="1800" w:type="dxa"/>
            <w:tcBorders>
              <w:top w:val="single" w:sz="4" w:space="0" w:color="auto"/>
            </w:tcBorders>
            <w:shd w:val="clear" w:color="auto" w:fill="auto"/>
            <w:vAlign w:val="center"/>
          </w:tcPr>
          <w:p w14:paraId="3DAE228C" w14:textId="77777777" w:rsidR="00E9008A" w:rsidRPr="003A0C5C" w:rsidRDefault="00E9008A" w:rsidP="00313B2A">
            <w:pPr>
              <w:pStyle w:val="Tabletext"/>
              <w:jc w:val="center"/>
            </w:pPr>
            <w:r w:rsidRPr="003A0C5C">
              <w:t>0.0</w:t>
            </w:r>
          </w:p>
        </w:tc>
        <w:tc>
          <w:tcPr>
            <w:tcW w:w="1350" w:type="dxa"/>
            <w:tcBorders>
              <w:top w:val="single" w:sz="4" w:space="0" w:color="auto"/>
            </w:tcBorders>
            <w:vAlign w:val="center"/>
          </w:tcPr>
          <w:p w14:paraId="5C702BC6" w14:textId="77777777" w:rsidR="00E9008A" w:rsidRPr="003A0C5C" w:rsidRDefault="00E9008A" w:rsidP="00313B2A">
            <w:pPr>
              <w:pStyle w:val="Tabletext"/>
              <w:jc w:val="center"/>
            </w:pPr>
            <w:r w:rsidRPr="003A0C5C">
              <w:t>No</w:t>
            </w:r>
          </w:p>
        </w:tc>
      </w:tr>
      <w:tr w:rsidR="003A0C5C" w:rsidRPr="003A0C5C" w14:paraId="22A9E73E" w14:textId="77777777" w:rsidTr="00313B2A">
        <w:trPr>
          <w:jc w:val="center"/>
        </w:trPr>
        <w:tc>
          <w:tcPr>
            <w:tcW w:w="3330" w:type="dxa"/>
            <w:tcBorders>
              <w:top w:val="single" w:sz="4" w:space="0" w:color="auto"/>
            </w:tcBorders>
          </w:tcPr>
          <w:p w14:paraId="46363CAE" w14:textId="3A23B31C" w:rsidR="00E9008A" w:rsidRPr="003A0C5C" w:rsidRDefault="00C9208D" w:rsidP="00313B2A">
            <w:pPr>
              <w:pStyle w:val="Tabletext"/>
            </w:pPr>
            <w:proofErr w:type="spellStart"/>
            <w:r w:rsidRPr="003A0C5C">
              <w:t>b</w:t>
            </w:r>
            <w:r w:rsidR="00E9008A" w:rsidRPr="003A0C5C">
              <w:t>twn</w:t>
            </w:r>
            <w:proofErr w:type="spellEnd"/>
            <w:r w:rsidR="00E9008A" w:rsidRPr="003A0C5C">
              <w:t xml:space="preserve"> I-405 SB Ramps and I-405 NB Ramps</w:t>
            </w:r>
          </w:p>
        </w:tc>
        <w:tc>
          <w:tcPr>
            <w:tcW w:w="1530" w:type="dxa"/>
            <w:tcBorders>
              <w:top w:val="single" w:sz="4" w:space="0" w:color="auto"/>
            </w:tcBorders>
            <w:vAlign w:val="center"/>
          </w:tcPr>
          <w:p w14:paraId="29C2C531" w14:textId="77777777" w:rsidR="00E9008A" w:rsidRPr="003A0C5C" w:rsidRDefault="00E9008A" w:rsidP="00313B2A">
            <w:pPr>
              <w:pStyle w:val="Tabletext"/>
              <w:jc w:val="center"/>
            </w:pPr>
            <w:r w:rsidRPr="003A0C5C">
              <w:t>72.7</w:t>
            </w:r>
          </w:p>
        </w:tc>
        <w:tc>
          <w:tcPr>
            <w:tcW w:w="1350" w:type="dxa"/>
            <w:tcBorders>
              <w:top w:val="single" w:sz="4" w:space="0" w:color="auto"/>
            </w:tcBorders>
            <w:vAlign w:val="center"/>
          </w:tcPr>
          <w:p w14:paraId="3013A472" w14:textId="77777777" w:rsidR="00E9008A" w:rsidRPr="003A0C5C" w:rsidRDefault="00E9008A" w:rsidP="00313B2A">
            <w:pPr>
              <w:pStyle w:val="Tabletext"/>
              <w:jc w:val="center"/>
            </w:pPr>
            <w:r w:rsidRPr="003A0C5C">
              <w:t>72.7</w:t>
            </w:r>
          </w:p>
        </w:tc>
        <w:tc>
          <w:tcPr>
            <w:tcW w:w="1800" w:type="dxa"/>
            <w:tcBorders>
              <w:top w:val="single" w:sz="4" w:space="0" w:color="auto"/>
            </w:tcBorders>
            <w:shd w:val="clear" w:color="auto" w:fill="auto"/>
            <w:vAlign w:val="center"/>
          </w:tcPr>
          <w:p w14:paraId="7C98735D" w14:textId="77777777" w:rsidR="00E9008A" w:rsidRPr="003A0C5C" w:rsidRDefault="00E9008A" w:rsidP="00313B2A">
            <w:pPr>
              <w:pStyle w:val="Tabletext"/>
              <w:jc w:val="center"/>
            </w:pPr>
            <w:r w:rsidRPr="003A0C5C">
              <w:t>0.0</w:t>
            </w:r>
          </w:p>
        </w:tc>
        <w:tc>
          <w:tcPr>
            <w:tcW w:w="1350" w:type="dxa"/>
            <w:tcBorders>
              <w:top w:val="single" w:sz="4" w:space="0" w:color="auto"/>
            </w:tcBorders>
            <w:vAlign w:val="center"/>
          </w:tcPr>
          <w:p w14:paraId="7F8EC1B3" w14:textId="77777777" w:rsidR="00E9008A" w:rsidRPr="003A0C5C" w:rsidRDefault="00E9008A" w:rsidP="00313B2A">
            <w:pPr>
              <w:pStyle w:val="Tabletext"/>
              <w:jc w:val="center"/>
            </w:pPr>
            <w:r w:rsidRPr="003A0C5C">
              <w:t>No</w:t>
            </w:r>
          </w:p>
        </w:tc>
      </w:tr>
      <w:tr w:rsidR="003A0C5C" w:rsidRPr="003A0C5C" w14:paraId="118CFE87" w14:textId="77777777" w:rsidTr="00313B2A">
        <w:trPr>
          <w:jc w:val="center"/>
        </w:trPr>
        <w:tc>
          <w:tcPr>
            <w:tcW w:w="3330" w:type="dxa"/>
            <w:tcBorders>
              <w:top w:val="single" w:sz="4" w:space="0" w:color="auto"/>
            </w:tcBorders>
          </w:tcPr>
          <w:p w14:paraId="6B18E8B2" w14:textId="069B0F7E" w:rsidR="00E9008A" w:rsidRPr="003A0C5C" w:rsidRDefault="00C9208D" w:rsidP="00313B2A">
            <w:pPr>
              <w:pStyle w:val="Tabletext"/>
            </w:pPr>
            <w:proofErr w:type="spellStart"/>
            <w:r w:rsidRPr="003A0C5C">
              <w:t>b</w:t>
            </w:r>
            <w:r w:rsidR="00E9008A" w:rsidRPr="003A0C5C">
              <w:t>twn</w:t>
            </w:r>
            <w:proofErr w:type="spellEnd"/>
            <w:r w:rsidR="00E9008A" w:rsidRPr="003A0C5C">
              <w:t xml:space="preserve"> Perry St and Wilmington Ave</w:t>
            </w:r>
          </w:p>
        </w:tc>
        <w:tc>
          <w:tcPr>
            <w:tcW w:w="1530" w:type="dxa"/>
            <w:tcBorders>
              <w:top w:val="single" w:sz="4" w:space="0" w:color="auto"/>
            </w:tcBorders>
            <w:vAlign w:val="center"/>
          </w:tcPr>
          <w:p w14:paraId="35A3F731" w14:textId="77777777" w:rsidR="00E9008A" w:rsidRPr="003A0C5C" w:rsidRDefault="00E9008A" w:rsidP="00313B2A">
            <w:pPr>
              <w:pStyle w:val="Tabletext"/>
              <w:jc w:val="center"/>
            </w:pPr>
            <w:r w:rsidRPr="003A0C5C">
              <w:t>71.6</w:t>
            </w:r>
          </w:p>
        </w:tc>
        <w:tc>
          <w:tcPr>
            <w:tcW w:w="1350" w:type="dxa"/>
            <w:tcBorders>
              <w:top w:val="single" w:sz="4" w:space="0" w:color="auto"/>
            </w:tcBorders>
            <w:vAlign w:val="center"/>
          </w:tcPr>
          <w:p w14:paraId="6E4ED675" w14:textId="77777777" w:rsidR="00E9008A" w:rsidRPr="003A0C5C" w:rsidRDefault="00E9008A" w:rsidP="00313B2A">
            <w:pPr>
              <w:pStyle w:val="Tabletext"/>
              <w:jc w:val="center"/>
            </w:pPr>
            <w:r w:rsidRPr="003A0C5C">
              <w:t>71.7</w:t>
            </w:r>
          </w:p>
        </w:tc>
        <w:tc>
          <w:tcPr>
            <w:tcW w:w="1800" w:type="dxa"/>
            <w:tcBorders>
              <w:top w:val="single" w:sz="4" w:space="0" w:color="auto"/>
            </w:tcBorders>
            <w:shd w:val="clear" w:color="auto" w:fill="auto"/>
            <w:vAlign w:val="center"/>
          </w:tcPr>
          <w:p w14:paraId="61864787" w14:textId="77777777" w:rsidR="00E9008A" w:rsidRPr="003A0C5C" w:rsidRDefault="00E9008A" w:rsidP="00313B2A">
            <w:pPr>
              <w:pStyle w:val="Tabletext"/>
              <w:jc w:val="center"/>
            </w:pPr>
            <w:r w:rsidRPr="003A0C5C">
              <w:t>0.1</w:t>
            </w:r>
          </w:p>
        </w:tc>
        <w:tc>
          <w:tcPr>
            <w:tcW w:w="1350" w:type="dxa"/>
            <w:tcBorders>
              <w:top w:val="single" w:sz="4" w:space="0" w:color="auto"/>
            </w:tcBorders>
            <w:vAlign w:val="center"/>
          </w:tcPr>
          <w:p w14:paraId="7772FE26" w14:textId="77777777" w:rsidR="00E9008A" w:rsidRPr="003A0C5C" w:rsidRDefault="00E9008A" w:rsidP="00313B2A">
            <w:pPr>
              <w:pStyle w:val="Tabletext"/>
              <w:jc w:val="center"/>
            </w:pPr>
            <w:r w:rsidRPr="003A0C5C">
              <w:t>No</w:t>
            </w:r>
          </w:p>
        </w:tc>
      </w:tr>
      <w:tr w:rsidR="003A0C5C" w:rsidRPr="003A0C5C" w14:paraId="41FCB3B1" w14:textId="77777777" w:rsidTr="00313B2A">
        <w:trPr>
          <w:jc w:val="center"/>
        </w:trPr>
        <w:tc>
          <w:tcPr>
            <w:tcW w:w="3330" w:type="dxa"/>
            <w:tcBorders>
              <w:top w:val="single" w:sz="4" w:space="0" w:color="auto"/>
            </w:tcBorders>
          </w:tcPr>
          <w:p w14:paraId="690D4B4B" w14:textId="77777777" w:rsidR="00E9008A" w:rsidRPr="003A0C5C" w:rsidRDefault="00E9008A" w:rsidP="00313B2A">
            <w:pPr>
              <w:pStyle w:val="Tabletext"/>
            </w:pPr>
            <w:r w:rsidRPr="003A0C5C">
              <w:t>e/o Wilmington Ave</w:t>
            </w:r>
          </w:p>
        </w:tc>
        <w:tc>
          <w:tcPr>
            <w:tcW w:w="1530" w:type="dxa"/>
            <w:tcBorders>
              <w:top w:val="single" w:sz="4" w:space="0" w:color="auto"/>
            </w:tcBorders>
            <w:vAlign w:val="center"/>
          </w:tcPr>
          <w:p w14:paraId="3E0E7CAC" w14:textId="77777777" w:rsidR="00E9008A" w:rsidRPr="003A0C5C" w:rsidRDefault="00E9008A" w:rsidP="00313B2A">
            <w:pPr>
              <w:pStyle w:val="Tabletext"/>
              <w:jc w:val="center"/>
            </w:pPr>
            <w:r w:rsidRPr="003A0C5C">
              <w:t>71.0</w:t>
            </w:r>
          </w:p>
        </w:tc>
        <w:tc>
          <w:tcPr>
            <w:tcW w:w="1350" w:type="dxa"/>
            <w:tcBorders>
              <w:top w:val="single" w:sz="4" w:space="0" w:color="auto"/>
            </w:tcBorders>
            <w:vAlign w:val="center"/>
          </w:tcPr>
          <w:p w14:paraId="4CD1B910" w14:textId="77777777" w:rsidR="00E9008A" w:rsidRPr="003A0C5C" w:rsidRDefault="00E9008A" w:rsidP="00313B2A">
            <w:pPr>
              <w:pStyle w:val="Tabletext"/>
              <w:jc w:val="center"/>
            </w:pPr>
            <w:r w:rsidRPr="003A0C5C">
              <w:t>71.0</w:t>
            </w:r>
          </w:p>
        </w:tc>
        <w:tc>
          <w:tcPr>
            <w:tcW w:w="1800" w:type="dxa"/>
            <w:tcBorders>
              <w:top w:val="single" w:sz="4" w:space="0" w:color="auto"/>
            </w:tcBorders>
            <w:shd w:val="clear" w:color="auto" w:fill="auto"/>
            <w:vAlign w:val="center"/>
          </w:tcPr>
          <w:p w14:paraId="24B567D7" w14:textId="77777777" w:rsidR="00E9008A" w:rsidRPr="003A0C5C" w:rsidRDefault="00E9008A" w:rsidP="00313B2A">
            <w:pPr>
              <w:pStyle w:val="Tabletext"/>
              <w:jc w:val="center"/>
            </w:pPr>
            <w:r w:rsidRPr="003A0C5C">
              <w:t>0.0</w:t>
            </w:r>
          </w:p>
        </w:tc>
        <w:tc>
          <w:tcPr>
            <w:tcW w:w="1350" w:type="dxa"/>
            <w:tcBorders>
              <w:top w:val="single" w:sz="4" w:space="0" w:color="auto"/>
            </w:tcBorders>
            <w:vAlign w:val="center"/>
          </w:tcPr>
          <w:p w14:paraId="5E5D7274" w14:textId="77777777" w:rsidR="00E9008A" w:rsidRPr="003A0C5C" w:rsidRDefault="00E9008A" w:rsidP="00313B2A">
            <w:pPr>
              <w:pStyle w:val="Tabletext"/>
              <w:jc w:val="center"/>
            </w:pPr>
            <w:r w:rsidRPr="003A0C5C">
              <w:t>No</w:t>
            </w:r>
          </w:p>
        </w:tc>
      </w:tr>
      <w:tr w:rsidR="003A0C5C" w:rsidRPr="003A0C5C" w14:paraId="1F9D49C4" w14:textId="77777777" w:rsidTr="00313B2A">
        <w:trPr>
          <w:jc w:val="center"/>
        </w:trPr>
        <w:tc>
          <w:tcPr>
            <w:tcW w:w="3330" w:type="dxa"/>
            <w:tcBorders>
              <w:top w:val="single" w:sz="4" w:space="0" w:color="auto"/>
            </w:tcBorders>
          </w:tcPr>
          <w:p w14:paraId="16866831" w14:textId="77777777" w:rsidR="00E9008A" w:rsidRPr="003A0C5C" w:rsidRDefault="00E9008A" w:rsidP="00313B2A">
            <w:pPr>
              <w:pStyle w:val="Tabletext"/>
            </w:pPr>
            <w:r w:rsidRPr="003A0C5C">
              <w:t>w/o Avalon Blvd</w:t>
            </w:r>
          </w:p>
        </w:tc>
        <w:tc>
          <w:tcPr>
            <w:tcW w:w="1530" w:type="dxa"/>
            <w:tcBorders>
              <w:top w:val="single" w:sz="4" w:space="0" w:color="auto"/>
            </w:tcBorders>
            <w:vAlign w:val="center"/>
          </w:tcPr>
          <w:p w14:paraId="3D57DFF1" w14:textId="77777777" w:rsidR="00E9008A" w:rsidRPr="003A0C5C" w:rsidRDefault="00E9008A" w:rsidP="00313B2A">
            <w:pPr>
              <w:pStyle w:val="Tabletext"/>
              <w:jc w:val="center"/>
            </w:pPr>
            <w:r w:rsidRPr="003A0C5C">
              <w:t>72.0</w:t>
            </w:r>
          </w:p>
        </w:tc>
        <w:tc>
          <w:tcPr>
            <w:tcW w:w="1350" w:type="dxa"/>
            <w:tcBorders>
              <w:top w:val="single" w:sz="4" w:space="0" w:color="auto"/>
            </w:tcBorders>
            <w:vAlign w:val="center"/>
          </w:tcPr>
          <w:p w14:paraId="6F36E69B" w14:textId="77777777" w:rsidR="00E9008A" w:rsidRPr="003A0C5C" w:rsidRDefault="00E9008A" w:rsidP="00313B2A">
            <w:pPr>
              <w:pStyle w:val="Tabletext"/>
              <w:jc w:val="center"/>
            </w:pPr>
            <w:r w:rsidRPr="003A0C5C">
              <w:t>72.0</w:t>
            </w:r>
          </w:p>
        </w:tc>
        <w:tc>
          <w:tcPr>
            <w:tcW w:w="1800" w:type="dxa"/>
            <w:tcBorders>
              <w:top w:val="single" w:sz="4" w:space="0" w:color="auto"/>
            </w:tcBorders>
            <w:shd w:val="clear" w:color="auto" w:fill="auto"/>
            <w:vAlign w:val="center"/>
          </w:tcPr>
          <w:p w14:paraId="2839C225" w14:textId="77777777" w:rsidR="00E9008A" w:rsidRPr="003A0C5C" w:rsidRDefault="00E9008A" w:rsidP="00313B2A">
            <w:pPr>
              <w:pStyle w:val="Tabletext"/>
              <w:jc w:val="center"/>
            </w:pPr>
            <w:r w:rsidRPr="003A0C5C">
              <w:t>0.0</w:t>
            </w:r>
          </w:p>
        </w:tc>
        <w:tc>
          <w:tcPr>
            <w:tcW w:w="1350" w:type="dxa"/>
            <w:tcBorders>
              <w:top w:val="single" w:sz="4" w:space="0" w:color="auto"/>
            </w:tcBorders>
            <w:vAlign w:val="center"/>
          </w:tcPr>
          <w:p w14:paraId="4AD9C667" w14:textId="77777777" w:rsidR="00E9008A" w:rsidRPr="003A0C5C" w:rsidRDefault="00E9008A" w:rsidP="00313B2A">
            <w:pPr>
              <w:pStyle w:val="Tabletext"/>
              <w:jc w:val="center"/>
            </w:pPr>
            <w:r w:rsidRPr="003A0C5C">
              <w:t>No</w:t>
            </w:r>
          </w:p>
        </w:tc>
      </w:tr>
      <w:tr w:rsidR="003A0C5C" w:rsidRPr="003A0C5C" w14:paraId="0D6273D8" w14:textId="77777777" w:rsidTr="00313B2A">
        <w:trPr>
          <w:jc w:val="center"/>
        </w:trPr>
        <w:tc>
          <w:tcPr>
            <w:tcW w:w="3330" w:type="dxa"/>
            <w:tcBorders>
              <w:top w:val="single" w:sz="4" w:space="0" w:color="auto"/>
            </w:tcBorders>
          </w:tcPr>
          <w:p w14:paraId="7023B0B4" w14:textId="77777777" w:rsidR="00E9008A" w:rsidRPr="003A0C5C" w:rsidRDefault="00E9008A" w:rsidP="00434F8A">
            <w:pPr>
              <w:pStyle w:val="Tablerowheading"/>
            </w:pPr>
            <w:r w:rsidRPr="003A0C5C">
              <w:t>I-405 NB Ramps</w:t>
            </w:r>
          </w:p>
        </w:tc>
        <w:tc>
          <w:tcPr>
            <w:tcW w:w="1530" w:type="dxa"/>
            <w:tcBorders>
              <w:top w:val="single" w:sz="4" w:space="0" w:color="auto"/>
            </w:tcBorders>
            <w:vAlign w:val="center"/>
          </w:tcPr>
          <w:p w14:paraId="243ED4B1" w14:textId="77777777" w:rsidR="00E9008A" w:rsidRPr="003A0C5C" w:rsidRDefault="00E9008A" w:rsidP="00434F8A">
            <w:pPr>
              <w:pStyle w:val="Tablerowheading"/>
            </w:pPr>
          </w:p>
        </w:tc>
        <w:tc>
          <w:tcPr>
            <w:tcW w:w="1350" w:type="dxa"/>
            <w:tcBorders>
              <w:top w:val="single" w:sz="4" w:space="0" w:color="auto"/>
            </w:tcBorders>
            <w:vAlign w:val="center"/>
          </w:tcPr>
          <w:p w14:paraId="197241FA" w14:textId="77777777" w:rsidR="00E9008A" w:rsidRPr="003A0C5C" w:rsidRDefault="00E9008A" w:rsidP="00434F8A">
            <w:pPr>
              <w:pStyle w:val="Tablerowheading"/>
            </w:pPr>
          </w:p>
        </w:tc>
        <w:tc>
          <w:tcPr>
            <w:tcW w:w="1800" w:type="dxa"/>
            <w:tcBorders>
              <w:top w:val="single" w:sz="4" w:space="0" w:color="auto"/>
            </w:tcBorders>
            <w:shd w:val="clear" w:color="auto" w:fill="auto"/>
            <w:vAlign w:val="center"/>
          </w:tcPr>
          <w:p w14:paraId="4F59C5B9" w14:textId="77777777" w:rsidR="00E9008A" w:rsidRPr="003A0C5C" w:rsidRDefault="00E9008A" w:rsidP="00434F8A">
            <w:pPr>
              <w:pStyle w:val="Tablerowheading"/>
            </w:pPr>
          </w:p>
        </w:tc>
        <w:tc>
          <w:tcPr>
            <w:tcW w:w="1350" w:type="dxa"/>
            <w:tcBorders>
              <w:top w:val="single" w:sz="4" w:space="0" w:color="auto"/>
            </w:tcBorders>
            <w:vAlign w:val="center"/>
          </w:tcPr>
          <w:p w14:paraId="420322FF" w14:textId="77777777" w:rsidR="00E9008A" w:rsidRPr="003A0C5C" w:rsidRDefault="00E9008A" w:rsidP="00434F8A">
            <w:pPr>
              <w:pStyle w:val="Tablerowheading"/>
            </w:pPr>
          </w:p>
        </w:tc>
      </w:tr>
      <w:tr w:rsidR="003A0C5C" w:rsidRPr="003A0C5C" w14:paraId="13766178" w14:textId="77777777" w:rsidTr="00313B2A">
        <w:trPr>
          <w:jc w:val="center"/>
        </w:trPr>
        <w:tc>
          <w:tcPr>
            <w:tcW w:w="3330" w:type="dxa"/>
            <w:tcBorders>
              <w:top w:val="single" w:sz="4" w:space="0" w:color="auto"/>
            </w:tcBorders>
          </w:tcPr>
          <w:p w14:paraId="1502EBD4" w14:textId="77777777" w:rsidR="00E9008A" w:rsidRPr="003A0C5C" w:rsidRDefault="00E9008A" w:rsidP="00313B2A">
            <w:pPr>
              <w:pStyle w:val="Tabletext"/>
            </w:pPr>
            <w:r w:rsidRPr="003A0C5C">
              <w:t>n/o Carson St</w:t>
            </w:r>
          </w:p>
        </w:tc>
        <w:tc>
          <w:tcPr>
            <w:tcW w:w="1530" w:type="dxa"/>
            <w:tcBorders>
              <w:top w:val="single" w:sz="4" w:space="0" w:color="auto"/>
            </w:tcBorders>
            <w:vAlign w:val="center"/>
          </w:tcPr>
          <w:p w14:paraId="2C1DECFF" w14:textId="77777777" w:rsidR="00E9008A" w:rsidRPr="003A0C5C" w:rsidRDefault="00E9008A" w:rsidP="00313B2A">
            <w:pPr>
              <w:pStyle w:val="Tabletext"/>
              <w:jc w:val="center"/>
            </w:pPr>
            <w:r w:rsidRPr="003A0C5C">
              <w:t>68.8</w:t>
            </w:r>
          </w:p>
        </w:tc>
        <w:tc>
          <w:tcPr>
            <w:tcW w:w="1350" w:type="dxa"/>
            <w:tcBorders>
              <w:top w:val="single" w:sz="4" w:space="0" w:color="auto"/>
            </w:tcBorders>
            <w:vAlign w:val="center"/>
          </w:tcPr>
          <w:p w14:paraId="1319C955" w14:textId="77777777" w:rsidR="00E9008A" w:rsidRPr="003A0C5C" w:rsidRDefault="00E9008A" w:rsidP="00313B2A">
            <w:pPr>
              <w:pStyle w:val="Tabletext"/>
              <w:jc w:val="center"/>
            </w:pPr>
            <w:r w:rsidRPr="003A0C5C">
              <w:t>68.9</w:t>
            </w:r>
          </w:p>
        </w:tc>
        <w:tc>
          <w:tcPr>
            <w:tcW w:w="1800" w:type="dxa"/>
            <w:tcBorders>
              <w:top w:val="single" w:sz="4" w:space="0" w:color="auto"/>
            </w:tcBorders>
            <w:shd w:val="clear" w:color="auto" w:fill="auto"/>
            <w:vAlign w:val="center"/>
          </w:tcPr>
          <w:p w14:paraId="5F4D7B6C" w14:textId="77777777" w:rsidR="00E9008A" w:rsidRPr="003A0C5C" w:rsidRDefault="00E9008A" w:rsidP="00313B2A">
            <w:pPr>
              <w:pStyle w:val="Tabletext"/>
              <w:jc w:val="center"/>
            </w:pPr>
            <w:r w:rsidRPr="003A0C5C">
              <w:t>0.1</w:t>
            </w:r>
          </w:p>
        </w:tc>
        <w:tc>
          <w:tcPr>
            <w:tcW w:w="1350" w:type="dxa"/>
            <w:tcBorders>
              <w:top w:val="single" w:sz="4" w:space="0" w:color="auto"/>
            </w:tcBorders>
            <w:vAlign w:val="center"/>
          </w:tcPr>
          <w:p w14:paraId="3A84CB41" w14:textId="77777777" w:rsidR="00E9008A" w:rsidRPr="003A0C5C" w:rsidRDefault="00E9008A" w:rsidP="00313B2A">
            <w:pPr>
              <w:pStyle w:val="Tabletext"/>
              <w:jc w:val="center"/>
            </w:pPr>
            <w:r w:rsidRPr="003A0C5C">
              <w:t>No</w:t>
            </w:r>
          </w:p>
        </w:tc>
      </w:tr>
      <w:tr w:rsidR="003A0C5C" w:rsidRPr="003A0C5C" w14:paraId="3FCE1047" w14:textId="77777777" w:rsidTr="00313B2A">
        <w:trPr>
          <w:jc w:val="center"/>
        </w:trPr>
        <w:tc>
          <w:tcPr>
            <w:tcW w:w="3330" w:type="dxa"/>
            <w:tcBorders>
              <w:top w:val="single" w:sz="4" w:space="0" w:color="auto"/>
            </w:tcBorders>
          </w:tcPr>
          <w:p w14:paraId="3F85FECD" w14:textId="77777777" w:rsidR="00E9008A" w:rsidRPr="003A0C5C" w:rsidRDefault="00E9008A" w:rsidP="00313B2A">
            <w:pPr>
              <w:pStyle w:val="Tabletext"/>
            </w:pPr>
            <w:r w:rsidRPr="003A0C5C">
              <w:t>s/o Carson St</w:t>
            </w:r>
          </w:p>
        </w:tc>
        <w:tc>
          <w:tcPr>
            <w:tcW w:w="1530" w:type="dxa"/>
            <w:tcBorders>
              <w:top w:val="single" w:sz="4" w:space="0" w:color="auto"/>
            </w:tcBorders>
            <w:vAlign w:val="center"/>
          </w:tcPr>
          <w:p w14:paraId="128CDFE2" w14:textId="77777777" w:rsidR="00E9008A" w:rsidRPr="003A0C5C" w:rsidRDefault="00E9008A" w:rsidP="00313B2A">
            <w:pPr>
              <w:pStyle w:val="Tabletext"/>
              <w:jc w:val="center"/>
            </w:pPr>
            <w:r w:rsidRPr="003A0C5C">
              <w:t>61.0</w:t>
            </w:r>
          </w:p>
        </w:tc>
        <w:tc>
          <w:tcPr>
            <w:tcW w:w="1350" w:type="dxa"/>
            <w:tcBorders>
              <w:top w:val="single" w:sz="4" w:space="0" w:color="auto"/>
            </w:tcBorders>
            <w:vAlign w:val="center"/>
          </w:tcPr>
          <w:p w14:paraId="417599AC" w14:textId="77777777" w:rsidR="00E9008A" w:rsidRPr="003A0C5C" w:rsidRDefault="00E9008A" w:rsidP="00313B2A">
            <w:pPr>
              <w:pStyle w:val="Tabletext"/>
              <w:jc w:val="center"/>
            </w:pPr>
            <w:r w:rsidRPr="003A0C5C">
              <w:t>61.0</w:t>
            </w:r>
          </w:p>
        </w:tc>
        <w:tc>
          <w:tcPr>
            <w:tcW w:w="1800" w:type="dxa"/>
            <w:tcBorders>
              <w:top w:val="single" w:sz="4" w:space="0" w:color="auto"/>
            </w:tcBorders>
            <w:shd w:val="clear" w:color="auto" w:fill="auto"/>
            <w:vAlign w:val="center"/>
          </w:tcPr>
          <w:p w14:paraId="57953AA4" w14:textId="77777777" w:rsidR="00E9008A" w:rsidRPr="003A0C5C" w:rsidRDefault="00E9008A" w:rsidP="00313B2A">
            <w:pPr>
              <w:pStyle w:val="Tabletext"/>
              <w:jc w:val="center"/>
            </w:pPr>
            <w:r w:rsidRPr="003A0C5C">
              <w:t>0.0</w:t>
            </w:r>
          </w:p>
        </w:tc>
        <w:tc>
          <w:tcPr>
            <w:tcW w:w="1350" w:type="dxa"/>
            <w:tcBorders>
              <w:top w:val="single" w:sz="4" w:space="0" w:color="auto"/>
            </w:tcBorders>
            <w:vAlign w:val="center"/>
          </w:tcPr>
          <w:p w14:paraId="12F799A5" w14:textId="77777777" w:rsidR="00E9008A" w:rsidRPr="003A0C5C" w:rsidRDefault="00E9008A" w:rsidP="00313B2A">
            <w:pPr>
              <w:pStyle w:val="Tabletext"/>
              <w:jc w:val="center"/>
            </w:pPr>
            <w:r w:rsidRPr="003A0C5C">
              <w:t>No</w:t>
            </w:r>
          </w:p>
        </w:tc>
      </w:tr>
      <w:tr w:rsidR="003A0C5C" w:rsidRPr="003A0C5C" w14:paraId="407E1158" w14:textId="77777777" w:rsidTr="00313B2A">
        <w:trPr>
          <w:jc w:val="center"/>
        </w:trPr>
        <w:tc>
          <w:tcPr>
            <w:tcW w:w="3330" w:type="dxa"/>
            <w:tcBorders>
              <w:top w:val="single" w:sz="4" w:space="0" w:color="auto"/>
            </w:tcBorders>
          </w:tcPr>
          <w:p w14:paraId="5F535C9E" w14:textId="77777777" w:rsidR="00E9008A" w:rsidRPr="003A0C5C" w:rsidRDefault="00E9008A" w:rsidP="00434F8A">
            <w:pPr>
              <w:pStyle w:val="Tablerowheading"/>
            </w:pPr>
            <w:r w:rsidRPr="003A0C5C">
              <w:t>I-405 SB Ramps</w:t>
            </w:r>
          </w:p>
        </w:tc>
        <w:tc>
          <w:tcPr>
            <w:tcW w:w="1530" w:type="dxa"/>
            <w:tcBorders>
              <w:top w:val="single" w:sz="4" w:space="0" w:color="auto"/>
            </w:tcBorders>
            <w:vAlign w:val="center"/>
          </w:tcPr>
          <w:p w14:paraId="1C14F7A9" w14:textId="77777777" w:rsidR="00E9008A" w:rsidRPr="003A0C5C" w:rsidRDefault="00E9008A" w:rsidP="00434F8A">
            <w:pPr>
              <w:pStyle w:val="Tablerowheading"/>
            </w:pPr>
          </w:p>
        </w:tc>
        <w:tc>
          <w:tcPr>
            <w:tcW w:w="1350" w:type="dxa"/>
            <w:tcBorders>
              <w:top w:val="single" w:sz="4" w:space="0" w:color="auto"/>
            </w:tcBorders>
            <w:vAlign w:val="center"/>
          </w:tcPr>
          <w:p w14:paraId="6B6DD533" w14:textId="77777777" w:rsidR="00E9008A" w:rsidRPr="003A0C5C" w:rsidRDefault="00E9008A" w:rsidP="00434F8A">
            <w:pPr>
              <w:pStyle w:val="Tablerowheading"/>
            </w:pPr>
          </w:p>
        </w:tc>
        <w:tc>
          <w:tcPr>
            <w:tcW w:w="1800" w:type="dxa"/>
            <w:tcBorders>
              <w:top w:val="single" w:sz="4" w:space="0" w:color="auto"/>
            </w:tcBorders>
            <w:shd w:val="clear" w:color="auto" w:fill="auto"/>
            <w:vAlign w:val="center"/>
          </w:tcPr>
          <w:p w14:paraId="6F98F851" w14:textId="77777777" w:rsidR="00E9008A" w:rsidRPr="003A0C5C" w:rsidRDefault="00E9008A" w:rsidP="00434F8A">
            <w:pPr>
              <w:pStyle w:val="Tablerowheading"/>
            </w:pPr>
          </w:p>
        </w:tc>
        <w:tc>
          <w:tcPr>
            <w:tcW w:w="1350" w:type="dxa"/>
            <w:tcBorders>
              <w:top w:val="single" w:sz="4" w:space="0" w:color="auto"/>
            </w:tcBorders>
            <w:vAlign w:val="center"/>
          </w:tcPr>
          <w:p w14:paraId="5A7B1FC1" w14:textId="77777777" w:rsidR="00E9008A" w:rsidRPr="003A0C5C" w:rsidRDefault="00E9008A" w:rsidP="00434F8A">
            <w:pPr>
              <w:pStyle w:val="Tablerowheading"/>
            </w:pPr>
          </w:p>
        </w:tc>
      </w:tr>
      <w:tr w:rsidR="003A0C5C" w:rsidRPr="003A0C5C" w14:paraId="4F40395F" w14:textId="77777777" w:rsidTr="00313B2A">
        <w:trPr>
          <w:jc w:val="center"/>
        </w:trPr>
        <w:tc>
          <w:tcPr>
            <w:tcW w:w="3330" w:type="dxa"/>
            <w:tcBorders>
              <w:top w:val="single" w:sz="4" w:space="0" w:color="auto"/>
            </w:tcBorders>
          </w:tcPr>
          <w:p w14:paraId="3F6C3BD4" w14:textId="77777777" w:rsidR="00E9008A" w:rsidRPr="003A0C5C" w:rsidRDefault="00E9008A" w:rsidP="00313B2A">
            <w:pPr>
              <w:pStyle w:val="Tabletext"/>
            </w:pPr>
            <w:r w:rsidRPr="003A0C5C">
              <w:t>n/o Carson St</w:t>
            </w:r>
          </w:p>
        </w:tc>
        <w:tc>
          <w:tcPr>
            <w:tcW w:w="1530" w:type="dxa"/>
            <w:tcBorders>
              <w:top w:val="single" w:sz="4" w:space="0" w:color="auto"/>
            </w:tcBorders>
            <w:vAlign w:val="center"/>
          </w:tcPr>
          <w:p w14:paraId="36400C35" w14:textId="77777777" w:rsidR="00E9008A" w:rsidRPr="003A0C5C" w:rsidRDefault="00E9008A" w:rsidP="00313B2A">
            <w:pPr>
              <w:pStyle w:val="Tabletext"/>
              <w:jc w:val="center"/>
            </w:pPr>
            <w:r w:rsidRPr="003A0C5C">
              <w:t>47.3</w:t>
            </w:r>
          </w:p>
        </w:tc>
        <w:tc>
          <w:tcPr>
            <w:tcW w:w="1350" w:type="dxa"/>
            <w:tcBorders>
              <w:top w:val="single" w:sz="4" w:space="0" w:color="auto"/>
            </w:tcBorders>
            <w:vAlign w:val="center"/>
          </w:tcPr>
          <w:p w14:paraId="52211F13" w14:textId="77777777" w:rsidR="00E9008A" w:rsidRPr="003A0C5C" w:rsidRDefault="00E9008A" w:rsidP="00313B2A">
            <w:pPr>
              <w:pStyle w:val="Tabletext"/>
              <w:jc w:val="center"/>
            </w:pPr>
            <w:r w:rsidRPr="003A0C5C">
              <w:t>47.3</w:t>
            </w:r>
          </w:p>
        </w:tc>
        <w:tc>
          <w:tcPr>
            <w:tcW w:w="1800" w:type="dxa"/>
            <w:tcBorders>
              <w:top w:val="single" w:sz="4" w:space="0" w:color="auto"/>
            </w:tcBorders>
            <w:shd w:val="clear" w:color="auto" w:fill="auto"/>
            <w:vAlign w:val="center"/>
          </w:tcPr>
          <w:p w14:paraId="5BB2033A" w14:textId="77777777" w:rsidR="00E9008A" w:rsidRPr="003A0C5C" w:rsidRDefault="00E9008A" w:rsidP="00313B2A">
            <w:pPr>
              <w:pStyle w:val="Tabletext"/>
              <w:jc w:val="center"/>
            </w:pPr>
            <w:r w:rsidRPr="003A0C5C">
              <w:t>0.0</w:t>
            </w:r>
          </w:p>
        </w:tc>
        <w:tc>
          <w:tcPr>
            <w:tcW w:w="1350" w:type="dxa"/>
            <w:tcBorders>
              <w:top w:val="single" w:sz="4" w:space="0" w:color="auto"/>
            </w:tcBorders>
            <w:vAlign w:val="center"/>
          </w:tcPr>
          <w:p w14:paraId="5732B46A" w14:textId="77777777" w:rsidR="00E9008A" w:rsidRPr="003A0C5C" w:rsidRDefault="00E9008A" w:rsidP="00313B2A">
            <w:pPr>
              <w:pStyle w:val="Tabletext"/>
              <w:jc w:val="center"/>
            </w:pPr>
            <w:r w:rsidRPr="003A0C5C">
              <w:t>No</w:t>
            </w:r>
          </w:p>
        </w:tc>
      </w:tr>
      <w:tr w:rsidR="003A0C5C" w:rsidRPr="003A0C5C" w14:paraId="55FA84BA" w14:textId="77777777" w:rsidTr="00313B2A">
        <w:trPr>
          <w:jc w:val="center"/>
        </w:trPr>
        <w:tc>
          <w:tcPr>
            <w:tcW w:w="3330" w:type="dxa"/>
            <w:tcBorders>
              <w:top w:val="single" w:sz="4" w:space="0" w:color="auto"/>
            </w:tcBorders>
          </w:tcPr>
          <w:p w14:paraId="6DE5DCCE" w14:textId="77777777" w:rsidR="00E9008A" w:rsidRPr="003A0C5C" w:rsidRDefault="00E9008A" w:rsidP="00313B2A">
            <w:pPr>
              <w:pStyle w:val="Tabletext"/>
            </w:pPr>
            <w:r w:rsidRPr="003A0C5C">
              <w:t>s/o Carson St</w:t>
            </w:r>
          </w:p>
        </w:tc>
        <w:tc>
          <w:tcPr>
            <w:tcW w:w="1530" w:type="dxa"/>
            <w:tcBorders>
              <w:top w:val="single" w:sz="4" w:space="0" w:color="auto"/>
            </w:tcBorders>
            <w:vAlign w:val="center"/>
          </w:tcPr>
          <w:p w14:paraId="2654CF3C" w14:textId="77777777" w:rsidR="00E9008A" w:rsidRPr="003A0C5C" w:rsidRDefault="00E9008A" w:rsidP="00313B2A">
            <w:pPr>
              <w:pStyle w:val="Tabletext"/>
              <w:jc w:val="center"/>
            </w:pPr>
            <w:r w:rsidRPr="003A0C5C">
              <w:t>69.1</w:t>
            </w:r>
          </w:p>
        </w:tc>
        <w:tc>
          <w:tcPr>
            <w:tcW w:w="1350" w:type="dxa"/>
            <w:tcBorders>
              <w:top w:val="single" w:sz="4" w:space="0" w:color="auto"/>
            </w:tcBorders>
            <w:vAlign w:val="center"/>
          </w:tcPr>
          <w:p w14:paraId="1E9F0924" w14:textId="77777777" w:rsidR="00E9008A" w:rsidRPr="003A0C5C" w:rsidRDefault="00E9008A" w:rsidP="00313B2A">
            <w:pPr>
              <w:pStyle w:val="Tabletext"/>
              <w:jc w:val="center"/>
            </w:pPr>
            <w:r w:rsidRPr="003A0C5C">
              <w:t>69.1</w:t>
            </w:r>
          </w:p>
        </w:tc>
        <w:tc>
          <w:tcPr>
            <w:tcW w:w="1800" w:type="dxa"/>
            <w:tcBorders>
              <w:top w:val="single" w:sz="4" w:space="0" w:color="auto"/>
            </w:tcBorders>
            <w:shd w:val="clear" w:color="auto" w:fill="auto"/>
            <w:vAlign w:val="center"/>
          </w:tcPr>
          <w:p w14:paraId="562E6379" w14:textId="77777777" w:rsidR="00E9008A" w:rsidRPr="003A0C5C" w:rsidRDefault="00E9008A" w:rsidP="00313B2A">
            <w:pPr>
              <w:pStyle w:val="Tabletext"/>
              <w:jc w:val="center"/>
            </w:pPr>
            <w:r w:rsidRPr="003A0C5C">
              <w:t>0.0</w:t>
            </w:r>
          </w:p>
        </w:tc>
        <w:tc>
          <w:tcPr>
            <w:tcW w:w="1350" w:type="dxa"/>
            <w:tcBorders>
              <w:top w:val="single" w:sz="4" w:space="0" w:color="auto"/>
            </w:tcBorders>
            <w:vAlign w:val="center"/>
          </w:tcPr>
          <w:p w14:paraId="4CAAF80A" w14:textId="77777777" w:rsidR="00E9008A" w:rsidRPr="003A0C5C" w:rsidRDefault="00E9008A" w:rsidP="00313B2A">
            <w:pPr>
              <w:pStyle w:val="Tabletext"/>
              <w:jc w:val="center"/>
            </w:pPr>
            <w:r w:rsidRPr="003A0C5C">
              <w:t>No</w:t>
            </w:r>
          </w:p>
        </w:tc>
      </w:tr>
      <w:tr w:rsidR="003A0C5C" w:rsidRPr="003A0C5C" w14:paraId="6B72BEA6" w14:textId="77777777" w:rsidTr="00313B2A">
        <w:trPr>
          <w:jc w:val="center"/>
        </w:trPr>
        <w:tc>
          <w:tcPr>
            <w:tcW w:w="3330" w:type="dxa"/>
            <w:tcBorders>
              <w:top w:val="single" w:sz="4" w:space="0" w:color="auto"/>
            </w:tcBorders>
          </w:tcPr>
          <w:p w14:paraId="06C2BF65" w14:textId="77777777" w:rsidR="00E9008A" w:rsidRPr="003A0C5C" w:rsidRDefault="00E9008A" w:rsidP="00434F8A">
            <w:pPr>
              <w:pStyle w:val="Tablerowheading"/>
            </w:pPr>
            <w:r w:rsidRPr="003A0C5C">
              <w:t>Perry St</w:t>
            </w:r>
          </w:p>
        </w:tc>
        <w:tc>
          <w:tcPr>
            <w:tcW w:w="1530" w:type="dxa"/>
            <w:tcBorders>
              <w:top w:val="single" w:sz="4" w:space="0" w:color="auto"/>
            </w:tcBorders>
            <w:vAlign w:val="center"/>
          </w:tcPr>
          <w:p w14:paraId="783547C6" w14:textId="77777777" w:rsidR="00E9008A" w:rsidRPr="003A0C5C" w:rsidRDefault="00E9008A" w:rsidP="00434F8A">
            <w:pPr>
              <w:pStyle w:val="Tablerowheading"/>
            </w:pPr>
          </w:p>
        </w:tc>
        <w:tc>
          <w:tcPr>
            <w:tcW w:w="1350" w:type="dxa"/>
            <w:tcBorders>
              <w:top w:val="single" w:sz="4" w:space="0" w:color="auto"/>
            </w:tcBorders>
            <w:vAlign w:val="center"/>
          </w:tcPr>
          <w:p w14:paraId="2F0F7F13" w14:textId="77777777" w:rsidR="00E9008A" w:rsidRPr="003A0C5C" w:rsidRDefault="00E9008A" w:rsidP="00434F8A">
            <w:pPr>
              <w:pStyle w:val="Tablerowheading"/>
            </w:pPr>
          </w:p>
        </w:tc>
        <w:tc>
          <w:tcPr>
            <w:tcW w:w="1800" w:type="dxa"/>
            <w:tcBorders>
              <w:top w:val="single" w:sz="4" w:space="0" w:color="auto"/>
            </w:tcBorders>
            <w:shd w:val="clear" w:color="auto" w:fill="auto"/>
            <w:vAlign w:val="center"/>
          </w:tcPr>
          <w:p w14:paraId="008AD765" w14:textId="77777777" w:rsidR="00E9008A" w:rsidRPr="003A0C5C" w:rsidRDefault="00E9008A" w:rsidP="00434F8A">
            <w:pPr>
              <w:pStyle w:val="Tablerowheading"/>
            </w:pPr>
          </w:p>
        </w:tc>
        <w:tc>
          <w:tcPr>
            <w:tcW w:w="1350" w:type="dxa"/>
            <w:tcBorders>
              <w:top w:val="single" w:sz="4" w:space="0" w:color="auto"/>
            </w:tcBorders>
            <w:vAlign w:val="center"/>
          </w:tcPr>
          <w:p w14:paraId="6975E8D9" w14:textId="77777777" w:rsidR="00E9008A" w:rsidRPr="003A0C5C" w:rsidRDefault="00E9008A" w:rsidP="00434F8A">
            <w:pPr>
              <w:pStyle w:val="Tablerowheading"/>
            </w:pPr>
          </w:p>
        </w:tc>
      </w:tr>
      <w:tr w:rsidR="003A0C5C" w:rsidRPr="003A0C5C" w14:paraId="1E7EF479" w14:textId="77777777" w:rsidTr="00313B2A">
        <w:trPr>
          <w:jc w:val="center"/>
        </w:trPr>
        <w:tc>
          <w:tcPr>
            <w:tcW w:w="3330" w:type="dxa"/>
            <w:tcBorders>
              <w:top w:val="single" w:sz="4" w:space="0" w:color="auto"/>
            </w:tcBorders>
          </w:tcPr>
          <w:p w14:paraId="2C08C83D" w14:textId="05AE11D8" w:rsidR="00E9008A" w:rsidRPr="003A0C5C" w:rsidRDefault="00C9208D" w:rsidP="00313B2A">
            <w:pPr>
              <w:pStyle w:val="Tabletext"/>
            </w:pPr>
            <w:proofErr w:type="spellStart"/>
            <w:r w:rsidRPr="003A0C5C">
              <w:t>b</w:t>
            </w:r>
            <w:r w:rsidR="00E9008A" w:rsidRPr="003A0C5C">
              <w:t>twn</w:t>
            </w:r>
            <w:proofErr w:type="spellEnd"/>
            <w:r w:rsidR="00E9008A" w:rsidRPr="003A0C5C">
              <w:t xml:space="preserve"> Project Driveway and Carson St</w:t>
            </w:r>
          </w:p>
        </w:tc>
        <w:tc>
          <w:tcPr>
            <w:tcW w:w="1530" w:type="dxa"/>
            <w:tcBorders>
              <w:top w:val="single" w:sz="4" w:space="0" w:color="auto"/>
            </w:tcBorders>
            <w:vAlign w:val="center"/>
          </w:tcPr>
          <w:p w14:paraId="67F68F38" w14:textId="77777777" w:rsidR="00E9008A" w:rsidRPr="003A0C5C" w:rsidRDefault="00E9008A" w:rsidP="00313B2A">
            <w:pPr>
              <w:pStyle w:val="Tabletext"/>
              <w:jc w:val="center"/>
            </w:pPr>
            <w:r w:rsidRPr="003A0C5C">
              <w:t>58.4</w:t>
            </w:r>
          </w:p>
        </w:tc>
        <w:tc>
          <w:tcPr>
            <w:tcW w:w="1350" w:type="dxa"/>
            <w:tcBorders>
              <w:top w:val="single" w:sz="4" w:space="0" w:color="auto"/>
            </w:tcBorders>
            <w:vAlign w:val="center"/>
          </w:tcPr>
          <w:p w14:paraId="78E146FC" w14:textId="77777777" w:rsidR="00E9008A" w:rsidRPr="003A0C5C" w:rsidRDefault="00E9008A" w:rsidP="00313B2A">
            <w:pPr>
              <w:pStyle w:val="Tabletext"/>
              <w:jc w:val="center"/>
            </w:pPr>
            <w:r w:rsidRPr="003A0C5C">
              <w:t>59.0</w:t>
            </w:r>
          </w:p>
        </w:tc>
        <w:tc>
          <w:tcPr>
            <w:tcW w:w="1800" w:type="dxa"/>
            <w:tcBorders>
              <w:top w:val="single" w:sz="4" w:space="0" w:color="auto"/>
            </w:tcBorders>
            <w:shd w:val="clear" w:color="auto" w:fill="auto"/>
            <w:vAlign w:val="center"/>
          </w:tcPr>
          <w:p w14:paraId="756D241C" w14:textId="77777777" w:rsidR="00E9008A" w:rsidRPr="003A0C5C" w:rsidRDefault="00E9008A" w:rsidP="00313B2A">
            <w:pPr>
              <w:pStyle w:val="Tabletext"/>
              <w:jc w:val="center"/>
            </w:pPr>
            <w:r w:rsidRPr="003A0C5C">
              <w:t>0.6</w:t>
            </w:r>
          </w:p>
        </w:tc>
        <w:tc>
          <w:tcPr>
            <w:tcW w:w="1350" w:type="dxa"/>
            <w:tcBorders>
              <w:top w:val="single" w:sz="4" w:space="0" w:color="auto"/>
            </w:tcBorders>
            <w:vAlign w:val="center"/>
          </w:tcPr>
          <w:p w14:paraId="770F3C08" w14:textId="77777777" w:rsidR="00E9008A" w:rsidRPr="003A0C5C" w:rsidRDefault="00E9008A" w:rsidP="00313B2A">
            <w:pPr>
              <w:pStyle w:val="Tabletext"/>
              <w:jc w:val="center"/>
            </w:pPr>
            <w:r w:rsidRPr="003A0C5C">
              <w:t>No</w:t>
            </w:r>
          </w:p>
        </w:tc>
      </w:tr>
      <w:tr w:rsidR="003A0C5C" w:rsidRPr="003A0C5C" w14:paraId="31F05EF4" w14:textId="77777777" w:rsidTr="00313B2A">
        <w:trPr>
          <w:jc w:val="center"/>
        </w:trPr>
        <w:tc>
          <w:tcPr>
            <w:tcW w:w="3330" w:type="dxa"/>
            <w:tcBorders>
              <w:top w:val="single" w:sz="4" w:space="0" w:color="auto"/>
            </w:tcBorders>
          </w:tcPr>
          <w:p w14:paraId="07757949" w14:textId="77777777" w:rsidR="00E9008A" w:rsidRPr="003A0C5C" w:rsidRDefault="00E9008A" w:rsidP="00313B2A">
            <w:pPr>
              <w:pStyle w:val="Tabletext"/>
            </w:pPr>
            <w:r w:rsidRPr="003A0C5C">
              <w:t>n/o Project Driveway</w:t>
            </w:r>
          </w:p>
        </w:tc>
        <w:tc>
          <w:tcPr>
            <w:tcW w:w="1530" w:type="dxa"/>
            <w:tcBorders>
              <w:top w:val="single" w:sz="4" w:space="0" w:color="auto"/>
            </w:tcBorders>
            <w:vAlign w:val="center"/>
          </w:tcPr>
          <w:p w14:paraId="40BAA941" w14:textId="77777777" w:rsidR="00E9008A" w:rsidRPr="003A0C5C" w:rsidRDefault="00E9008A" w:rsidP="00313B2A">
            <w:pPr>
              <w:pStyle w:val="Tabletext"/>
              <w:jc w:val="center"/>
            </w:pPr>
            <w:r w:rsidRPr="003A0C5C">
              <w:t>58.3</w:t>
            </w:r>
          </w:p>
        </w:tc>
        <w:tc>
          <w:tcPr>
            <w:tcW w:w="1350" w:type="dxa"/>
            <w:tcBorders>
              <w:top w:val="single" w:sz="4" w:space="0" w:color="auto"/>
            </w:tcBorders>
            <w:vAlign w:val="center"/>
          </w:tcPr>
          <w:p w14:paraId="53FC043E" w14:textId="77777777" w:rsidR="00E9008A" w:rsidRPr="003A0C5C" w:rsidRDefault="00E9008A" w:rsidP="00313B2A">
            <w:pPr>
              <w:pStyle w:val="Tabletext"/>
              <w:jc w:val="center"/>
            </w:pPr>
            <w:r w:rsidRPr="003A0C5C">
              <w:t>58.4</w:t>
            </w:r>
          </w:p>
        </w:tc>
        <w:tc>
          <w:tcPr>
            <w:tcW w:w="1800" w:type="dxa"/>
            <w:tcBorders>
              <w:top w:val="single" w:sz="4" w:space="0" w:color="auto"/>
            </w:tcBorders>
            <w:shd w:val="clear" w:color="auto" w:fill="auto"/>
            <w:vAlign w:val="center"/>
          </w:tcPr>
          <w:p w14:paraId="063BB25E" w14:textId="77777777" w:rsidR="00E9008A" w:rsidRPr="003A0C5C" w:rsidRDefault="00E9008A" w:rsidP="00313B2A">
            <w:pPr>
              <w:pStyle w:val="Tabletext"/>
              <w:jc w:val="center"/>
            </w:pPr>
            <w:r w:rsidRPr="003A0C5C">
              <w:t>0.1</w:t>
            </w:r>
          </w:p>
        </w:tc>
        <w:tc>
          <w:tcPr>
            <w:tcW w:w="1350" w:type="dxa"/>
            <w:tcBorders>
              <w:top w:val="single" w:sz="4" w:space="0" w:color="auto"/>
            </w:tcBorders>
            <w:vAlign w:val="center"/>
          </w:tcPr>
          <w:p w14:paraId="3B366C95" w14:textId="77777777" w:rsidR="00E9008A" w:rsidRPr="003A0C5C" w:rsidRDefault="00E9008A" w:rsidP="00313B2A">
            <w:pPr>
              <w:pStyle w:val="Tabletext"/>
              <w:jc w:val="center"/>
            </w:pPr>
            <w:r w:rsidRPr="003A0C5C">
              <w:t>No</w:t>
            </w:r>
          </w:p>
        </w:tc>
      </w:tr>
      <w:tr w:rsidR="003A0C5C" w:rsidRPr="003A0C5C" w14:paraId="69ED2B2A" w14:textId="77777777" w:rsidTr="00313B2A">
        <w:trPr>
          <w:jc w:val="center"/>
        </w:trPr>
        <w:tc>
          <w:tcPr>
            <w:tcW w:w="3330" w:type="dxa"/>
            <w:tcBorders>
              <w:top w:val="single" w:sz="4" w:space="0" w:color="auto"/>
            </w:tcBorders>
          </w:tcPr>
          <w:p w14:paraId="6D7793C6" w14:textId="77777777" w:rsidR="00E9008A" w:rsidRPr="003A0C5C" w:rsidRDefault="00E9008A" w:rsidP="00434F8A">
            <w:pPr>
              <w:pStyle w:val="Tablerowheading"/>
            </w:pPr>
            <w:r w:rsidRPr="003A0C5C">
              <w:t>Wilmington Ave</w:t>
            </w:r>
          </w:p>
        </w:tc>
        <w:tc>
          <w:tcPr>
            <w:tcW w:w="1530" w:type="dxa"/>
            <w:tcBorders>
              <w:top w:val="single" w:sz="4" w:space="0" w:color="auto"/>
            </w:tcBorders>
            <w:vAlign w:val="center"/>
          </w:tcPr>
          <w:p w14:paraId="1F6D0AAB" w14:textId="77777777" w:rsidR="00E9008A" w:rsidRPr="003A0C5C" w:rsidRDefault="00E9008A" w:rsidP="00434F8A">
            <w:pPr>
              <w:pStyle w:val="Tablerowheading"/>
            </w:pPr>
          </w:p>
        </w:tc>
        <w:tc>
          <w:tcPr>
            <w:tcW w:w="1350" w:type="dxa"/>
            <w:tcBorders>
              <w:top w:val="single" w:sz="4" w:space="0" w:color="auto"/>
            </w:tcBorders>
            <w:vAlign w:val="center"/>
          </w:tcPr>
          <w:p w14:paraId="353EFFCA" w14:textId="77777777" w:rsidR="00E9008A" w:rsidRPr="003A0C5C" w:rsidRDefault="00E9008A" w:rsidP="00434F8A">
            <w:pPr>
              <w:pStyle w:val="Tablerowheading"/>
            </w:pPr>
          </w:p>
        </w:tc>
        <w:tc>
          <w:tcPr>
            <w:tcW w:w="1800" w:type="dxa"/>
            <w:tcBorders>
              <w:top w:val="single" w:sz="4" w:space="0" w:color="auto"/>
            </w:tcBorders>
            <w:shd w:val="clear" w:color="auto" w:fill="auto"/>
            <w:vAlign w:val="center"/>
          </w:tcPr>
          <w:p w14:paraId="4CE7AEAA" w14:textId="77777777" w:rsidR="00E9008A" w:rsidRPr="003A0C5C" w:rsidRDefault="00E9008A" w:rsidP="00434F8A">
            <w:pPr>
              <w:pStyle w:val="Tablerowheading"/>
            </w:pPr>
          </w:p>
        </w:tc>
        <w:tc>
          <w:tcPr>
            <w:tcW w:w="1350" w:type="dxa"/>
            <w:tcBorders>
              <w:top w:val="single" w:sz="4" w:space="0" w:color="auto"/>
            </w:tcBorders>
            <w:vAlign w:val="center"/>
          </w:tcPr>
          <w:p w14:paraId="6F249821" w14:textId="77777777" w:rsidR="00E9008A" w:rsidRPr="003A0C5C" w:rsidRDefault="00E9008A" w:rsidP="00434F8A">
            <w:pPr>
              <w:pStyle w:val="Tablerowheading"/>
            </w:pPr>
          </w:p>
        </w:tc>
      </w:tr>
      <w:tr w:rsidR="003A0C5C" w:rsidRPr="003A0C5C" w14:paraId="6DC6B909" w14:textId="77777777" w:rsidTr="00313B2A">
        <w:trPr>
          <w:jc w:val="center"/>
        </w:trPr>
        <w:tc>
          <w:tcPr>
            <w:tcW w:w="3330" w:type="dxa"/>
            <w:tcBorders>
              <w:top w:val="single" w:sz="4" w:space="0" w:color="auto"/>
            </w:tcBorders>
          </w:tcPr>
          <w:p w14:paraId="4A9DC9CB" w14:textId="77777777" w:rsidR="00E9008A" w:rsidRPr="003A0C5C" w:rsidRDefault="00E9008A" w:rsidP="00313B2A">
            <w:pPr>
              <w:pStyle w:val="Tabletext"/>
            </w:pPr>
            <w:r w:rsidRPr="003A0C5C">
              <w:t>n/o Carson St</w:t>
            </w:r>
          </w:p>
        </w:tc>
        <w:tc>
          <w:tcPr>
            <w:tcW w:w="1530" w:type="dxa"/>
            <w:tcBorders>
              <w:top w:val="single" w:sz="4" w:space="0" w:color="auto"/>
            </w:tcBorders>
            <w:vAlign w:val="center"/>
          </w:tcPr>
          <w:p w14:paraId="22533AED" w14:textId="77777777" w:rsidR="00E9008A" w:rsidRPr="003A0C5C" w:rsidRDefault="00E9008A" w:rsidP="00313B2A">
            <w:pPr>
              <w:pStyle w:val="Tabletext"/>
              <w:jc w:val="center"/>
            </w:pPr>
            <w:r w:rsidRPr="003A0C5C">
              <w:t>71.1</w:t>
            </w:r>
          </w:p>
        </w:tc>
        <w:tc>
          <w:tcPr>
            <w:tcW w:w="1350" w:type="dxa"/>
            <w:tcBorders>
              <w:top w:val="single" w:sz="4" w:space="0" w:color="auto"/>
            </w:tcBorders>
            <w:vAlign w:val="center"/>
          </w:tcPr>
          <w:p w14:paraId="6E086931" w14:textId="77777777" w:rsidR="00E9008A" w:rsidRPr="003A0C5C" w:rsidRDefault="00E9008A" w:rsidP="00313B2A">
            <w:pPr>
              <w:pStyle w:val="Tabletext"/>
              <w:jc w:val="center"/>
            </w:pPr>
            <w:r w:rsidRPr="003A0C5C">
              <w:t>71.1</w:t>
            </w:r>
          </w:p>
        </w:tc>
        <w:tc>
          <w:tcPr>
            <w:tcW w:w="1800" w:type="dxa"/>
            <w:tcBorders>
              <w:top w:val="single" w:sz="4" w:space="0" w:color="auto"/>
            </w:tcBorders>
            <w:shd w:val="clear" w:color="auto" w:fill="auto"/>
            <w:vAlign w:val="center"/>
          </w:tcPr>
          <w:p w14:paraId="53B8677F" w14:textId="77777777" w:rsidR="00E9008A" w:rsidRPr="003A0C5C" w:rsidRDefault="00E9008A" w:rsidP="00313B2A">
            <w:pPr>
              <w:pStyle w:val="Tabletext"/>
              <w:jc w:val="center"/>
            </w:pPr>
            <w:r w:rsidRPr="003A0C5C">
              <w:t>0.0</w:t>
            </w:r>
          </w:p>
        </w:tc>
        <w:tc>
          <w:tcPr>
            <w:tcW w:w="1350" w:type="dxa"/>
            <w:tcBorders>
              <w:top w:val="single" w:sz="4" w:space="0" w:color="auto"/>
            </w:tcBorders>
            <w:vAlign w:val="center"/>
          </w:tcPr>
          <w:p w14:paraId="64676626" w14:textId="77777777" w:rsidR="00E9008A" w:rsidRPr="003A0C5C" w:rsidRDefault="00E9008A" w:rsidP="00313B2A">
            <w:pPr>
              <w:pStyle w:val="Tabletext"/>
              <w:jc w:val="center"/>
            </w:pPr>
            <w:r w:rsidRPr="003A0C5C">
              <w:t>No</w:t>
            </w:r>
          </w:p>
        </w:tc>
      </w:tr>
      <w:tr w:rsidR="003A0C5C" w:rsidRPr="003A0C5C" w14:paraId="7AF12B89" w14:textId="77777777" w:rsidTr="00313B2A">
        <w:trPr>
          <w:jc w:val="center"/>
        </w:trPr>
        <w:tc>
          <w:tcPr>
            <w:tcW w:w="3330" w:type="dxa"/>
            <w:tcBorders>
              <w:top w:val="single" w:sz="4" w:space="0" w:color="auto"/>
            </w:tcBorders>
          </w:tcPr>
          <w:p w14:paraId="7BB58A6C" w14:textId="77777777" w:rsidR="00E9008A" w:rsidRPr="003A0C5C" w:rsidRDefault="00E9008A" w:rsidP="00313B2A">
            <w:pPr>
              <w:pStyle w:val="Tabletext"/>
            </w:pPr>
            <w:r w:rsidRPr="003A0C5C">
              <w:t>s/o Carson St</w:t>
            </w:r>
          </w:p>
        </w:tc>
        <w:tc>
          <w:tcPr>
            <w:tcW w:w="1530" w:type="dxa"/>
            <w:tcBorders>
              <w:top w:val="single" w:sz="4" w:space="0" w:color="auto"/>
            </w:tcBorders>
            <w:vAlign w:val="center"/>
          </w:tcPr>
          <w:p w14:paraId="7E8C50AF" w14:textId="77777777" w:rsidR="00E9008A" w:rsidRPr="003A0C5C" w:rsidRDefault="00E9008A" w:rsidP="00313B2A">
            <w:pPr>
              <w:pStyle w:val="Tabletext"/>
              <w:jc w:val="center"/>
            </w:pPr>
            <w:r w:rsidRPr="003A0C5C">
              <w:t>69.3</w:t>
            </w:r>
          </w:p>
        </w:tc>
        <w:tc>
          <w:tcPr>
            <w:tcW w:w="1350" w:type="dxa"/>
            <w:tcBorders>
              <w:top w:val="single" w:sz="4" w:space="0" w:color="auto"/>
            </w:tcBorders>
            <w:vAlign w:val="center"/>
          </w:tcPr>
          <w:p w14:paraId="680048BA" w14:textId="77777777" w:rsidR="00E9008A" w:rsidRPr="003A0C5C" w:rsidRDefault="00E9008A" w:rsidP="00313B2A">
            <w:pPr>
              <w:pStyle w:val="Tabletext"/>
              <w:jc w:val="center"/>
            </w:pPr>
            <w:r w:rsidRPr="003A0C5C">
              <w:t>69.3</w:t>
            </w:r>
          </w:p>
        </w:tc>
        <w:tc>
          <w:tcPr>
            <w:tcW w:w="1800" w:type="dxa"/>
            <w:tcBorders>
              <w:top w:val="single" w:sz="4" w:space="0" w:color="auto"/>
            </w:tcBorders>
            <w:shd w:val="clear" w:color="auto" w:fill="auto"/>
            <w:vAlign w:val="center"/>
          </w:tcPr>
          <w:p w14:paraId="6DF2EAD9" w14:textId="77777777" w:rsidR="00E9008A" w:rsidRPr="003A0C5C" w:rsidRDefault="00E9008A" w:rsidP="00313B2A">
            <w:pPr>
              <w:pStyle w:val="Tabletext"/>
              <w:jc w:val="center"/>
            </w:pPr>
            <w:r w:rsidRPr="003A0C5C">
              <w:t>0.0</w:t>
            </w:r>
          </w:p>
        </w:tc>
        <w:tc>
          <w:tcPr>
            <w:tcW w:w="1350" w:type="dxa"/>
            <w:tcBorders>
              <w:top w:val="single" w:sz="4" w:space="0" w:color="auto"/>
            </w:tcBorders>
            <w:vAlign w:val="center"/>
          </w:tcPr>
          <w:p w14:paraId="1B287A86" w14:textId="77777777" w:rsidR="00E9008A" w:rsidRPr="003A0C5C" w:rsidRDefault="00E9008A" w:rsidP="00313B2A">
            <w:pPr>
              <w:pStyle w:val="Tabletext"/>
              <w:jc w:val="center"/>
            </w:pPr>
            <w:r w:rsidRPr="003A0C5C">
              <w:t>No</w:t>
            </w:r>
          </w:p>
        </w:tc>
      </w:tr>
      <w:tr w:rsidR="00E9008A" w:rsidRPr="003A0C5C" w14:paraId="7800C2BD" w14:textId="77777777" w:rsidTr="00313B2A">
        <w:trPr>
          <w:jc w:val="center"/>
        </w:trPr>
        <w:tc>
          <w:tcPr>
            <w:tcW w:w="9360" w:type="dxa"/>
            <w:gridSpan w:val="5"/>
            <w:tcBorders>
              <w:top w:val="single" w:sz="4" w:space="0" w:color="auto"/>
              <w:bottom w:val="single" w:sz="4" w:space="0" w:color="auto"/>
            </w:tcBorders>
          </w:tcPr>
          <w:p w14:paraId="05786D2B" w14:textId="3371F1FF" w:rsidR="00E9008A" w:rsidRPr="003A0C5C" w:rsidRDefault="00E9008A" w:rsidP="00434F8A">
            <w:pPr>
              <w:pStyle w:val="TableSource"/>
              <w:spacing w:before="120" w:after="120"/>
            </w:pPr>
            <w:r w:rsidRPr="003A0C5C">
              <w:t>SOURCE: ESA 2022</w:t>
            </w:r>
          </w:p>
        </w:tc>
      </w:tr>
    </w:tbl>
    <w:p w14:paraId="175D7664" w14:textId="77777777" w:rsidR="00160F99" w:rsidRPr="003A0C5C" w:rsidRDefault="00160F99" w:rsidP="00160F99">
      <w:pPr>
        <w:pStyle w:val="12space"/>
      </w:pPr>
    </w:p>
    <w:p w14:paraId="503BCEBC" w14:textId="355D8C3E" w:rsidR="00E9008A" w:rsidRPr="003A0C5C" w:rsidRDefault="00E9008A" w:rsidP="00434F8A">
      <w:pPr>
        <w:pStyle w:val="12spaceindentcontinue"/>
        <w:rPr>
          <w:spacing w:val="-2"/>
        </w:rPr>
      </w:pPr>
      <w:r w:rsidRPr="003A0C5C">
        <w:rPr>
          <w:spacing w:val="-2"/>
        </w:rPr>
        <w:t>As shown in Table</w:t>
      </w:r>
      <w:r w:rsidRPr="003A0C5C">
        <w:rPr>
          <w:bCs/>
          <w:spacing w:val="-2"/>
        </w:rPr>
        <w:t xml:space="preserve"> </w:t>
      </w:r>
      <w:r w:rsidR="00BB3B91" w:rsidRPr="003A0C5C">
        <w:rPr>
          <w:bCs/>
          <w:spacing w:val="-2"/>
        </w:rPr>
        <w:t>15</w:t>
      </w:r>
      <w:r w:rsidRPr="003A0C5C">
        <w:rPr>
          <w:bCs/>
          <w:spacing w:val="-2"/>
        </w:rPr>
        <w:t>,</w:t>
      </w:r>
      <w:r w:rsidRPr="003A0C5C">
        <w:rPr>
          <w:spacing w:val="-2"/>
        </w:rPr>
        <w:t xml:space="preserve"> the predicted project-related traffic noise level increase over existing baseline noise levels along the analyzed roadways by up to 0.6 dBA. </w:t>
      </w:r>
      <w:r w:rsidRPr="003A0C5C">
        <w:rPr>
          <w:rFonts w:cs="Arial"/>
          <w:spacing w:val="-2"/>
          <w:szCs w:val="24"/>
        </w:rPr>
        <w:t>A change of less than 1 dBA in sound levels generally cannot be perceived by the human ear and an increase of 3 dBA would be barely perceivable (Caltrans 2013</w:t>
      </w:r>
      <w:r w:rsidR="007A0592" w:rsidRPr="003A0C5C">
        <w:rPr>
          <w:rFonts w:cs="Arial"/>
          <w:spacing w:val="-2"/>
          <w:szCs w:val="24"/>
        </w:rPr>
        <w:t>b</w:t>
      </w:r>
      <w:r w:rsidRPr="003A0C5C">
        <w:rPr>
          <w:rFonts w:cs="Arial"/>
          <w:spacing w:val="-2"/>
          <w:szCs w:val="24"/>
        </w:rPr>
        <w:t xml:space="preserve">). </w:t>
      </w:r>
      <w:r w:rsidRPr="003A0C5C">
        <w:rPr>
          <w:spacing w:val="-2"/>
        </w:rPr>
        <w:t>As the increase in traffic noise levels generated by the proposed project would not exceed the 3 dBA thresholds barely perceivable by the human ear, the proposed project’s traffic noise impact would be less than significant.</w:t>
      </w:r>
    </w:p>
    <w:p w14:paraId="69CAE6A8" w14:textId="60DA00BC" w:rsidR="00E9008A" w:rsidRPr="003A0C5C" w:rsidRDefault="00E9008A" w:rsidP="00434F8A">
      <w:pPr>
        <w:pStyle w:val="12spaceindentcontinue"/>
      </w:pPr>
      <w:r w:rsidRPr="003A0C5C">
        <w:rPr>
          <w:b/>
        </w:rPr>
        <w:t xml:space="preserve">Table </w:t>
      </w:r>
      <w:r w:rsidR="00BB3B91" w:rsidRPr="003A0C5C">
        <w:rPr>
          <w:b/>
        </w:rPr>
        <w:t>16</w:t>
      </w:r>
      <w:r w:rsidR="001D1298" w:rsidRPr="003A0C5C">
        <w:rPr>
          <w:bCs/>
        </w:rPr>
        <w:t xml:space="preserve">, </w:t>
      </w:r>
      <w:r w:rsidR="001D1298" w:rsidRPr="003A0C5C">
        <w:rPr>
          <w:bCs/>
          <w:i/>
          <w:iCs/>
        </w:rPr>
        <w:t>Predicted Future Traffic Noise Levels</w:t>
      </w:r>
      <w:r w:rsidR="001D1298" w:rsidRPr="003A0C5C">
        <w:rPr>
          <w:bCs/>
        </w:rPr>
        <w:t>,</w:t>
      </w:r>
      <w:r w:rsidRPr="003A0C5C">
        <w:t xml:space="preserve"> lists the future traffic noise levels and future with project traffic noise levels. As shown in </w:t>
      </w:r>
      <w:r w:rsidRPr="003A0C5C">
        <w:rPr>
          <w:bCs/>
        </w:rPr>
        <w:t>Table</w:t>
      </w:r>
      <w:r w:rsidR="00BB3B91" w:rsidRPr="003A0C5C">
        <w:rPr>
          <w:bCs/>
        </w:rPr>
        <w:t xml:space="preserve"> 16</w:t>
      </w:r>
      <w:r w:rsidRPr="003A0C5C">
        <w:t xml:space="preserve">, the predicted project-related traffic noise level increase over future baseline noise levels along the analyzed roadways by up to 0.5 dBA. </w:t>
      </w:r>
      <w:r w:rsidRPr="003A0C5C">
        <w:rPr>
          <w:rFonts w:cs="Arial"/>
          <w:szCs w:val="24"/>
        </w:rPr>
        <w:t>A change of less than 1 dBA in sound levels generally cannot be perceived by the human ear and an increase of 3 dBA would be barely perceivable (Caltrans 2013</w:t>
      </w:r>
      <w:r w:rsidR="007A0592" w:rsidRPr="003A0C5C">
        <w:rPr>
          <w:rFonts w:cs="Arial"/>
          <w:szCs w:val="24"/>
        </w:rPr>
        <w:t>b</w:t>
      </w:r>
      <w:r w:rsidRPr="003A0C5C">
        <w:rPr>
          <w:rFonts w:cs="Arial"/>
          <w:szCs w:val="24"/>
        </w:rPr>
        <w:t xml:space="preserve">). </w:t>
      </w:r>
      <w:r w:rsidRPr="003A0C5C">
        <w:t>As the increase in traffic noise levels generated by the proposed project would not exceed the 3 dBA thresholds barely perceivable by the human ear, the proposed project’s future traffic noise impact would be less than significant.</w:t>
      </w:r>
    </w:p>
    <w:p w14:paraId="27FFB8FD" w14:textId="70940D38" w:rsidR="00E9008A" w:rsidRPr="003A0C5C" w:rsidRDefault="00E9008A" w:rsidP="00E9008A">
      <w:pPr>
        <w:pStyle w:val="TableNoTitle"/>
      </w:pPr>
      <w:bookmarkStart w:id="97" w:name="_Toc101792208"/>
      <w:r w:rsidRPr="003A0C5C">
        <w:t xml:space="preserve">Table </w:t>
      </w:r>
      <w:r w:rsidR="00BB3B91" w:rsidRPr="003A0C5C">
        <w:t>16</w:t>
      </w:r>
      <w:r w:rsidRPr="003A0C5C">
        <w:br/>
      </w:r>
      <w:r w:rsidR="00160F99" w:rsidRPr="003A0C5C">
        <w:tab/>
      </w:r>
      <w:r w:rsidRPr="003A0C5C">
        <w:t>Predicted Future Traffic Noise Levels</w:t>
      </w:r>
      <w:bookmarkEnd w:id="97"/>
    </w:p>
    <w:tbl>
      <w:tblPr>
        <w:tblStyle w:val="TableGrid3"/>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330"/>
        <w:gridCol w:w="1530"/>
        <w:gridCol w:w="1350"/>
        <w:gridCol w:w="1800"/>
        <w:gridCol w:w="1350"/>
      </w:tblGrid>
      <w:tr w:rsidR="003A0C5C" w:rsidRPr="003A0C5C" w14:paraId="62376040" w14:textId="77777777" w:rsidTr="00313B2A">
        <w:trPr>
          <w:tblHeader/>
          <w:jc w:val="center"/>
        </w:trPr>
        <w:tc>
          <w:tcPr>
            <w:tcW w:w="3330" w:type="dxa"/>
            <w:tcBorders>
              <w:top w:val="single" w:sz="4" w:space="0" w:color="auto"/>
              <w:bottom w:val="single" w:sz="12" w:space="0" w:color="auto"/>
            </w:tcBorders>
            <w:vAlign w:val="bottom"/>
          </w:tcPr>
          <w:p w14:paraId="1868825A" w14:textId="77777777" w:rsidR="00E9008A" w:rsidRPr="003A0C5C" w:rsidRDefault="00E9008A" w:rsidP="00313B2A">
            <w:pPr>
              <w:pStyle w:val="Tablecolumnheading"/>
            </w:pPr>
            <w:r w:rsidRPr="003A0C5C">
              <w:t>Roadway Segment</w:t>
            </w:r>
          </w:p>
        </w:tc>
        <w:tc>
          <w:tcPr>
            <w:tcW w:w="1530" w:type="dxa"/>
            <w:tcBorders>
              <w:top w:val="single" w:sz="4" w:space="0" w:color="auto"/>
              <w:bottom w:val="single" w:sz="12" w:space="0" w:color="auto"/>
            </w:tcBorders>
            <w:vAlign w:val="bottom"/>
          </w:tcPr>
          <w:p w14:paraId="7C5D7243" w14:textId="77777777" w:rsidR="00E9008A" w:rsidRPr="003A0C5C" w:rsidRDefault="00E9008A" w:rsidP="00313B2A">
            <w:pPr>
              <w:pStyle w:val="Tablecolumnheading"/>
              <w:jc w:val="center"/>
            </w:pPr>
            <w:r w:rsidRPr="003A0C5C">
              <w:t>Future Traffic</w:t>
            </w:r>
            <w:r w:rsidRPr="003A0C5C">
              <w:br/>
              <w:t>Noise</w:t>
            </w:r>
            <w:r w:rsidRPr="003A0C5C">
              <w:br/>
              <w:t>(CNEL, dBA)</w:t>
            </w:r>
          </w:p>
        </w:tc>
        <w:tc>
          <w:tcPr>
            <w:tcW w:w="1350" w:type="dxa"/>
            <w:tcBorders>
              <w:top w:val="single" w:sz="4" w:space="0" w:color="auto"/>
              <w:bottom w:val="single" w:sz="12" w:space="0" w:color="auto"/>
            </w:tcBorders>
            <w:vAlign w:val="bottom"/>
          </w:tcPr>
          <w:p w14:paraId="27F55DB1" w14:textId="77777777" w:rsidR="00E9008A" w:rsidRPr="003A0C5C" w:rsidRDefault="00E9008A" w:rsidP="00313B2A">
            <w:pPr>
              <w:pStyle w:val="Tablecolumnheading"/>
              <w:jc w:val="center"/>
            </w:pPr>
            <w:r w:rsidRPr="003A0C5C">
              <w:t>Future with Project Traffic Noise Level</w:t>
            </w:r>
            <w:r w:rsidRPr="003A0C5C">
              <w:br/>
              <w:t>(CNEL, dBA)</w:t>
            </w:r>
          </w:p>
        </w:tc>
        <w:tc>
          <w:tcPr>
            <w:tcW w:w="1800" w:type="dxa"/>
            <w:tcBorders>
              <w:top w:val="single" w:sz="4" w:space="0" w:color="auto"/>
              <w:bottom w:val="single" w:sz="12" w:space="0" w:color="auto"/>
            </w:tcBorders>
            <w:vAlign w:val="bottom"/>
          </w:tcPr>
          <w:p w14:paraId="0B1811C4" w14:textId="77777777" w:rsidR="00E9008A" w:rsidRPr="003A0C5C" w:rsidRDefault="00E9008A" w:rsidP="00313B2A">
            <w:pPr>
              <w:pStyle w:val="Tablecolumnheading"/>
              <w:jc w:val="center"/>
            </w:pPr>
            <w:r w:rsidRPr="003A0C5C">
              <w:t>Future with Project Increase over Future Noise Level</w:t>
            </w:r>
          </w:p>
        </w:tc>
        <w:tc>
          <w:tcPr>
            <w:tcW w:w="1350" w:type="dxa"/>
            <w:tcBorders>
              <w:top w:val="single" w:sz="4" w:space="0" w:color="auto"/>
              <w:bottom w:val="single" w:sz="12" w:space="0" w:color="auto"/>
            </w:tcBorders>
            <w:vAlign w:val="bottom"/>
          </w:tcPr>
          <w:p w14:paraId="356E441A" w14:textId="77777777" w:rsidR="00E9008A" w:rsidRPr="003A0C5C" w:rsidRDefault="00E9008A" w:rsidP="00313B2A">
            <w:pPr>
              <w:pStyle w:val="Tablecolumnheading"/>
              <w:jc w:val="center"/>
            </w:pPr>
            <w:r w:rsidRPr="003A0C5C">
              <w:t>Significant?</w:t>
            </w:r>
          </w:p>
        </w:tc>
      </w:tr>
      <w:tr w:rsidR="003A0C5C" w:rsidRPr="003A0C5C" w14:paraId="2B543C7E" w14:textId="77777777" w:rsidTr="00313B2A">
        <w:trPr>
          <w:jc w:val="center"/>
        </w:trPr>
        <w:tc>
          <w:tcPr>
            <w:tcW w:w="3330" w:type="dxa"/>
            <w:tcBorders>
              <w:top w:val="single" w:sz="12" w:space="0" w:color="auto"/>
              <w:bottom w:val="single" w:sz="4" w:space="0" w:color="auto"/>
            </w:tcBorders>
          </w:tcPr>
          <w:p w14:paraId="01746A0B" w14:textId="77777777" w:rsidR="00E9008A" w:rsidRPr="003A0C5C" w:rsidRDefault="00E9008A" w:rsidP="00434F8A">
            <w:pPr>
              <w:pStyle w:val="Tablerowheading"/>
              <w:spacing w:before="50" w:after="50"/>
            </w:pPr>
            <w:r w:rsidRPr="003A0C5C">
              <w:t xml:space="preserve">Avalon Blvd </w:t>
            </w:r>
          </w:p>
        </w:tc>
        <w:tc>
          <w:tcPr>
            <w:tcW w:w="1530" w:type="dxa"/>
            <w:tcBorders>
              <w:top w:val="single" w:sz="12" w:space="0" w:color="auto"/>
              <w:bottom w:val="single" w:sz="4" w:space="0" w:color="auto"/>
            </w:tcBorders>
          </w:tcPr>
          <w:p w14:paraId="6A14E5F6" w14:textId="77777777" w:rsidR="00E9008A" w:rsidRPr="003A0C5C" w:rsidRDefault="00E9008A" w:rsidP="00434F8A">
            <w:pPr>
              <w:pStyle w:val="Tablerowheading"/>
              <w:spacing w:before="50" w:after="50"/>
            </w:pPr>
          </w:p>
        </w:tc>
        <w:tc>
          <w:tcPr>
            <w:tcW w:w="1350" w:type="dxa"/>
            <w:tcBorders>
              <w:top w:val="single" w:sz="12" w:space="0" w:color="auto"/>
              <w:bottom w:val="single" w:sz="4" w:space="0" w:color="auto"/>
            </w:tcBorders>
          </w:tcPr>
          <w:p w14:paraId="3EC6F086" w14:textId="77777777" w:rsidR="00E9008A" w:rsidRPr="003A0C5C" w:rsidRDefault="00E9008A" w:rsidP="00434F8A">
            <w:pPr>
              <w:pStyle w:val="Tablerowheading"/>
              <w:spacing w:before="50" w:after="50"/>
            </w:pPr>
          </w:p>
        </w:tc>
        <w:tc>
          <w:tcPr>
            <w:tcW w:w="1800" w:type="dxa"/>
            <w:tcBorders>
              <w:top w:val="single" w:sz="12" w:space="0" w:color="auto"/>
              <w:bottom w:val="single" w:sz="4" w:space="0" w:color="auto"/>
            </w:tcBorders>
          </w:tcPr>
          <w:p w14:paraId="71062808" w14:textId="77777777" w:rsidR="00E9008A" w:rsidRPr="003A0C5C" w:rsidRDefault="00E9008A" w:rsidP="00434F8A">
            <w:pPr>
              <w:pStyle w:val="Tablerowheading"/>
              <w:spacing w:before="50" w:after="50"/>
            </w:pPr>
          </w:p>
        </w:tc>
        <w:tc>
          <w:tcPr>
            <w:tcW w:w="1350" w:type="dxa"/>
            <w:tcBorders>
              <w:top w:val="single" w:sz="12" w:space="0" w:color="auto"/>
              <w:bottom w:val="single" w:sz="4" w:space="0" w:color="auto"/>
            </w:tcBorders>
          </w:tcPr>
          <w:p w14:paraId="143AB591" w14:textId="77777777" w:rsidR="00E9008A" w:rsidRPr="003A0C5C" w:rsidRDefault="00E9008A" w:rsidP="00434F8A">
            <w:pPr>
              <w:pStyle w:val="Tablerowheading"/>
              <w:spacing w:before="50" w:after="50"/>
            </w:pPr>
          </w:p>
        </w:tc>
      </w:tr>
      <w:tr w:rsidR="003A0C5C" w:rsidRPr="003A0C5C" w14:paraId="750ECE6A" w14:textId="77777777" w:rsidTr="00313B2A">
        <w:trPr>
          <w:jc w:val="center"/>
        </w:trPr>
        <w:tc>
          <w:tcPr>
            <w:tcW w:w="3330" w:type="dxa"/>
            <w:tcBorders>
              <w:top w:val="single" w:sz="4" w:space="0" w:color="auto"/>
            </w:tcBorders>
          </w:tcPr>
          <w:p w14:paraId="59A165D2" w14:textId="77777777" w:rsidR="00E9008A" w:rsidRPr="003A0C5C" w:rsidRDefault="00E9008A" w:rsidP="00434F8A">
            <w:pPr>
              <w:pStyle w:val="Tabletext"/>
              <w:spacing w:before="40" w:after="40"/>
            </w:pPr>
            <w:r w:rsidRPr="003A0C5C">
              <w:t>n/o Carson St</w:t>
            </w:r>
          </w:p>
        </w:tc>
        <w:tc>
          <w:tcPr>
            <w:tcW w:w="1530" w:type="dxa"/>
            <w:tcBorders>
              <w:top w:val="single" w:sz="4" w:space="0" w:color="auto"/>
            </w:tcBorders>
            <w:vAlign w:val="center"/>
          </w:tcPr>
          <w:p w14:paraId="1FCBFE09" w14:textId="77777777" w:rsidR="00E9008A" w:rsidRPr="003A0C5C" w:rsidRDefault="00E9008A" w:rsidP="00434F8A">
            <w:pPr>
              <w:pStyle w:val="Tabletext"/>
              <w:spacing w:before="40" w:after="40"/>
              <w:jc w:val="center"/>
            </w:pPr>
            <w:r w:rsidRPr="003A0C5C">
              <w:t>72.3</w:t>
            </w:r>
          </w:p>
        </w:tc>
        <w:tc>
          <w:tcPr>
            <w:tcW w:w="1350" w:type="dxa"/>
            <w:tcBorders>
              <w:top w:val="single" w:sz="4" w:space="0" w:color="auto"/>
            </w:tcBorders>
            <w:vAlign w:val="center"/>
          </w:tcPr>
          <w:p w14:paraId="6FDD6374" w14:textId="77777777" w:rsidR="00E9008A" w:rsidRPr="003A0C5C" w:rsidRDefault="00E9008A" w:rsidP="00434F8A">
            <w:pPr>
              <w:pStyle w:val="Tabletext"/>
              <w:spacing w:before="40" w:after="40"/>
              <w:jc w:val="center"/>
            </w:pPr>
            <w:r w:rsidRPr="003A0C5C">
              <w:t>72.3</w:t>
            </w:r>
          </w:p>
        </w:tc>
        <w:tc>
          <w:tcPr>
            <w:tcW w:w="1800" w:type="dxa"/>
            <w:tcBorders>
              <w:top w:val="single" w:sz="4" w:space="0" w:color="auto"/>
            </w:tcBorders>
            <w:shd w:val="clear" w:color="auto" w:fill="auto"/>
            <w:vAlign w:val="center"/>
          </w:tcPr>
          <w:p w14:paraId="1B3D3E39" w14:textId="77777777" w:rsidR="00E9008A" w:rsidRPr="003A0C5C" w:rsidRDefault="00E9008A" w:rsidP="00434F8A">
            <w:pPr>
              <w:pStyle w:val="Tabletext"/>
              <w:spacing w:before="40" w:after="40"/>
              <w:jc w:val="center"/>
            </w:pPr>
            <w:r w:rsidRPr="003A0C5C">
              <w:t>0.0</w:t>
            </w:r>
          </w:p>
        </w:tc>
        <w:tc>
          <w:tcPr>
            <w:tcW w:w="1350" w:type="dxa"/>
            <w:tcBorders>
              <w:top w:val="single" w:sz="4" w:space="0" w:color="auto"/>
            </w:tcBorders>
            <w:vAlign w:val="center"/>
          </w:tcPr>
          <w:p w14:paraId="1788C589" w14:textId="77777777" w:rsidR="00E9008A" w:rsidRPr="003A0C5C" w:rsidRDefault="00E9008A" w:rsidP="00434F8A">
            <w:pPr>
              <w:pStyle w:val="Tabletext"/>
              <w:spacing w:before="40" w:after="40"/>
              <w:jc w:val="center"/>
            </w:pPr>
            <w:r w:rsidRPr="003A0C5C">
              <w:t>No</w:t>
            </w:r>
          </w:p>
        </w:tc>
      </w:tr>
      <w:tr w:rsidR="003A0C5C" w:rsidRPr="003A0C5C" w14:paraId="68EDC63E" w14:textId="77777777" w:rsidTr="00313B2A">
        <w:trPr>
          <w:jc w:val="center"/>
        </w:trPr>
        <w:tc>
          <w:tcPr>
            <w:tcW w:w="3330" w:type="dxa"/>
            <w:tcBorders>
              <w:top w:val="single" w:sz="4" w:space="0" w:color="auto"/>
            </w:tcBorders>
          </w:tcPr>
          <w:p w14:paraId="5411BACF" w14:textId="77777777" w:rsidR="00E9008A" w:rsidRPr="003A0C5C" w:rsidRDefault="00E9008A" w:rsidP="00434F8A">
            <w:pPr>
              <w:pStyle w:val="Tabletext"/>
              <w:spacing w:before="40" w:after="40"/>
            </w:pPr>
            <w:r w:rsidRPr="003A0C5C">
              <w:t>s/o Carson St</w:t>
            </w:r>
          </w:p>
        </w:tc>
        <w:tc>
          <w:tcPr>
            <w:tcW w:w="1530" w:type="dxa"/>
            <w:tcBorders>
              <w:top w:val="single" w:sz="4" w:space="0" w:color="auto"/>
            </w:tcBorders>
            <w:vAlign w:val="center"/>
          </w:tcPr>
          <w:p w14:paraId="47386C3E" w14:textId="77777777" w:rsidR="00E9008A" w:rsidRPr="003A0C5C" w:rsidRDefault="00E9008A" w:rsidP="00434F8A">
            <w:pPr>
              <w:pStyle w:val="Tabletext"/>
              <w:spacing w:before="40" w:after="40"/>
              <w:jc w:val="center"/>
            </w:pPr>
            <w:r w:rsidRPr="003A0C5C">
              <w:t>71.7</w:t>
            </w:r>
          </w:p>
        </w:tc>
        <w:tc>
          <w:tcPr>
            <w:tcW w:w="1350" w:type="dxa"/>
            <w:tcBorders>
              <w:top w:val="single" w:sz="4" w:space="0" w:color="auto"/>
            </w:tcBorders>
            <w:vAlign w:val="center"/>
          </w:tcPr>
          <w:p w14:paraId="5A9D6695" w14:textId="77777777" w:rsidR="00E9008A" w:rsidRPr="003A0C5C" w:rsidRDefault="00E9008A" w:rsidP="00434F8A">
            <w:pPr>
              <w:pStyle w:val="Tabletext"/>
              <w:spacing w:before="40" w:after="40"/>
              <w:jc w:val="center"/>
            </w:pPr>
            <w:r w:rsidRPr="003A0C5C">
              <w:t>71.7</w:t>
            </w:r>
          </w:p>
        </w:tc>
        <w:tc>
          <w:tcPr>
            <w:tcW w:w="1800" w:type="dxa"/>
            <w:tcBorders>
              <w:top w:val="single" w:sz="4" w:space="0" w:color="auto"/>
            </w:tcBorders>
            <w:shd w:val="clear" w:color="auto" w:fill="auto"/>
            <w:vAlign w:val="center"/>
          </w:tcPr>
          <w:p w14:paraId="637536B9" w14:textId="77777777" w:rsidR="00E9008A" w:rsidRPr="003A0C5C" w:rsidRDefault="00E9008A" w:rsidP="00434F8A">
            <w:pPr>
              <w:pStyle w:val="Tabletext"/>
              <w:spacing w:before="40" w:after="40"/>
              <w:jc w:val="center"/>
            </w:pPr>
            <w:r w:rsidRPr="003A0C5C">
              <w:t>0.0</w:t>
            </w:r>
          </w:p>
        </w:tc>
        <w:tc>
          <w:tcPr>
            <w:tcW w:w="1350" w:type="dxa"/>
            <w:tcBorders>
              <w:top w:val="single" w:sz="4" w:space="0" w:color="auto"/>
            </w:tcBorders>
            <w:vAlign w:val="center"/>
          </w:tcPr>
          <w:p w14:paraId="22C133D2" w14:textId="77777777" w:rsidR="00E9008A" w:rsidRPr="003A0C5C" w:rsidRDefault="00E9008A" w:rsidP="00434F8A">
            <w:pPr>
              <w:pStyle w:val="Tabletext"/>
              <w:spacing w:before="40" w:after="40"/>
              <w:jc w:val="center"/>
            </w:pPr>
            <w:r w:rsidRPr="003A0C5C">
              <w:t>No</w:t>
            </w:r>
          </w:p>
        </w:tc>
      </w:tr>
      <w:tr w:rsidR="003A0C5C" w:rsidRPr="003A0C5C" w14:paraId="1D32C56B" w14:textId="77777777" w:rsidTr="00313B2A">
        <w:trPr>
          <w:jc w:val="center"/>
        </w:trPr>
        <w:tc>
          <w:tcPr>
            <w:tcW w:w="3330" w:type="dxa"/>
            <w:tcBorders>
              <w:top w:val="single" w:sz="4" w:space="0" w:color="auto"/>
            </w:tcBorders>
          </w:tcPr>
          <w:p w14:paraId="04DB3941" w14:textId="77777777" w:rsidR="00E9008A" w:rsidRPr="003A0C5C" w:rsidRDefault="00E9008A" w:rsidP="00434F8A">
            <w:pPr>
              <w:pStyle w:val="Tablerowheading"/>
              <w:spacing w:before="50" w:after="50"/>
            </w:pPr>
            <w:r w:rsidRPr="003A0C5C">
              <w:t>Carson St</w:t>
            </w:r>
          </w:p>
        </w:tc>
        <w:tc>
          <w:tcPr>
            <w:tcW w:w="1530" w:type="dxa"/>
            <w:tcBorders>
              <w:top w:val="single" w:sz="4" w:space="0" w:color="auto"/>
            </w:tcBorders>
            <w:vAlign w:val="center"/>
          </w:tcPr>
          <w:p w14:paraId="69302856" w14:textId="77777777" w:rsidR="00E9008A" w:rsidRPr="003A0C5C" w:rsidRDefault="00E9008A" w:rsidP="00434F8A">
            <w:pPr>
              <w:pStyle w:val="Tablerowheading"/>
              <w:spacing w:before="50" w:after="50"/>
            </w:pPr>
          </w:p>
        </w:tc>
        <w:tc>
          <w:tcPr>
            <w:tcW w:w="1350" w:type="dxa"/>
            <w:tcBorders>
              <w:top w:val="single" w:sz="4" w:space="0" w:color="auto"/>
            </w:tcBorders>
            <w:vAlign w:val="center"/>
          </w:tcPr>
          <w:p w14:paraId="77884E25" w14:textId="77777777" w:rsidR="00E9008A" w:rsidRPr="003A0C5C" w:rsidRDefault="00E9008A" w:rsidP="00434F8A">
            <w:pPr>
              <w:pStyle w:val="Tablerowheading"/>
              <w:spacing w:before="50" w:after="50"/>
            </w:pPr>
          </w:p>
        </w:tc>
        <w:tc>
          <w:tcPr>
            <w:tcW w:w="1800" w:type="dxa"/>
            <w:tcBorders>
              <w:top w:val="single" w:sz="4" w:space="0" w:color="auto"/>
            </w:tcBorders>
            <w:shd w:val="clear" w:color="auto" w:fill="auto"/>
            <w:vAlign w:val="center"/>
          </w:tcPr>
          <w:p w14:paraId="432AD8A7" w14:textId="77777777" w:rsidR="00E9008A" w:rsidRPr="003A0C5C" w:rsidRDefault="00E9008A" w:rsidP="00434F8A">
            <w:pPr>
              <w:pStyle w:val="Tablerowheading"/>
              <w:spacing w:before="50" w:after="50"/>
            </w:pPr>
          </w:p>
        </w:tc>
        <w:tc>
          <w:tcPr>
            <w:tcW w:w="1350" w:type="dxa"/>
            <w:tcBorders>
              <w:top w:val="single" w:sz="4" w:space="0" w:color="auto"/>
            </w:tcBorders>
            <w:vAlign w:val="center"/>
          </w:tcPr>
          <w:p w14:paraId="5DC65835" w14:textId="77777777" w:rsidR="00E9008A" w:rsidRPr="003A0C5C" w:rsidRDefault="00E9008A" w:rsidP="00434F8A">
            <w:pPr>
              <w:pStyle w:val="Tablerowheading"/>
              <w:spacing w:before="50" w:after="50"/>
            </w:pPr>
          </w:p>
        </w:tc>
      </w:tr>
      <w:tr w:rsidR="003A0C5C" w:rsidRPr="003A0C5C" w14:paraId="2746DA61" w14:textId="77777777" w:rsidTr="00313B2A">
        <w:trPr>
          <w:jc w:val="center"/>
        </w:trPr>
        <w:tc>
          <w:tcPr>
            <w:tcW w:w="3330" w:type="dxa"/>
            <w:tcBorders>
              <w:top w:val="single" w:sz="4" w:space="0" w:color="auto"/>
            </w:tcBorders>
          </w:tcPr>
          <w:p w14:paraId="3FCC5D62" w14:textId="01EF405F" w:rsidR="00E9008A" w:rsidRPr="003A0C5C" w:rsidRDefault="00C9208D" w:rsidP="00434F8A">
            <w:pPr>
              <w:pStyle w:val="Tabletext"/>
              <w:spacing w:before="40" w:after="40"/>
            </w:pPr>
            <w:proofErr w:type="spellStart"/>
            <w:r w:rsidRPr="003A0C5C">
              <w:t>b</w:t>
            </w:r>
            <w:r w:rsidR="00E9008A" w:rsidRPr="003A0C5C">
              <w:t>twn</w:t>
            </w:r>
            <w:proofErr w:type="spellEnd"/>
            <w:r w:rsidR="00E9008A" w:rsidRPr="003A0C5C">
              <w:t xml:space="preserve"> Avalon Blvd and I-405 SB Ramps</w:t>
            </w:r>
          </w:p>
        </w:tc>
        <w:tc>
          <w:tcPr>
            <w:tcW w:w="1530" w:type="dxa"/>
            <w:tcBorders>
              <w:top w:val="single" w:sz="4" w:space="0" w:color="auto"/>
            </w:tcBorders>
            <w:vAlign w:val="center"/>
          </w:tcPr>
          <w:p w14:paraId="1E274555" w14:textId="77777777" w:rsidR="00E9008A" w:rsidRPr="003A0C5C" w:rsidRDefault="00E9008A" w:rsidP="00434F8A">
            <w:pPr>
              <w:pStyle w:val="Tabletext"/>
              <w:spacing w:before="40" w:after="40"/>
              <w:jc w:val="center"/>
            </w:pPr>
            <w:r w:rsidRPr="003A0C5C">
              <w:t>73.6</w:t>
            </w:r>
          </w:p>
        </w:tc>
        <w:tc>
          <w:tcPr>
            <w:tcW w:w="1350" w:type="dxa"/>
            <w:tcBorders>
              <w:top w:val="single" w:sz="4" w:space="0" w:color="auto"/>
            </w:tcBorders>
            <w:vAlign w:val="center"/>
          </w:tcPr>
          <w:p w14:paraId="639B815A" w14:textId="77777777" w:rsidR="00E9008A" w:rsidRPr="003A0C5C" w:rsidRDefault="00E9008A" w:rsidP="00434F8A">
            <w:pPr>
              <w:pStyle w:val="Tabletext"/>
              <w:spacing w:before="40" w:after="40"/>
              <w:jc w:val="center"/>
            </w:pPr>
            <w:r w:rsidRPr="003A0C5C">
              <w:t>73.6</w:t>
            </w:r>
          </w:p>
        </w:tc>
        <w:tc>
          <w:tcPr>
            <w:tcW w:w="1800" w:type="dxa"/>
            <w:tcBorders>
              <w:top w:val="single" w:sz="4" w:space="0" w:color="auto"/>
            </w:tcBorders>
            <w:shd w:val="clear" w:color="auto" w:fill="auto"/>
            <w:vAlign w:val="center"/>
          </w:tcPr>
          <w:p w14:paraId="5FBE51BB" w14:textId="77777777" w:rsidR="00E9008A" w:rsidRPr="003A0C5C" w:rsidRDefault="00E9008A" w:rsidP="00434F8A">
            <w:pPr>
              <w:pStyle w:val="Tabletext"/>
              <w:spacing w:before="40" w:after="40"/>
              <w:jc w:val="center"/>
            </w:pPr>
            <w:r w:rsidRPr="003A0C5C">
              <w:t>0.0</w:t>
            </w:r>
          </w:p>
        </w:tc>
        <w:tc>
          <w:tcPr>
            <w:tcW w:w="1350" w:type="dxa"/>
            <w:tcBorders>
              <w:top w:val="single" w:sz="4" w:space="0" w:color="auto"/>
            </w:tcBorders>
            <w:vAlign w:val="center"/>
          </w:tcPr>
          <w:p w14:paraId="23524C53" w14:textId="77777777" w:rsidR="00E9008A" w:rsidRPr="003A0C5C" w:rsidRDefault="00E9008A" w:rsidP="00434F8A">
            <w:pPr>
              <w:pStyle w:val="Tabletext"/>
              <w:spacing w:before="40" w:after="40"/>
              <w:jc w:val="center"/>
            </w:pPr>
            <w:r w:rsidRPr="003A0C5C">
              <w:t>No</w:t>
            </w:r>
          </w:p>
        </w:tc>
      </w:tr>
      <w:tr w:rsidR="003A0C5C" w:rsidRPr="003A0C5C" w14:paraId="7C03861B" w14:textId="77777777" w:rsidTr="00313B2A">
        <w:trPr>
          <w:jc w:val="center"/>
        </w:trPr>
        <w:tc>
          <w:tcPr>
            <w:tcW w:w="3330" w:type="dxa"/>
            <w:tcBorders>
              <w:top w:val="single" w:sz="4" w:space="0" w:color="auto"/>
            </w:tcBorders>
          </w:tcPr>
          <w:p w14:paraId="643486FD" w14:textId="52853921" w:rsidR="00E9008A" w:rsidRPr="003A0C5C" w:rsidRDefault="00C9208D" w:rsidP="00434F8A">
            <w:pPr>
              <w:pStyle w:val="Tabletext"/>
              <w:spacing w:before="40" w:after="40"/>
            </w:pPr>
            <w:proofErr w:type="spellStart"/>
            <w:r w:rsidRPr="003A0C5C">
              <w:t>b</w:t>
            </w:r>
            <w:r w:rsidR="00E9008A" w:rsidRPr="003A0C5C">
              <w:t>twn</w:t>
            </w:r>
            <w:proofErr w:type="spellEnd"/>
            <w:r w:rsidR="00E9008A" w:rsidRPr="003A0C5C">
              <w:t xml:space="preserve"> I-405 NB Ramps and Perry St</w:t>
            </w:r>
          </w:p>
        </w:tc>
        <w:tc>
          <w:tcPr>
            <w:tcW w:w="1530" w:type="dxa"/>
            <w:tcBorders>
              <w:top w:val="single" w:sz="4" w:space="0" w:color="auto"/>
            </w:tcBorders>
            <w:vAlign w:val="center"/>
          </w:tcPr>
          <w:p w14:paraId="4E2B8A40" w14:textId="77777777" w:rsidR="00E9008A" w:rsidRPr="003A0C5C" w:rsidRDefault="00E9008A" w:rsidP="00434F8A">
            <w:pPr>
              <w:pStyle w:val="Tabletext"/>
              <w:spacing w:before="40" w:after="40"/>
              <w:jc w:val="center"/>
            </w:pPr>
            <w:r w:rsidRPr="003A0C5C">
              <w:t>72.5</w:t>
            </w:r>
          </w:p>
        </w:tc>
        <w:tc>
          <w:tcPr>
            <w:tcW w:w="1350" w:type="dxa"/>
            <w:tcBorders>
              <w:top w:val="single" w:sz="4" w:space="0" w:color="auto"/>
            </w:tcBorders>
            <w:vAlign w:val="center"/>
          </w:tcPr>
          <w:p w14:paraId="77639A21" w14:textId="77777777" w:rsidR="00E9008A" w:rsidRPr="003A0C5C" w:rsidRDefault="00E9008A" w:rsidP="00434F8A">
            <w:pPr>
              <w:pStyle w:val="Tabletext"/>
              <w:spacing w:before="40" w:after="40"/>
              <w:jc w:val="center"/>
            </w:pPr>
            <w:r w:rsidRPr="003A0C5C">
              <w:t>72.5</w:t>
            </w:r>
          </w:p>
        </w:tc>
        <w:tc>
          <w:tcPr>
            <w:tcW w:w="1800" w:type="dxa"/>
            <w:tcBorders>
              <w:top w:val="single" w:sz="4" w:space="0" w:color="auto"/>
            </w:tcBorders>
            <w:shd w:val="clear" w:color="auto" w:fill="auto"/>
            <w:vAlign w:val="center"/>
          </w:tcPr>
          <w:p w14:paraId="431CDEDF" w14:textId="77777777" w:rsidR="00E9008A" w:rsidRPr="003A0C5C" w:rsidRDefault="00E9008A" w:rsidP="00434F8A">
            <w:pPr>
              <w:pStyle w:val="Tabletext"/>
              <w:spacing w:before="40" w:after="40"/>
              <w:jc w:val="center"/>
            </w:pPr>
            <w:r w:rsidRPr="003A0C5C">
              <w:t>0.0</w:t>
            </w:r>
          </w:p>
        </w:tc>
        <w:tc>
          <w:tcPr>
            <w:tcW w:w="1350" w:type="dxa"/>
            <w:tcBorders>
              <w:top w:val="single" w:sz="4" w:space="0" w:color="auto"/>
            </w:tcBorders>
            <w:vAlign w:val="center"/>
          </w:tcPr>
          <w:p w14:paraId="459EE6A8" w14:textId="77777777" w:rsidR="00E9008A" w:rsidRPr="003A0C5C" w:rsidRDefault="00E9008A" w:rsidP="00434F8A">
            <w:pPr>
              <w:pStyle w:val="Tabletext"/>
              <w:spacing w:before="40" w:after="40"/>
              <w:jc w:val="center"/>
            </w:pPr>
            <w:r w:rsidRPr="003A0C5C">
              <w:t>No</w:t>
            </w:r>
          </w:p>
        </w:tc>
      </w:tr>
      <w:tr w:rsidR="003A0C5C" w:rsidRPr="003A0C5C" w14:paraId="0CA5BAF8" w14:textId="77777777" w:rsidTr="00313B2A">
        <w:trPr>
          <w:jc w:val="center"/>
        </w:trPr>
        <w:tc>
          <w:tcPr>
            <w:tcW w:w="3330" w:type="dxa"/>
            <w:tcBorders>
              <w:top w:val="single" w:sz="4" w:space="0" w:color="auto"/>
            </w:tcBorders>
          </w:tcPr>
          <w:p w14:paraId="2E3CBA2A" w14:textId="5BED7ECE" w:rsidR="00E9008A" w:rsidRPr="003A0C5C" w:rsidRDefault="00C9208D" w:rsidP="00434F8A">
            <w:pPr>
              <w:pStyle w:val="Tabletext"/>
              <w:spacing w:before="40" w:after="40"/>
            </w:pPr>
            <w:proofErr w:type="spellStart"/>
            <w:r w:rsidRPr="003A0C5C">
              <w:t>b</w:t>
            </w:r>
            <w:r w:rsidR="00E9008A" w:rsidRPr="003A0C5C">
              <w:t>twn</w:t>
            </w:r>
            <w:proofErr w:type="spellEnd"/>
            <w:r w:rsidR="00E9008A" w:rsidRPr="003A0C5C">
              <w:t xml:space="preserve"> I-405 SB Ramps and I-405 NB Ramps</w:t>
            </w:r>
          </w:p>
        </w:tc>
        <w:tc>
          <w:tcPr>
            <w:tcW w:w="1530" w:type="dxa"/>
            <w:tcBorders>
              <w:top w:val="single" w:sz="4" w:space="0" w:color="auto"/>
            </w:tcBorders>
            <w:vAlign w:val="center"/>
          </w:tcPr>
          <w:p w14:paraId="6ABE9693" w14:textId="77777777" w:rsidR="00E9008A" w:rsidRPr="003A0C5C" w:rsidRDefault="00E9008A" w:rsidP="00434F8A">
            <w:pPr>
              <w:pStyle w:val="Tabletext"/>
              <w:spacing w:before="40" w:after="40"/>
              <w:jc w:val="center"/>
            </w:pPr>
            <w:r w:rsidRPr="003A0C5C">
              <w:t>73.3</w:t>
            </w:r>
          </w:p>
        </w:tc>
        <w:tc>
          <w:tcPr>
            <w:tcW w:w="1350" w:type="dxa"/>
            <w:tcBorders>
              <w:top w:val="single" w:sz="4" w:space="0" w:color="auto"/>
            </w:tcBorders>
            <w:vAlign w:val="center"/>
          </w:tcPr>
          <w:p w14:paraId="2CA383E2" w14:textId="77777777" w:rsidR="00E9008A" w:rsidRPr="003A0C5C" w:rsidRDefault="00E9008A" w:rsidP="00434F8A">
            <w:pPr>
              <w:pStyle w:val="Tabletext"/>
              <w:spacing w:before="40" w:after="40"/>
              <w:jc w:val="center"/>
            </w:pPr>
            <w:r w:rsidRPr="003A0C5C">
              <w:t>73.3</w:t>
            </w:r>
          </w:p>
        </w:tc>
        <w:tc>
          <w:tcPr>
            <w:tcW w:w="1800" w:type="dxa"/>
            <w:tcBorders>
              <w:top w:val="single" w:sz="4" w:space="0" w:color="auto"/>
            </w:tcBorders>
            <w:shd w:val="clear" w:color="auto" w:fill="auto"/>
            <w:vAlign w:val="center"/>
          </w:tcPr>
          <w:p w14:paraId="18073FF5" w14:textId="77777777" w:rsidR="00E9008A" w:rsidRPr="003A0C5C" w:rsidRDefault="00E9008A" w:rsidP="00434F8A">
            <w:pPr>
              <w:pStyle w:val="Tabletext"/>
              <w:spacing w:before="40" w:after="40"/>
              <w:jc w:val="center"/>
            </w:pPr>
            <w:r w:rsidRPr="003A0C5C">
              <w:t>0.0</w:t>
            </w:r>
          </w:p>
        </w:tc>
        <w:tc>
          <w:tcPr>
            <w:tcW w:w="1350" w:type="dxa"/>
            <w:tcBorders>
              <w:top w:val="single" w:sz="4" w:space="0" w:color="auto"/>
            </w:tcBorders>
            <w:vAlign w:val="center"/>
          </w:tcPr>
          <w:p w14:paraId="692D5F16" w14:textId="77777777" w:rsidR="00E9008A" w:rsidRPr="003A0C5C" w:rsidRDefault="00E9008A" w:rsidP="00434F8A">
            <w:pPr>
              <w:pStyle w:val="Tabletext"/>
              <w:spacing w:before="40" w:after="40"/>
              <w:jc w:val="center"/>
            </w:pPr>
            <w:r w:rsidRPr="003A0C5C">
              <w:t>No</w:t>
            </w:r>
          </w:p>
        </w:tc>
      </w:tr>
      <w:tr w:rsidR="003A0C5C" w:rsidRPr="003A0C5C" w14:paraId="2A010E35" w14:textId="77777777" w:rsidTr="00313B2A">
        <w:trPr>
          <w:jc w:val="center"/>
        </w:trPr>
        <w:tc>
          <w:tcPr>
            <w:tcW w:w="3330" w:type="dxa"/>
            <w:tcBorders>
              <w:top w:val="single" w:sz="4" w:space="0" w:color="auto"/>
            </w:tcBorders>
          </w:tcPr>
          <w:p w14:paraId="4D0265C1" w14:textId="4126912F" w:rsidR="00E9008A" w:rsidRPr="003A0C5C" w:rsidRDefault="00C9208D" w:rsidP="00434F8A">
            <w:pPr>
              <w:pStyle w:val="Tabletext"/>
              <w:spacing w:before="40" w:after="40"/>
            </w:pPr>
            <w:proofErr w:type="spellStart"/>
            <w:r w:rsidRPr="003A0C5C">
              <w:t>b</w:t>
            </w:r>
            <w:r w:rsidR="00E9008A" w:rsidRPr="003A0C5C">
              <w:t>twn</w:t>
            </w:r>
            <w:proofErr w:type="spellEnd"/>
            <w:r w:rsidR="00E9008A" w:rsidRPr="003A0C5C">
              <w:t xml:space="preserve"> Perry St and Wilmington Ave</w:t>
            </w:r>
          </w:p>
        </w:tc>
        <w:tc>
          <w:tcPr>
            <w:tcW w:w="1530" w:type="dxa"/>
            <w:tcBorders>
              <w:top w:val="single" w:sz="4" w:space="0" w:color="auto"/>
            </w:tcBorders>
            <w:vAlign w:val="center"/>
          </w:tcPr>
          <w:p w14:paraId="700676A6" w14:textId="77777777" w:rsidR="00E9008A" w:rsidRPr="003A0C5C" w:rsidRDefault="00E9008A" w:rsidP="00434F8A">
            <w:pPr>
              <w:pStyle w:val="Tabletext"/>
              <w:spacing w:before="40" w:after="40"/>
              <w:jc w:val="center"/>
            </w:pPr>
            <w:r w:rsidRPr="003A0C5C">
              <w:t>72.2</w:t>
            </w:r>
          </w:p>
        </w:tc>
        <w:tc>
          <w:tcPr>
            <w:tcW w:w="1350" w:type="dxa"/>
            <w:tcBorders>
              <w:top w:val="single" w:sz="4" w:space="0" w:color="auto"/>
            </w:tcBorders>
            <w:vAlign w:val="center"/>
          </w:tcPr>
          <w:p w14:paraId="4302C0D4" w14:textId="77777777" w:rsidR="00E9008A" w:rsidRPr="003A0C5C" w:rsidRDefault="00E9008A" w:rsidP="00434F8A">
            <w:pPr>
              <w:pStyle w:val="Tabletext"/>
              <w:spacing w:before="40" w:after="40"/>
              <w:jc w:val="center"/>
            </w:pPr>
            <w:r w:rsidRPr="003A0C5C">
              <w:t>72.2</w:t>
            </w:r>
          </w:p>
        </w:tc>
        <w:tc>
          <w:tcPr>
            <w:tcW w:w="1800" w:type="dxa"/>
            <w:tcBorders>
              <w:top w:val="single" w:sz="4" w:space="0" w:color="auto"/>
            </w:tcBorders>
            <w:shd w:val="clear" w:color="auto" w:fill="auto"/>
            <w:vAlign w:val="center"/>
          </w:tcPr>
          <w:p w14:paraId="5BAC6F0A" w14:textId="77777777" w:rsidR="00E9008A" w:rsidRPr="003A0C5C" w:rsidRDefault="00E9008A" w:rsidP="00434F8A">
            <w:pPr>
              <w:pStyle w:val="Tabletext"/>
              <w:spacing w:before="40" w:after="40"/>
              <w:jc w:val="center"/>
            </w:pPr>
            <w:r w:rsidRPr="003A0C5C">
              <w:t>0.0</w:t>
            </w:r>
          </w:p>
        </w:tc>
        <w:tc>
          <w:tcPr>
            <w:tcW w:w="1350" w:type="dxa"/>
            <w:tcBorders>
              <w:top w:val="single" w:sz="4" w:space="0" w:color="auto"/>
            </w:tcBorders>
            <w:vAlign w:val="center"/>
          </w:tcPr>
          <w:p w14:paraId="012CAD4D" w14:textId="77777777" w:rsidR="00E9008A" w:rsidRPr="003A0C5C" w:rsidRDefault="00E9008A" w:rsidP="00434F8A">
            <w:pPr>
              <w:pStyle w:val="Tabletext"/>
              <w:spacing w:before="40" w:after="40"/>
              <w:jc w:val="center"/>
            </w:pPr>
            <w:r w:rsidRPr="003A0C5C">
              <w:t>No</w:t>
            </w:r>
          </w:p>
        </w:tc>
      </w:tr>
      <w:tr w:rsidR="003A0C5C" w:rsidRPr="003A0C5C" w14:paraId="5553C67F" w14:textId="77777777" w:rsidTr="00313B2A">
        <w:trPr>
          <w:jc w:val="center"/>
        </w:trPr>
        <w:tc>
          <w:tcPr>
            <w:tcW w:w="3330" w:type="dxa"/>
            <w:tcBorders>
              <w:top w:val="single" w:sz="4" w:space="0" w:color="auto"/>
            </w:tcBorders>
          </w:tcPr>
          <w:p w14:paraId="058AD9AE" w14:textId="77777777" w:rsidR="00E9008A" w:rsidRPr="003A0C5C" w:rsidRDefault="00E9008A" w:rsidP="00434F8A">
            <w:pPr>
              <w:pStyle w:val="Tabletext"/>
              <w:spacing w:before="40" w:after="40"/>
            </w:pPr>
            <w:r w:rsidRPr="003A0C5C">
              <w:t>e/o Wilmington Ave</w:t>
            </w:r>
          </w:p>
        </w:tc>
        <w:tc>
          <w:tcPr>
            <w:tcW w:w="1530" w:type="dxa"/>
            <w:tcBorders>
              <w:top w:val="single" w:sz="4" w:space="0" w:color="auto"/>
            </w:tcBorders>
            <w:vAlign w:val="center"/>
          </w:tcPr>
          <w:p w14:paraId="3ACD9FB2" w14:textId="77777777" w:rsidR="00E9008A" w:rsidRPr="003A0C5C" w:rsidRDefault="00E9008A" w:rsidP="00434F8A">
            <w:pPr>
              <w:pStyle w:val="Tabletext"/>
              <w:spacing w:before="40" w:after="40"/>
              <w:jc w:val="center"/>
            </w:pPr>
            <w:r w:rsidRPr="003A0C5C">
              <w:t>71.7</w:t>
            </w:r>
          </w:p>
        </w:tc>
        <w:tc>
          <w:tcPr>
            <w:tcW w:w="1350" w:type="dxa"/>
            <w:tcBorders>
              <w:top w:val="single" w:sz="4" w:space="0" w:color="auto"/>
            </w:tcBorders>
            <w:vAlign w:val="center"/>
          </w:tcPr>
          <w:p w14:paraId="7D7449B0" w14:textId="77777777" w:rsidR="00E9008A" w:rsidRPr="003A0C5C" w:rsidRDefault="00E9008A" w:rsidP="00434F8A">
            <w:pPr>
              <w:pStyle w:val="Tabletext"/>
              <w:spacing w:before="40" w:after="40"/>
              <w:jc w:val="center"/>
            </w:pPr>
            <w:r w:rsidRPr="003A0C5C">
              <w:t>71.7</w:t>
            </w:r>
          </w:p>
        </w:tc>
        <w:tc>
          <w:tcPr>
            <w:tcW w:w="1800" w:type="dxa"/>
            <w:tcBorders>
              <w:top w:val="single" w:sz="4" w:space="0" w:color="auto"/>
            </w:tcBorders>
            <w:shd w:val="clear" w:color="auto" w:fill="auto"/>
            <w:vAlign w:val="center"/>
          </w:tcPr>
          <w:p w14:paraId="713BDB2C" w14:textId="77777777" w:rsidR="00E9008A" w:rsidRPr="003A0C5C" w:rsidRDefault="00E9008A" w:rsidP="00434F8A">
            <w:pPr>
              <w:pStyle w:val="Tabletext"/>
              <w:spacing w:before="40" w:after="40"/>
              <w:jc w:val="center"/>
            </w:pPr>
            <w:r w:rsidRPr="003A0C5C">
              <w:t>0.0</w:t>
            </w:r>
          </w:p>
        </w:tc>
        <w:tc>
          <w:tcPr>
            <w:tcW w:w="1350" w:type="dxa"/>
            <w:tcBorders>
              <w:top w:val="single" w:sz="4" w:space="0" w:color="auto"/>
            </w:tcBorders>
            <w:vAlign w:val="center"/>
          </w:tcPr>
          <w:p w14:paraId="2054191A" w14:textId="77777777" w:rsidR="00E9008A" w:rsidRPr="003A0C5C" w:rsidRDefault="00E9008A" w:rsidP="00434F8A">
            <w:pPr>
              <w:pStyle w:val="Tabletext"/>
              <w:spacing w:before="40" w:after="40"/>
              <w:jc w:val="center"/>
            </w:pPr>
            <w:r w:rsidRPr="003A0C5C">
              <w:t>No</w:t>
            </w:r>
          </w:p>
        </w:tc>
      </w:tr>
      <w:tr w:rsidR="003A0C5C" w:rsidRPr="003A0C5C" w14:paraId="1C80F6F5" w14:textId="77777777" w:rsidTr="00313B2A">
        <w:trPr>
          <w:jc w:val="center"/>
        </w:trPr>
        <w:tc>
          <w:tcPr>
            <w:tcW w:w="3330" w:type="dxa"/>
            <w:tcBorders>
              <w:top w:val="single" w:sz="4" w:space="0" w:color="auto"/>
            </w:tcBorders>
          </w:tcPr>
          <w:p w14:paraId="09F2DDFE" w14:textId="77777777" w:rsidR="00E9008A" w:rsidRPr="003A0C5C" w:rsidRDefault="00E9008A" w:rsidP="00434F8A">
            <w:pPr>
              <w:pStyle w:val="Tabletext"/>
              <w:spacing w:before="40" w:after="40"/>
            </w:pPr>
            <w:r w:rsidRPr="003A0C5C">
              <w:t>w/o Avalon Blvd</w:t>
            </w:r>
          </w:p>
        </w:tc>
        <w:tc>
          <w:tcPr>
            <w:tcW w:w="1530" w:type="dxa"/>
            <w:tcBorders>
              <w:top w:val="single" w:sz="4" w:space="0" w:color="auto"/>
            </w:tcBorders>
            <w:vAlign w:val="center"/>
          </w:tcPr>
          <w:p w14:paraId="453B034F" w14:textId="77777777" w:rsidR="00E9008A" w:rsidRPr="003A0C5C" w:rsidRDefault="00E9008A" w:rsidP="00434F8A">
            <w:pPr>
              <w:pStyle w:val="Tabletext"/>
              <w:spacing w:before="40" w:after="40"/>
              <w:jc w:val="center"/>
            </w:pPr>
            <w:r w:rsidRPr="003A0C5C">
              <w:t>72.9</w:t>
            </w:r>
          </w:p>
        </w:tc>
        <w:tc>
          <w:tcPr>
            <w:tcW w:w="1350" w:type="dxa"/>
            <w:tcBorders>
              <w:top w:val="single" w:sz="4" w:space="0" w:color="auto"/>
            </w:tcBorders>
            <w:vAlign w:val="center"/>
          </w:tcPr>
          <w:p w14:paraId="03FAC3B9" w14:textId="77777777" w:rsidR="00E9008A" w:rsidRPr="003A0C5C" w:rsidRDefault="00E9008A" w:rsidP="00434F8A">
            <w:pPr>
              <w:pStyle w:val="Tabletext"/>
              <w:spacing w:before="40" w:after="40"/>
              <w:jc w:val="center"/>
            </w:pPr>
            <w:r w:rsidRPr="003A0C5C">
              <w:t>72.9</w:t>
            </w:r>
          </w:p>
        </w:tc>
        <w:tc>
          <w:tcPr>
            <w:tcW w:w="1800" w:type="dxa"/>
            <w:tcBorders>
              <w:top w:val="single" w:sz="4" w:space="0" w:color="auto"/>
            </w:tcBorders>
            <w:shd w:val="clear" w:color="auto" w:fill="auto"/>
            <w:vAlign w:val="center"/>
          </w:tcPr>
          <w:p w14:paraId="46333166" w14:textId="77777777" w:rsidR="00E9008A" w:rsidRPr="003A0C5C" w:rsidRDefault="00E9008A" w:rsidP="00434F8A">
            <w:pPr>
              <w:pStyle w:val="Tabletext"/>
              <w:spacing w:before="40" w:after="40"/>
              <w:jc w:val="center"/>
            </w:pPr>
            <w:r w:rsidRPr="003A0C5C">
              <w:t>0.0</w:t>
            </w:r>
          </w:p>
        </w:tc>
        <w:tc>
          <w:tcPr>
            <w:tcW w:w="1350" w:type="dxa"/>
            <w:tcBorders>
              <w:top w:val="single" w:sz="4" w:space="0" w:color="auto"/>
            </w:tcBorders>
            <w:vAlign w:val="center"/>
          </w:tcPr>
          <w:p w14:paraId="34FB01CD" w14:textId="77777777" w:rsidR="00E9008A" w:rsidRPr="003A0C5C" w:rsidRDefault="00E9008A" w:rsidP="00434F8A">
            <w:pPr>
              <w:pStyle w:val="Tabletext"/>
              <w:spacing w:before="40" w:after="40"/>
              <w:jc w:val="center"/>
            </w:pPr>
            <w:r w:rsidRPr="003A0C5C">
              <w:t>No</w:t>
            </w:r>
          </w:p>
        </w:tc>
      </w:tr>
      <w:tr w:rsidR="003A0C5C" w:rsidRPr="003A0C5C" w14:paraId="323FAA8A" w14:textId="77777777" w:rsidTr="00313B2A">
        <w:trPr>
          <w:jc w:val="center"/>
        </w:trPr>
        <w:tc>
          <w:tcPr>
            <w:tcW w:w="3330" w:type="dxa"/>
            <w:tcBorders>
              <w:top w:val="single" w:sz="4" w:space="0" w:color="auto"/>
            </w:tcBorders>
          </w:tcPr>
          <w:p w14:paraId="1A8ED48C" w14:textId="77777777" w:rsidR="00E9008A" w:rsidRPr="003A0C5C" w:rsidRDefault="00E9008A" w:rsidP="00434F8A">
            <w:pPr>
              <w:pStyle w:val="Tablerowheading"/>
              <w:spacing w:before="50" w:after="50"/>
            </w:pPr>
            <w:r w:rsidRPr="003A0C5C">
              <w:t>I-405 NB Ramps</w:t>
            </w:r>
          </w:p>
        </w:tc>
        <w:tc>
          <w:tcPr>
            <w:tcW w:w="1530" w:type="dxa"/>
            <w:tcBorders>
              <w:top w:val="single" w:sz="4" w:space="0" w:color="auto"/>
            </w:tcBorders>
            <w:vAlign w:val="center"/>
          </w:tcPr>
          <w:p w14:paraId="747CB388" w14:textId="77777777" w:rsidR="00E9008A" w:rsidRPr="003A0C5C" w:rsidRDefault="00E9008A" w:rsidP="00434F8A">
            <w:pPr>
              <w:pStyle w:val="Tablerowheading"/>
              <w:spacing w:before="50" w:after="50"/>
            </w:pPr>
          </w:p>
        </w:tc>
        <w:tc>
          <w:tcPr>
            <w:tcW w:w="1350" w:type="dxa"/>
            <w:tcBorders>
              <w:top w:val="single" w:sz="4" w:space="0" w:color="auto"/>
            </w:tcBorders>
            <w:vAlign w:val="center"/>
          </w:tcPr>
          <w:p w14:paraId="6F005CD8" w14:textId="77777777" w:rsidR="00E9008A" w:rsidRPr="003A0C5C" w:rsidRDefault="00E9008A" w:rsidP="00434F8A">
            <w:pPr>
              <w:pStyle w:val="Tablerowheading"/>
              <w:spacing w:before="50" w:after="50"/>
            </w:pPr>
          </w:p>
        </w:tc>
        <w:tc>
          <w:tcPr>
            <w:tcW w:w="1800" w:type="dxa"/>
            <w:tcBorders>
              <w:top w:val="single" w:sz="4" w:space="0" w:color="auto"/>
            </w:tcBorders>
            <w:shd w:val="clear" w:color="auto" w:fill="auto"/>
            <w:vAlign w:val="center"/>
          </w:tcPr>
          <w:p w14:paraId="7BF6AECB" w14:textId="77777777" w:rsidR="00E9008A" w:rsidRPr="003A0C5C" w:rsidRDefault="00E9008A" w:rsidP="00434F8A">
            <w:pPr>
              <w:pStyle w:val="Tablerowheading"/>
              <w:spacing w:before="50" w:after="50"/>
            </w:pPr>
          </w:p>
        </w:tc>
        <w:tc>
          <w:tcPr>
            <w:tcW w:w="1350" w:type="dxa"/>
            <w:tcBorders>
              <w:top w:val="single" w:sz="4" w:space="0" w:color="auto"/>
            </w:tcBorders>
            <w:vAlign w:val="center"/>
          </w:tcPr>
          <w:p w14:paraId="419CAA57" w14:textId="77777777" w:rsidR="00E9008A" w:rsidRPr="003A0C5C" w:rsidRDefault="00E9008A" w:rsidP="00434F8A">
            <w:pPr>
              <w:pStyle w:val="Tablerowheading"/>
              <w:spacing w:before="50" w:after="50"/>
            </w:pPr>
          </w:p>
        </w:tc>
      </w:tr>
      <w:tr w:rsidR="003A0C5C" w:rsidRPr="003A0C5C" w14:paraId="4833DAE2" w14:textId="77777777" w:rsidTr="00313B2A">
        <w:trPr>
          <w:jc w:val="center"/>
        </w:trPr>
        <w:tc>
          <w:tcPr>
            <w:tcW w:w="3330" w:type="dxa"/>
            <w:tcBorders>
              <w:top w:val="single" w:sz="4" w:space="0" w:color="auto"/>
            </w:tcBorders>
          </w:tcPr>
          <w:p w14:paraId="4F7E4F4B" w14:textId="77777777" w:rsidR="00E9008A" w:rsidRPr="003A0C5C" w:rsidRDefault="00E9008A" w:rsidP="00434F8A">
            <w:pPr>
              <w:pStyle w:val="Tabletext"/>
              <w:spacing w:before="40" w:after="40"/>
            </w:pPr>
            <w:r w:rsidRPr="003A0C5C">
              <w:t>n/o Carson St</w:t>
            </w:r>
          </w:p>
        </w:tc>
        <w:tc>
          <w:tcPr>
            <w:tcW w:w="1530" w:type="dxa"/>
            <w:tcBorders>
              <w:top w:val="single" w:sz="4" w:space="0" w:color="auto"/>
            </w:tcBorders>
            <w:vAlign w:val="center"/>
          </w:tcPr>
          <w:p w14:paraId="3BB4BDF3" w14:textId="77777777" w:rsidR="00E9008A" w:rsidRPr="003A0C5C" w:rsidRDefault="00E9008A" w:rsidP="00434F8A">
            <w:pPr>
              <w:pStyle w:val="Tabletext"/>
              <w:spacing w:before="40" w:after="40"/>
              <w:jc w:val="center"/>
            </w:pPr>
            <w:r w:rsidRPr="003A0C5C">
              <w:t>69.1</w:t>
            </w:r>
          </w:p>
        </w:tc>
        <w:tc>
          <w:tcPr>
            <w:tcW w:w="1350" w:type="dxa"/>
            <w:tcBorders>
              <w:top w:val="single" w:sz="4" w:space="0" w:color="auto"/>
            </w:tcBorders>
            <w:vAlign w:val="center"/>
          </w:tcPr>
          <w:p w14:paraId="1FE7D49E" w14:textId="77777777" w:rsidR="00E9008A" w:rsidRPr="003A0C5C" w:rsidRDefault="00E9008A" w:rsidP="00434F8A">
            <w:pPr>
              <w:pStyle w:val="Tabletext"/>
              <w:spacing w:before="40" w:after="40"/>
              <w:jc w:val="center"/>
            </w:pPr>
            <w:r w:rsidRPr="003A0C5C">
              <w:t>69.2</w:t>
            </w:r>
          </w:p>
        </w:tc>
        <w:tc>
          <w:tcPr>
            <w:tcW w:w="1800" w:type="dxa"/>
            <w:tcBorders>
              <w:top w:val="single" w:sz="4" w:space="0" w:color="auto"/>
            </w:tcBorders>
            <w:shd w:val="clear" w:color="auto" w:fill="auto"/>
            <w:vAlign w:val="center"/>
          </w:tcPr>
          <w:p w14:paraId="1BD473DD" w14:textId="77777777" w:rsidR="00E9008A" w:rsidRPr="003A0C5C" w:rsidRDefault="00E9008A" w:rsidP="00434F8A">
            <w:pPr>
              <w:pStyle w:val="Tabletext"/>
              <w:spacing w:before="40" w:after="40"/>
              <w:jc w:val="center"/>
            </w:pPr>
            <w:r w:rsidRPr="003A0C5C">
              <w:t>0.1</w:t>
            </w:r>
          </w:p>
        </w:tc>
        <w:tc>
          <w:tcPr>
            <w:tcW w:w="1350" w:type="dxa"/>
            <w:tcBorders>
              <w:top w:val="single" w:sz="4" w:space="0" w:color="auto"/>
            </w:tcBorders>
            <w:vAlign w:val="center"/>
          </w:tcPr>
          <w:p w14:paraId="406D9D2F" w14:textId="77777777" w:rsidR="00E9008A" w:rsidRPr="003A0C5C" w:rsidRDefault="00E9008A" w:rsidP="00434F8A">
            <w:pPr>
              <w:pStyle w:val="Tabletext"/>
              <w:spacing w:before="40" w:after="40"/>
              <w:jc w:val="center"/>
            </w:pPr>
            <w:r w:rsidRPr="003A0C5C">
              <w:t>No</w:t>
            </w:r>
          </w:p>
        </w:tc>
      </w:tr>
      <w:tr w:rsidR="003A0C5C" w:rsidRPr="003A0C5C" w14:paraId="5E2EBCDD" w14:textId="77777777" w:rsidTr="00313B2A">
        <w:trPr>
          <w:jc w:val="center"/>
        </w:trPr>
        <w:tc>
          <w:tcPr>
            <w:tcW w:w="3330" w:type="dxa"/>
            <w:tcBorders>
              <w:top w:val="single" w:sz="4" w:space="0" w:color="auto"/>
            </w:tcBorders>
          </w:tcPr>
          <w:p w14:paraId="0860DC88" w14:textId="77777777" w:rsidR="00E9008A" w:rsidRPr="003A0C5C" w:rsidRDefault="00E9008A" w:rsidP="00434F8A">
            <w:pPr>
              <w:pStyle w:val="Tabletext"/>
              <w:spacing w:before="40" w:after="40"/>
            </w:pPr>
            <w:r w:rsidRPr="003A0C5C">
              <w:t>s/o Carson St</w:t>
            </w:r>
          </w:p>
        </w:tc>
        <w:tc>
          <w:tcPr>
            <w:tcW w:w="1530" w:type="dxa"/>
            <w:tcBorders>
              <w:top w:val="single" w:sz="4" w:space="0" w:color="auto"/>
            </w:tcBorders>
            <w:vAlign w:val="center"/>
          </w:tcPr>
          <w:p w14:paraId="06F90B60" w14:textId="77777777" w:rsidR="00E9008A" w:rsidRPr="003A0C5C" w:rsidRDefault="00E9008A" w:rsidP="00434F8A">
            <w:pPr>
              <w:pStyle w:val="Tabletext"/>
              <w:spacing w:before="40" w:after="40"/>
              <w:jc w:val="center"/>
            </w:pPr>
            <w:r w:rsidRPr="003A0C5C">
              <w:t>61.1</w:t>
            </w:r>
          </w:p>
        </w:tc>
        <w:tc>
          <w:tcPr>
            <w:tcW w:w="1350" w:type="dxa"/>
            <w:tcBorders>
              <w:top w:val="single" w:sz="4" w:space="0" w:color="auto"/>
            </w:tcBorders>
            <w:vAlign w:val="center"/>
          </w:tcPr>
          <w:p w14:paraId="1B361DAC" w14:textId="77777777" w:rsidR="00E9008A" w:rsidRPr="003A0C5C" w:rsidRDefault="00E9008A" w:rsidP="00434F8A">
            <w:pPr>
              <w:pStyle w:val="Tabletext"/>
              <w:spacing w:before="40" w:after="40"/>
              <w:jc w:val="center"/>
            </w:pPr>
            <w:r w:rsidRPr="003A0C5C">
              <w:t>61.1</w:t>
            </w:r>
          </w:p>
        </w:tc>
        <w:tc>
          <w:tcPr>
            <w:tcW w:w="1800" w:type="dxa"/>
            <w:tcBorders>
              <w:top w:val="single" w:sz="4" w:space="0" w:color="auto"/>
            </w:tcBorders>
            <w:shd w:val="clear" w:color="auto" w:fill="auto"/>
            <w:vAlign w:val="center"/>
          </w:tcPr>
          <w:p w14:paraId="061D0104" w14:textId="77777777" w:rsidR="00E9008A" w:rsidRPr="003A0C5C" w:rsidRDefault="00E9008A" w:rsidP="00434F8A">
            <w:pPr>
              <w:pStyle w:val="Tabletext"/>
              <w:spacing w:before="40" w:after="40"/>
              <w:jc w:val="center"/>
            </w:pPr>
            <w:r w:rsidRPr="003A0C5C">
              <w:t>0.0</w:t>
            </w:r>
          </w:p>
        </w:tc>
        <w:tc>
          <w:tcPr>
            <w:tcW w:w="1350" w:type="dxa"/>
            <w:tcBorders>
              <w:top w:val="single" w:sz="4" w:space="0" w:color="auto"/>
            </w:tcBorders>
            <w:vAlign w:val="center"/>
          </w:tcPr>
          <w:p w14:paraId="21BCAC67" w14:textId="77777777" w:rsidR="00E9008A" w:rsidRPr="003A0C5C" w:rsidRDefault="00E9008A" w:rsidP="00434F8A">
            <w:pPr>
              <w:pStyle w:val="Tabletext"/>
              <w:spacing w:before="40" w:after="40"/>
              <w:jc w:val="center"/>
            </w:pPr>
            <w:r w:rsidRPr="003A0C5C">
              <w:t>No</w:t>
            </w:r>
          </w:p>
        </w:tc>
      </w:tr>
      <w:tr w:rsidR="003A0C5C" w:rsidRPr="003A0C5C" w14:paraId="18E2BA44" w14:textId="77777777" w:rsidTr="00313B2A">
        <w:trPr>
          <w:jc w:val="center"/>
        </w:trPr>
        <w:tc>
          <w:tcPr>
            <w:tcW w:w="3330" w:type="dxa"/>
            <w:tcBorders>
              <w:top w:val="single" w:sz="4" w:space="0" w:color="auto"/>
            </w:tcBorders>
          </w:tcPr>
          <w:p w14:paraId="42105522" w14:textId="77777777" w:rsidR="00E9008A" w:rsidRPr="003A0C5C" w:rsidRDefault="00E9008A" w:rsidP="00434F8A">
            <w:pPr>
              <w:pStyle w:val="Tablerowheading"/>
              <w:spacing w:before="50" w:after="50"/>
            </w:pPr>
            <w:r w:rsidRPr="003A0C5C">
              <w:t>I-405 SB Ramps</w:t>
            </w:r>
          </w:p>
        </w:tc>
        <w:tc>
          <w:tcPr>
            <w:tcW w:w="1530" w:type="dxa"/>
            <w:tcBorders>
              <w:top w:val="single" w:sz="4" w:space="0" w:color="auto"/>
            </w:tcBorders>
            <w:vAlign w:val="center"/>
          </w:tcPr>
          <w:p w14:paraId="079ED3F2" w14:textId="77777777" w:rsidR="00E9008A" w:rsidRPr="003A0C5C" w:rsidRDefault="00E9008A" w:rsidP="00434F8A">
            <w:pPr>
              <w:pStyle w:val="Tablerowheading"/>
              <w:spacing w:before="50" w:after="50"/>
            </w:pPr>
          </w:p>
        </w:tc>
        <w:tc>
          <w:tcPr>
            <w:tcW w:w="1350" w:type="dxa"/>
            <w:tcBorders>
              <w:top w:val="single" w:sz="4" w:space="0" w:color="auto"/>
            </w:tcBorders>
            <w:vAlign w:val="center"/>
          </w:tcPr>
          <w:p w14:paraId="73358F2D" w14:textId="77777777" w:rsidR="00E9008A" w:rsidRPr="003A0C5C" w:rsidRDefault="00E9008A" w:rsidP="00434F8A">
            <w:pPr>
              <w:pStyle w:val="Tablerowheading"/>
              <w:spacing w:before="50" w:after="50"/>
            </w:pPr>
          </w:p>
        </w:tc>
        <w:tc>
          <w:tcPr>
            <w:tcW w:w="1800" w:type="dxa"/>
            <w:tcBorders>
              <w:top w:val="single" w:sz="4" w:space="0" w:color="auto"/>
            </w:tcBorders>
            <w:shd w:val="clear" w:color="auto" w:fill="auto"/>
            <w:vAlign w:val="center"/>
          </w:tcPr>
          <w:p w14:paraId="68C2AE40" w14:textId="77777777" w:rsidR="00E9008A" w:rsidRPr="003A0C5C" w:rsidRDefault="00E9008A" w:rsidP="00434F8A">
            <w:pPr>
              <w:pStyle w:val="Tablerowheading"/>
              <w:spacing w:before="50" w:after="50"/>
            </w:pPr>
          </w:p>
        </w:tc>
        <w:tc>
          <w:tcPr>
            <w:tcW w:w="1350" w:type="dxa"/>
            <w:tcBorders>
              <w:top w:val="single" w:sz="4" w:space="0" w:color="auto"/>
            </w:tcBorders>
            <w:vAlign w:val="center"/>
          </w:tcPr>
          <w:p w14:paraId="0FA3C5AA" w14:textId="77777777" w:rsidR="00E9008A" w:rsidRPr="003A0C5C" w:rsidRDefault="00E9008A" w:rsidP="00434F8A">
            <w:pPr>
              <w:pStyle w:val="Tablerowheading"/>
              <w:spacing w:before="50" w:after="50"/>
            </w:pPr>
          </w:p>
        </w:tc>
      </w:tr>
      <w:tr w:rsidR="003A0C5C" w:rsidRPr="003A0C5C" w14:paraId="7E6893EA" w14:textId="77777777" w:rsidTr="00313B2A">
        <w:trPr>
          <w:jc w:val="center"/>
        </w:trPr>
        <w:tc>
          <w:tcPr>
            <w:tcW w:w="3330" w:type="dxa"/>
            <w:tcBorders>
              <w:top w:val="single" w:sz="4" w:space="0" w:color="auto"/>
            </w:tcBorders>
          </w:tcPr>
          <w:p w14:paraId="4D107C53" w14:textId="77777777" w:rsidR="00E9008A" w:rsidRPr="003A0C5C" w:rsidRDefault="00E9008A" w:rsidP="00434F8A">
            <w:pPr>
              <w:pStyle w:val="Tabletext"/>
              <w:spacing w:before="40" w:after="40"/>
            </w:pPr>
            <w:r w:rsidRPr="003A0C5C">
              <w:t>n/o Carson St</w:t>
            </w:r>
          </w:p>
        </w:tc>
        <w:tc>
          <w:tcPr>
            <w:tcW w:w="1530" w:type="dxa"/>
            <w:tcBorders>
              <w:top w:val="single" w:sz="4" w:space="0" w:color="auto"/>
            </w:tcBorders>
            <w:vAlign w:val="center"/>
          </w:tcPr>
          <w:p w14:paraId="0C7E49C8" w14:textId="77777777" w:rsidR="00E9008A" w:rsidRPr="003A0C5C" w:rsidRDefault="00E9008A" w:rsidP="00434F8A">
            <w:pPr>
              <w:pStyle w:val="Tabletext"/>
              <w:spacing w:before="40" w:after="40"/>
              <w:jc w:val="center"/>
            </w:pPr>
            <w:r w:rsidRPr="003A0C5C">
              <w:t>47.4</w:t>
            </w:r>
          </w:p>
        </w:tc>
        <w:tc>
          <w:tcPr>
            <w:tcW w:w="1350" w:type="dxa"/>
            <w:tcBorders>
              <w:top w:val="single" w:sz="4" w:space="0" w:color="auto"/>
            </w:tcBorders>
            <w:vAlign w:val="center"/>
          </w:tcPr>
          <w:p w14:paraId="63E13806" w14:textId="77777777" w:rsidR="00E9008A" w:rsidRPr="003A0C5C" w:rsidRDefault="00E9008A" w:rsidP="00434F8A">
            <w:pPr>
              <w:pStyle w:val="Tabletext"/>
              <w:spacing w:before="40" w:after="40"/>
              <w:jc w:val="center"/>
            </w:pPr>
            <w:r w:rsidRPr="003A0C5C">
              <w:t>47.4</w:t>
            </w:r>
          </w:p>
        </w:tc>
        <w:tc>
          <w:tcPr>
            <w:tcW w:w="1800" w:type="dxa"/>
            <w:tcBorders>
              <w:top w:val="single" w:sz="4" w:space="0" w:color="auto"/>
            </w:tcBorders>
            <w:shd w:val="clear" w:color="auto" w:fill="auto"/>
            <w:vAlign w:val="center"/>
          </w:tcPr>
          <w:p w14:paraId="522F2B20" w14:textId="77777777" w:rsidR="00E9008A" w:rsidRPr="003A0C5C" w:rsidRDefault="00E9008A" w:rsidP="00434F8A">
            <w:pPr>
              <w:pStyle w:val="Tabletext"/>
              <w:spacing w:before="40" w:after="40"/>
              <w:jc w:val="center"/>
            </w:pPr>
            <w:r w:rsidRPr="003A0C5C">
              <w:t>0.0</w:t>
            </w:r>
          </w:p>
        </w:tc>
        <w:tc>
          <w:tcPr>
            <w:tcW w:w="1350" w:type="dxa"/>
            <w:tcBorders>
              <w:top w:val="single" w:sz="4" w:space="0" w:color="auto"/>
            </w:tcBorders>
            <w:vAlign w:val="center"/>
          </w:tcPr>
          <w:p w14:paraId="76964882" w14:textId="77777777" w:rsidR="00E9008A" w:rsidRPr="003A0C5C" w:rsidRDefault="00E9008A" w:rsidP="00434F8A">
            <w:pPr>
              <w:pStyle w:val="Tabletext"/>
              <w:spacing w:before="40" w:after="40"/>
              <w:jc w:val="center"/>
            </w:pPr>
            <w:r w:rsidRPr="003A0C5C">
              <w:t>No</w:t>
            </w:r>
          </w:p>
        </w:tc>
      </w:tr>
      <w:tr w:rsidR="003A0C5C" w:rsidRPr="003A0C5C" w14:paraId="19D3D563" w14:textId="77777777" w:rsidTr="00313B2A">
        <w:trPr>
          <w:jc w:val="center"/>
        </w:trPr>
        <w:tc>
          <w:tcPr>
            <w:tcW w:w="3330" w:type="dxa"/>
            <w:tcBorders>
              <w:top w:val="single" w:sz="4" w:space="0" w:color="auto"/>
            </w:tcBorders>
          </w:tcPr>
          <w:p w14:paraId="0CFF7F68" w14:textId="77777777" w:rsidR="00E9008A" w:rsidRPr="003A0C5C" w:rsidRDefault="00E9008A" w:rsidP="00434F8A">
            <w:pPr>
              <w:pStyle w:val="Tabletext"/>
              <w:spacing w:before="40" w:after="40"/>
            </w:pPr>
            <w:r w:rsidRPr="003A0C5C">
              <w:t>s/o Carson St</w:t>
            </w:r>
          </w:p>
        </w:tc>
        <w:tc>
          <w:tcPr>
            <w:tcW w:w="1530" w:type="dxa"/>
            <w:tcBorders>
              <w:top w:val="single" w:sz="4" w:space="0" w:color="auto"/>
            </w:tcBorders>
            <w:vAlign w:val="center"/>
          </w:tcPr>
          <w:p w14:paraId="40C774F3" w14:textId="77777777" w:rsidR="00E9008A" w:rsidRPr="003A0C5C" w:rsidRDefault="00E9008A" w:rsidP="00434F8A">
            <w:pPr>
              <w:pStyle w:val="Tabletext"/>
              <w:spacing w:before="40" w:after="40"/>
              <w:jc w:val="center"/>
            </w:pPr>
            <w:r w:rsidRPr="003A0C5C">
              <w:t>69.3</w:t>
            </w:r>
          </w:p>
        </w:tc>
        <w:tc>
          <w:tcPr>
            <w:tcW w:w="1350" w:type="dxa"/>
            <w:tcBorders>
              <w:top w:val="single" w:sz="4" w:space="0" w:color="auto"/>
            </w:tcBorders>
            <w:vAlign w:val="center"/>
          </w:tcPr>
          <w:p w14:paraId="3EDE62A6" w14:textId="77777777" w:rsidR="00E9008A" w:rsidRPr="003A0C5C" w:rsidRDefault="00E9008A" w:rsidP="00434F8A">
            <w:pPr>
              <w:pStyle w:val="Tabletext"/>
              <w:spacing w:before="40" w:after="40"/>
              <w:jc w:val="center"/>
            </w:pPr>
            <w:r w:rsidRPr="003A0C5C">
              <w:t>69.3</w:t>
            </w:r>
          </w:p>
        </w:tc>
        <w:tc>
          <w:tcPr>
            <w:tcW w:w="1800" w:type="dxa"/>
            <w:tcBorders>
              <w:top w:val="single" w:sz="4" w:space="0" w:color="auto"/>
            </w:tcBorders>
            <w:shd w:val="clear" w:color="auto" w:fill="auto"/>
            <w:vAlign w:val="center"/>
          </w:tcPr>
          <w:p w14:paraId="747B4202" w14:textId="77777777" w:rsidR="00E9008A" w:rsidRPr="003A0C5C" w:rsidRDefault="00E9008A" w:rsidP="00434F8A">
            <w:pPr>
              <w:pStyle w:val="Tabletext"/>
              <w:spacing w:before="40" w:after="40"/>
              <w:jc w:val="center"/>
            </w:pPr>
            <w:r w:rsidRPr="003A0C5C">
              <w:t>0.0</w:t>
            </w:r>
          </w:p>
        </w:tc>
        <w:tc>
          <w:tcPr>
            <w:tcW w:w="1350" w:type="dxa"/>
            <w:tcBorders>
              <w:top w:val="single" w:sz="4" w:space="0" w:color="auto"/>
            </w:tcBorders>
            <w:vAlign w:val="center"/>
          </w:tcPr>
          <w:p w14:paraId="37A04069" w14:textId="77777777" w:rsidR="00E9008A" w:rsidRPr="003A0C5C" w:rsidRDefault="00E9008A" w:rsidP="00434F8A">
            <w:pPr>
              <w:pStyle w:val="Tabletext"/>
              <w:spacing w:before="40" w:after="40"/>
              <w:jc w:val="center"/>
            </w:pPr>
            <w:r w:rsidRPr="003A0C5C">
              <w:t>No</w:t>
            </w:r>
          </w:p>
        </w:tc>
      </w:tr>
      <w:tr w:rsidR="003A0C5C" w:rsidRPr="003A0C5C" w14:paraId="75F1FCD2" w14:textId="77777777" w:rsidTr="00313B2A">
        <w:trPr>
          <w:jc w:val="center"/>
        </w:trPr>
        <w:tc>
          <w:tcPr>
            <w:tcW w:w="3330" w:type="dxa"/>
            <w:tcBorders>
              <w:top w:val="single" w:sz="4" w:space="0" w:color="auto"/>
            </w:tcBorders>
          </w:tcPr>
          <w:p w14:paraId="6EADF740" w14:textId="77777777" w:rsidR="00E9008A" w:rsidRPr="003A0C5C" w:rsidRDefault="00E9008A" w:rsidP="00434F8A">
            <w:pPr>
              <w:pStyle w:val="Tablerowheading"/>
              <w:spacing w:before="50" w:after="50"/>
            </w:pPr>
            <w:r w:rsidRPr="003A0C5C">
              <w:t>Perry St</w:t>
            </w:r>
          </w:p>
        </w:tc>
        <w:tc>
          <w:tcPr>
            <w:tcW w:w="1530" w:type="dxa"/>
            <w:tcBorders>
              <w:top w:val="single" w:sz="4" w:space="0" w:color="auto"/>
            </w:tcBorders>
            <w:vAlign w:val="center"/>
          </w:tcPr>
          <w:p w14:paraId="22F34C9C" w14:textId="77777777" w:rsidR="00E9008A" w:rsidRPr="003A0C5C" w:rsidRDefault="00E9008A" w:rsidP="00434F8A">
            <w:pPr>
              <w:pStyle w:val="Tablerowheading"/>
              <w:spacing w:before="50" w:after="50"/>
            </w:pPr>
          </w:p>
        </w:tc>
        <w:tc>
          <w:tcPr>
            <w:tcW w:w="1350" w:type="dxa"/>
            <w:tcBorders>
              <w:top w:val="single" w:sz="4" w:space="0" w:color="auto"/>
            </w:tcBorders>
            <w:vAlign w:val="center"/>
          </w:tcPr>
          <w:p w14:paraId="6ACEC7F9" w14:textId="77777777" w:rsidR="00E9008A" w:rsidRPr="003A0C5C" w:rsidRDefault="00E9008A" w:rsidP="00434F8A">
            <w:pPr>
              <w:pStyle w:val="Tablerowheading"/>
              <w:spacing w:before="50" w:after="50"/>
            </w:pPr>
          </w:p>
        </w:tc>
        <w:tc>
          <w:tcPr>
            <w:tcW w:w="1800" w:type="dxa"/>
            <w:tcBorders>
              <w:top w:val="single" w:sz="4" w:space="0" w:color="auto"/>
            </w:tcBorders>
            <w:shd w:val="clear" w:color="auto" w:fill="auto"/>
            <w:vAlign w:val="center"/>
          </w:tcPr>
          <w:p w14:paraId="19DA8A5B" w14:textId="77777777" w:rsidR="00E9008A" w:rsidRPr="003A0C5C" w:rsidRDefault="00E9008A" w:rsidP="00434F8A">
            <w:pPr>
              <w:pStyle w:val="Tablerowheading"/>
              <w:spacing w:before="50" w:after="50"/>
            </w:pPr>
          </w:p>
        </w:tc>
        <w:tc>
          <w:tcPr>
            <w:tcW w:w="1350" w:type="dxa"/>
            <w:tcBorders>
              <w:top w:val="single" w:sz="4" w:space="0" w:color="auto"/>
            </w:tcBorders>
            <w:vAlign w:val="center"/>
          </w:tcPr>
          <w:p w14:paraId="6FFA71F0" w14:textId="77777777" w:rsidR="00E9008A" w:rsidRPr="003A0C5C" w:rsidRDefault="00E9008A" w:rsidP="00434F8A">
            <w:pPr>
              <w:pStyle w:val="Tablerowheading"/>
              <w:spacing w:before="50" w:after="50"/>
            </w:pPr>
          </w:p>
        </w:tc>
      </w:tr>
      <w:tr w:rsidR="003A0C5C" w:rsidRPr="003A0C5C" w14:paraId="54384398" w14:textId="77777777" w:rsidTr="00313B2A">
        <w:trPr>
          <w:jc w:val="center"/>
        </w:trPr>
        <w:tc>
          <w:tcPr>
            <w:tcW w:w="3330" w:type="dxa"/>
            <w:tcBorders>
              <w:top w:val="single" w:sz="4" w:space="0" w:color="auto"/>
            </w:tcBorders>
          </w:tcPr>
          <w:p w14:paraId="5F7CEF36" w14:textId="7F9C8493" w:rsidR="00E9008A" w:rsidRPr="003A0C5C" w:rsidRDefault="00C9208D" w:rsidP="00434F8A">
            <w:pPr>
              <w:pStyle w:val="Tabletext"/>
              <w:spacing w:before="40" w:after="40"/>
            </w:pPr>
            <w:proofErr w:type="spellStart"/>
            <w:r w:rsidRPr="003A0C5C">
              <w:t>b</w:t>
            </w:r>
            <w:r w:rsidR="00E9008A" w:rsidRPr="003A0C5C">
              <w:t>twn</w:t>
            </w:r>
            <w:proofErr w:type="spellEnd"/>
            <w:r w:rsidR="00E9008A" w:rsidRPr="003A0C5C">
              <w:t xml:space="preserve"> Project Driveway and Carson St</w:t>
            </w:r>
          </w:p>
        </w:tc>
        <w:tc>
          <w:tcPr>
            <w:tcW w:w="1530" w:type="dxa"/>
            <w:tcBorders>
              <w:top w:val="single" w:sz="4" w:space="0" w:color="auto"/>
            </w:tcBorders>
            <w:vAlign w:val="center"/>
          </w:tcPr>
          <w:p w14:paraId="56F1CC3F" w14:textId="77777777" w:rsidR="00E9008A" w:rsidRPr="003A0C5C" w:rsidRDefault="00E9008A" w:rsidP="00434F8A">
            <w:pPr>
              <w:pStyle w:val="Tabletext"/>
              <w:spacing w:before="40" w:after="40"/>
              <w:jc w:val="center"/>
            </w:pPr>
            <w:r w:rsidRPr="003A0C5C">
              <w:t>58.5</w:t>
            </w:r>
          </w:p>
        </w:tc>
        <w:tc>
          <w:tcPr>
            <w:tcW w:w="1350" w:type="dxa"/>
            <w:tcBorders>
              <w:top w:val="single" w:sz="4" w:space="0" w:color="auto"/>
            </w:tcBorders>
            <w:vAlign w:val="center"/>
          </w:tcPr>
          <w:p w14:paraId="153580BB" w14:textId="77777777" w:rsidR="00E9008A" w:rsidRPr="003A0C5C" w:rsidRDefault="00E9008A" w:rsidP="00434F8A">
            <w:pPr>
              <w:pStyle w:val="Tabletext"/>
              <w:spacing w:before="40" w:after="40"/>
              <w:jc w:val="center"/>
            </w:pPr>
            <w:r w:rsidRPr="003A0C5C">
              <w:t>59.0</w:t>
            </w:r>
          </w:p>
        </w:tc>
        <w:tc>
          <w:tcPr>
            <w:tcW w:w="1800" w:type="dxa"/>
            <w:tcBorders>
              <w:top w:val="single" w:sz="4" w:space="0" w:color="auto"/>
            </w:tcBorders>
            <w:shd w:val="clear" w:color="auto" w:fill="auto"/>
            <w:vAlign w:val="center"/>
          </w:tcPr>
          <w:p w14:paraId="4098325E" w14:textId="77777777" w:rsidR="00E9008A" w:rsidRPr="003A0C5C" w:rsidRDefault="00E9008A" w:rsidP="00434F8A">
            <w:pPr>
              <w:pStyle w:val="Tabletext"/>
              <w:spacing w:before="40" w:after="40"/>
              <w:jc w:val="center"/>
            </w:pPr>
            <w:r w:rsidRPr="003A0C5C">
              <w:t>0.5</w:t>
            </w:r>
          </w:p>
        </w:tc>
        <w:tc>
          <w:tcPr>
            <w:tcW w:w="1350" w:type="dxa"/>
            <w:tcBorders>
              <w:top w:val="single" w:sz="4" w:space="0" w:color="auto"/>
            </w:tcBorders>
            <w:vAlign w:val="center"/>
          </w:tcPr>
          <w:p w14:paraId="29D10EFA" w14:textId="77777777" w:rsidR="00E9008A" w:rsidRPr="003A0C5C" w:rsidRDefault="00E9008A" w:rsidP="00434F8A">
            <w:pPr>
              <w:pStyle w:val="Tabletext"/>
              <w:spacing w:before="40" w:after="40"/>
              <w:jc w:val="center"/>
            </w:pPr>
            <w:r w:rsidRPr="003A0C5C">
              <w:t>No</w:t>
            </w:r>
          </w:p>
        </w:tc>
      </w:tr>
      <w:tr w:rsidR="003A0C5C" w:rsidRPr="003A0C5C" w14:paraId="389C169D" w14:textId="77777777" w:rsidTr="00313B2A">
        <w:trPr>
          <w:jc w:val="center"/>
        </w:trPr>
        <w:tc>
          <w:tcPr>
            <w:tcW w:w="3330" w:type="dxa"/>
            <w:tcBorders>
              <w:top w:val="single" w:sz="4" w:space="0" w:color="auto"/>
            </w:tcBorders>
          </w:tcPr>
          <w:p w14:paraId="0D85EF98" w14:textId="77777777" w:rsidR="00E9008A" w:rsidRPr="003A0C5C" w:rsidRDefault="00E9008A" w:rsidP="00434F8A">
            <w:pPr>
              <w:pStyle w:val="Tabletext"/>
              <w:spacing w:before="40" w:after="40"/>
            </w:pPr>
            <w:r w:rsidRPr="003A0C5C">
              <w:t>n/o Project Driveway</w:t>
            </w:r>
          </w:p>
        </w:tc>
        <w:tc>
          <w:tcPr>
            <w:tcW w:w="1530" w:type="dxa"/>
            <w:tcBorders>
              <w:top w:val="single" w:sz="4" w:space="0" w:color="auto"/>
            </w:tcBorders>
            <w:vAlign w:val="center"/>
          </w:tcPr>
          <w:p w14:paraId="664557BC" w14:textId="77777777" w:rsidR="00E9008A" w:rsidRPr="003A0C5C" w:rsidRDefault="00E9008A" w:rsidP="00434F8A">
            <w:pPr>
              <w:pStyle w:val="Tabletext"/>
              <w:spacing w:before="40" w:after="40"/>
              <w:jc w:val="center"/>
            </w:pPr>
            <w:r w:rsidRPr="003A0C5C">
              <w:t>58.4</w:t>
            </w:r>
          </w:p>
        </w:tc>
        <w:tc>
          <w:tcPr>
            <w:tcW w:w="1350" w:type="dxa"/>
            <w:tcBorders>
              <w:top w:val="single" w:sz="4" w:space="0" w:color="auto"/>
            </w:tcBorders>
            <w:vAlign w:val="center"/>
          </w:tcPr>
          <w:p w14:paraId="0D43A602" w14:textId="77777777" w:rsidR="00E9008A" w:rsidRPr="003A0C5C" w:rsidRDefault="00E9008A" w:rsidP="00434F8A">
            <w:pPr>
              <w:pStyle w:val="Tabletext"/>
              <w:spacing w:before="40" w:after="40"/>
              <w:jc w:val="center"/>
            </w:pPr>
            <w:r w:rsidRPr="003A0C5C">
              <w:t>58.5</w:t>
            </w:r>
          </w:p>
        </w:tc>
        <w:tc>
          <w:tcPr>
            <w:tcW w:w="1800" w:type="dxa"/>
            <w:tcBorders>
              <w:top w:val="single" w:sz="4" w:space="0" w:color="auto"/>
            </w:tcBorders>
            <w:shd w:val="clear" w:color="auto" w:fill="auto"/>
            <w:vAlign w:val="center"/>
          </w:tcPr>
          <w:p w14:paraId="774464FA" w14:textId="77777777" w:rsidR="00E9008A" w:rsidRPr="003A0C5C" w:rsidRDefault="00E9008A" w:rsidP="00434F8A">
            <w:pPr>
              <w:pStyle w:val="Tabletext"/>
              <w:spacing w:before="40" w:after="40"/>
              <w:jc w:val="center"/>
            </w:pPr>
            <w:r w:rsidRPr="003A0C5C">
              <w:t>0.1</w:t>
            </w:r>
          </w:p>
        </w:tc>
        <w:tc>
          <w:tcPr>
            <w:tcW w:w="1350" w:type="dxa"/>
            <w:tcBorders>
              <w:top w:val="single" w:sz="4" w:space="0" w:color="auto"/>
            </w:tcBorders>
            <w:vAlign w:val="center"/>
          </w:tcPr>
          <w:p w14:paraId="15E2CB40" w14:textId="77777777" w:rsidR="00E9008A" w:rsidRPr="003A0C5C" w:rsidRDefault="00E9008A" w:rsidP="00434F8A">
            <w:pPr>
              <w:pStyle w:val="Tabletext"/>
              <w:spacing w:before="40" w:after="40"/>
              <w:jc w:val="center"/>
            </w:pPr>
            <w:r w:rsidRPr="003A0C5C">
              <w:t>No</w:t>
            </w:r>
          </w:p>
        </w:tc>
      </w:tr>
      <w:tr w:rsidR="003A0C5C" w:rsidRPr="003A0C5C" w14:paraId="728A35F9" w14:textId="77777777" w:rsidTr="00313B2A">
        <w:trPr>
          <w:jc w:val="center"/>
        </w:trPr>
        <w:tc>
          <w:tcPr>
            <w:tcW w:w="3330" w:type="dxa"/>
            <w:tcBorders>
              <w:top w:val="single" w:sz="4" w:space="0" w:color="auto"/>
            </w:tcBorders>
          </w:tcPr>
          <w:p w14:paraId="571C5FFF" w14:textId="77777777" w:rsidR="00E9008A" w:rsidRPr="003A0C5C" w:rsidRDefault="00E9008A" w:rsidP="00434F8A">
            <w:pPr>
              <w:pStyle w:val="Tablerowheading"/>
              <w:spacing w:before="50" w:after="50"/>
            </w:pPr>
            <w:r w:rsidRPr="003A0C5C">
              <w:t>Wilmington Ave</w:t>
            </w:r>
          </w:p>
        </w:tc>
        <w:tc>
          <w:tcPr>
            <w:tcW w:w="1530" w:type="dxa"/>
            <w:tcBorders>
              <w:top w:val="single" w:sz="4" w:space="0" w:color="auto"/>
            </w:tcBorders>
            <w:vAlign w:val="center"/>
          </w:tcPr>
          <w:p w14:paraId="769BA71B" w14:textId="77777777" w:rsidR="00E9008A" w:rsidRPr="003A0C5C" w:rsidRDefault="00E9008A" w:rsidP="00434F8A">
            <w:pPr>
              <w:pStyle w:val="Tablerowheading"/>
              <w:spacing w:before="50" w:after="50"/>
            </w:pPr>
          </w:p>
        </w:tc>
        <w:tc>
          <w:tcPr>
            <w:tcW w:w="1350" w:type="dxa"/>
            <w:tcBorders>
              <w:top w:val="single" w:sz="4" w:space="0" w:color="auto"/>
            </w:tcBorders>
            <w:vAlign w:val="center"/>
          </w:tcPr>
          <w:p w14:paraId="4C669F1C" w14:textId="77777777" w:rsidR="00E9008A" w:rsidRPr="003A0C5C" w:rsidRDefault="00E9008A" w:rsidP="00434F8A">
            <w:pPr>
              <w:pStyle w:val="Tablerowheading"/>
              <w:spacing w:before="50" w:after="50"/>
            </w:pPr>
          </w:p>
        </w:tc>
        <w:tc>
          <w:tcPr>
            <w:tcW w:w="1800" w:type="dxa"/>
            <w:tcBorders>
              <w:top w:val="single" w:sz="4" w:space="0" w:color="auto"/>
            </w:tcBorders>
            <w:shd w:val="clear" w:color="auto" w:fill="auto"/>
            <w:vAlign w:val="center"/>
          </w:tcPr>
          <w:p w14:paraId="17F2C905" w14:textId="77777777" w:rsidR="00E9008A" w:rsidRPr="003A0C5C" w:rsidRDefault="00E9008A" w:rsidP="00434F8A">
            <w:pPr>
              <w:pStyle w:val="Tablerowheading"/>
              <w:spacing w:before="50" w:after="50"/>
            </w:pPr>
          </w:p>
        </w:tc>
        <w:tc>
          <w:tcPr>
            <w:tcW w:w="1350" w:type="dxa"/>
            <w:tcBorders>
              <w:top w:val="single" w:sz="4" w:space="0" w:color="auto"/>
            </w:tcBorders>
            <w:vAlign w:val="center"/>
          </w:tcPr>
          <w:p w14:paraId="5816821B" w14:textId="77777777" w:rsidR="00E9008A" w:rsidRPr="003A0C5C" w:rsidRDefault="00E9008A" w:rsidP="00434F8A">
            <w:pPr>
              <w:pStyle w:val="Tablerowheading"/>
              <w:spacing w:before="50" w:after="50"/>
            </w:pPr>
          </w:p>
        </w:tc>
      </w:tr>
      <w:tr w:rsidR="003A0C5C" w:rsidRPr="003A0C5C" w14:paraId="70F98143" w14:textId="77777777" w:rsidTr="00313B2A">
        <w:trPr>
          <w:jc w:val="center"/>
        </w:trPr>
        <w:tc>
          <w:tcPr>
            <w:tcW w:w="3330" w:type="dxa"/>
            <w:tcBorders>
              <w:top w:val="single" w:sz="4" w:space="0" w:color="auto"/>
            </w:tcBorders>
          </w:tcPr>
          <w:p w14:paraId="3B458E70" w14:textId="77777777" w:rsidR="00E9008A" w:rsidRPr="003A0C5C" w:rsidRDefault="00E9008A" w:rsidP="00434F8A">
            <w:pPr>
              <w:pStyle w:val="Tabletext"/>
              <w:spacing w:before="40" w:after="40"/>
            </w:pPr>
            <w:r w:rsidRPr="003A0C5C">
              <w:t>n/o Carson St</w:t>
            </w:r>
          </w:p>
        </w:tc>
        <w:tc>
          <w:tcPr>
            <w:tcW w:w="1530" w:type="dxa"/>
            <w:tcBorders>
              <w:top w:val="single" w:sz="4" w:space="0" w:color="auto"/>
            </w:tcBorders>
            <w:vAlign w:val="center"/>
          </w:tcPr>
          <w:p w14:paraId="767637A0" w14:textId="77777777" w:rsidR="00E9008A" w:rsidRPr="003A0C5C" w:rsidRDefault="00E9008A" w:rsidP="00434F8A">
            <w:pPr>
              <w:pStyle w:val="Tabletext"/>
              <w:spacing w:before="40" w:after="40"/>
              <w:jc w:val="center"/>
            </w:pPr>
            <w:r w:rsidRPr="003A0C5C">
              <w:t>71.2</w:t>
            </w:r>
          </w:p>
        </w:tc>
        <w:tc>
          <w:tcPr>
            <w:tcW w:w="1350" w:type="dxa"/>
            <w:tcBorders>
              <w:top w:val="single" w:sz="4" w:space="0" w:color="auto"/>
            </w:tcBorders>
            <w:vAlign w:val="center"/>
          </w:tcPr>
          <w:p w14:paraId="3040E645" w14:textId="77777777" w:rsidR="00E9008A" w:rsidRPr="003A0C5C" w:rsidRDefault="00E9008A" w:rsidP="00434F8A">
            <w:pPr>
              <w:pStyle w:val="Tabletext"/>
              <w:spacing w:before="40" w:after="40"/>
              <w:jc w:val="center"/>
            </w:pPr>
            <w:r w:rsidRPr="003A0C5C">
              <w:t>71.2</w:t>
            </w:r>
          </w:p>
        </w:tc>
        <w:tc>
          <w:tcPr>
            <w:tcW w:w="1800" w:type="dxa"/>
            <w:tcBorders>
              <w:top w:val="single" w:sz="4" w:space="0" w:color="auto"/>
            </w:tcBorders>
            <w:shd w:val="clear" w:color="auto" w:fill="auto"/>
            <w:vAlign w:val="center"/>
          </w:tcPr>
          <w:p w14:paraId="44CEA355" w14:textId="77777777" w:rsidR="00E9008A" w:rsidRPr="003A0C5C" w:rsidRDefault="00E9008A" w:rsidP="00434F8A">
            <w:pPr>
              <w:pStyle w:val="Tabletext"/>
              <w:spacing w:before="40" w:after="40"/>
              <w:jc w:val="center"/>
            </w:pPr>
            <w:r w:rsidRPr="003A0C5C">
              <w:t>0.0</w:t>
            </w:r>
          </w:p>
        </w:tc>
        <w:tc>
          <w:tcPr>
            <w:tcW w:w="1350" w:type="dxa"/>
            <w:tcBorders>
              <w:top w:val="single" w:sz="4" w:space="0" w:color="auto"/>
            </w:tcBorders>
            <w:vAlign w:val="center"/>
          </w:tcPr>
          <w:p w14:paraId="465CCB8C" w14:textId="77777777" w:rsidR="00E9008A" w:rsidRPr="003A0C5C" w:rsidRDefault="00E9008A" w:rsidP="00434F8A">
            <w:pPr>
              <w:pStyle w:val="Tabletext"/>
              <w:spacing w:before="40" w:after="40"/>
              <w:jc w:val="center"/>
            </w:pPr>
            <w:r w:rsidRPr="003A0C5C">
              <w:t>No</w:t>
            </w:r>
          </w:p>
        </w:tc>
      </w:tr>
      <w:tr w:rsidR="003A0C5C" w:rsidRPr="003A0C5C" w14:paraId="16451EAE" w14:textId="77777777" w:rsidTr="00313B2A">
        <w:trPr>
          <w:jc w:val="center"/>
        </w:trPr>
        <w:tc>
          <w:tcPr>
            <w:tcW w:w="3330" w:type="dxa"/>
            <w:tcBorders>
              <w:top w:val="single" w:sz="4" w:space="0" w:color="auto"/>
            </w:tcBorders>
          </w:tcPr>
          <w:p w14:paraId="2EE0EB84" w14:textId="77777777" w:rsidR="00E9008A" w:rsidRPr="003A0C5C" w:rsidRDefault="00E9008A" w:rsidP="00434F8A">
            <w:pPr>
              <w:pStyle w:val="Tabletext"/>
              <w:spacing w:before="40" w:after="40"/>
            </w:pPr>
            <w:r w:rsidRPr="003A0C5C">
              <w:t>s/o Carson St</w:t>
            </w:r>
          </w:p>
        </w:tc>
        <w:tc>
          <w:tcPr>
            <w:tcW w:w="1530" w:type="dxa"/>
            <w:tcBorders>
              <w:top w:val="single" w:sz="4" w:space="0" w:color="auto"/>
            </w:tcBorders>
            <w:vAlign w:val="center"/>
          </w:tcPr>
          <w:p w14:paraId="05B7EA51" w14:textId="77777777" w:rsidR="00E9008A" w:rsidRPr="003A0C5C" w:rsidRDefault="00E9008A" w:rsidP="00434F8A">
            <w:pPr>
              <w:pStyle w:val="Tabletext"/>
              <w:spacing w:before="40" w:after="40"/>
              <w:jc w:val="center"/>
            </w:pPr>
            <w:r w:rsidRPr="003A0C5C">
              <w:t>69.4</w:t>
            </w:r>
          </w:p>
        </w:tc>
        <w:tc>
          <w:tcPr>
            <w:tcW w:w="1350" w:type="dxa"/>
            <w:tcBorders>
              <w:top w:val="single" w:sz="4" w:space="0" w:color="auto"/>
            </w:tcBorders>
            <w:vAlign w:val="center"/>
          </w:tcPr>
          <w:p w14:paraId="7BA4E436" w14:textId="77777777" w:rsidR="00E9008A" w:rsidRPr="003A0C5C" w:rsidRDefault="00E9008A" w:rsidP="00434F8A">
            <w:pPr>
              <w:pStyle w:val="Tabletext"/>
              <w:spacing w:before="40" w:after="40"/>
              <w:jc w:val="center"/>
            </w:pPr>
            <w:r w:rsidRPr="003A0C5C">
              <w:t>69.4</w:t>
            </w:r>
          </w:p>
        </w:tc>
        <w:tc>
          <w:tcPr>
            <w:tcW w:w="1800" w:type="dxa"/>
            <w:tcBorders>
              <w:top w:val="single" w:sz="4" w:space="0" w:color="auto"/>
            </w:tcBorders>
            <w:shd w:val="clear" w:color="auto" w:fill="auto"/>
            <w:vAlign w:val="center"/>
          </w:tcPr>
          <w:p w14:paraId="7FD3F40F" w14:textId="77777777" w:rsidR="00E9008A" w:rsidRPr="003A0C5C" w:rsidRDefault="00E9008A" w:rsidP="00434F8A">
            <w:pPr>
              <w:pStyle w:val="Tabletext"/>
              <w:spacing w:before="40" w:after="40"/>
              <w:jc w:val="center"/>
            </w:pPr>
            <w:r w:rsidRPr="003A0C5C">
              <w:t>0.0</w:t>
            </w:r>
          </w:p>
        </w:tc>
        <w:tc>
          <w:tcPr>
            <w:tcW w:w="1350" w:type="dxa"/>
            <w:tcBorders>
              <w:top w:val="single" w:sz="4" w:space="0" w:color="auto"/>
            </w:tcBorders>
            <w:vAlign w:val="center"/>
          </w:tcPr>
          <w:p w14:paraId="0146DAD0" w14:textId="77777777" w:rsidR="00E9008A" w:rsidRPr="003A0C5C" w:rsidRDefault="00E9008A" w:rsidP="00434F8A">
            <w:pPr>
              <w:pStyle w:val="Tabletext"/>
              <w:spacing w:before="40" w:after="40"/>
              <w:jc w:val="center"/>
            </w:pPr>
            <w:r w:rsidRPr="003A0C5C">
              <w:t>No</w:t>
            </w:r>
          </w:p>
        </w:tc>
      </w:tr>
      <w:tr w:rsidR="00E9008A" w:rsidRPr="003A0C5C" w14:paraId="0468290C" w14:textId="77777777" w:rsidTr="00313B2A">
        <w:trPr>
          <w:jc w:val="center"/>
        </w:trPr>
        <w:tc>
          <w:tcPr>
            <w:tcW w:w="9360" w:type="dxa"/>
            <w:gridSpan w:val="5"/>
            <w:tcBorders>
              <w:top w:val="single" w:sz="4" w:space="0" w:color="auto"/>
              <w:bottom w:val="single" w:sz="4" w:space="0" w:color="auto"/>
            </w:tcBorders>
          </w:tcPr>
          <w:p w14:paraId="180EA1F6" w14:textId="265B20D0" w:rsidR="00E9008A" w:rsidRPr="003A0C5C" w:rsidRDefault="00E9008A" w:rsidP="00434F8A">
            <w:pPr>
              <w:pStyle w:val="TableSource"/>
              <w:spacing w:before="50" w:after="50"/>
            </w:pPr>
            <w:r w:rsidRPr="003A0C5C">
              <w:t>SOURCE: ESA 2022</w:t>
            </w:r>
          </w:p>
        </w:tc>
      </w:tr>
    </w:tbl>
    <w:p w14:paraId="2AFB5A32" w14:textId="77777777" w:rsidR="00E9008A" w:rsidRPr="003A0C5C" w:rsidRDefault="00E9008A" w:rsidP="00434F8A">
      <w:pPr>
        <w:pStyle w:val="Tabletext"/>
      </w:pPr>
    </w:p>
    <w:p w14:paraId="07C009C8" w14:textId="77777777" w:rsidR="00E9008A" w:rsidRPr="003A0C5C" w:rsidRDefault="00E9008A" w:rsidP="00E9008A">
      <w:pPr>
        <w:pStyle w:val="Heading7"/>
        <w:ind w:left="720"/>
        <w:rPr>
          <w:bCs/>
          <w:iCs w:val="0"/>
        </w:rPr>
      </w:pPr>
      <w:r w:rsidRPr="003A0C5C">
        <w:rPr>
          <w:bCs/>
          <w:iCs w:val="0"/>
        </w:rPr>
        <w:t>On-Site Operational Noise</w:t>
      </w:r>
    </w:p>
    <w:p w14:paraId="6D43FA6C" w14:textId="5DCC2029" w:rsidR="00E9008A" w:rsidRPr="003A0C5C" w:rsidRDefault="00E9008A" w:rsidP="00D620B4">
      <w:pPr>
        <w:pStyle w:val="12spaceindentcontinue"/>
      </w:pPr>
      <w:r w:rsidRPr="003A0C5C">
        <w:t xml:space="preserve">Project operations include </w:t>
      </w:r>
      <w:r w:rsidR="009A6D3E" w:rsidRPr="003A0C5C">
        <w:t xml:space="preserve">five or six </w:t>
      </w:r>
      <w:r w:rsidRPr="003A0C5C">
        <w:t>employees on</w:t>
      </w:r>
      <w:r w:rsidR="00FD5F91" w:rsidRPr="003A0C5C">
        <w:t>-</w:t>
      </w:r>
      <w:r w:rsidRPr="003A0C5C">
        <w:t xml:space="preserve">site throughout the course of the week. There would be </w:t>
      </w:r>
      <w:r w:rsidR="009A6D3E" w:rsidRPr="003A0C5C">
        <w:t xml:space="preserve">two </w:t>
      </w:r>
      <w:r w:rsidRPr="003A0C5C">
        <w:t xml:space="preserve">storage managers in the first few months of opening, </w:t>
      </w:r>
      <w:r w:rsidR="009A6D3E" w:rsidRPr="003A0C5C">
        <w:t xml:space="preserve">two </w:t>
      </w:r>
      <w:r w:rsidRPr="003A0C5C">
        <w:t xml:space="preserve">employees in the </w:t>
      </w:r>
      <w:r w:rsidR="0060361D" w:rsidRPr="003A0C5C">
        <w:t xml:space="preserve">cafe </w:t>
      </w:r>
      <w:r w:rsidRPr="003A0C5C">
        <w:t xml:space="preserve">and </w:t>
      </w:r>
      <w:r w:rsidR="009A6D3E" w:rsidRPr="003A0C5C">
        <w:t>one or two</w:t>
      </w:r>
      <w:r w:rsidRPr="003A0C5C">
        <w:t xml:space="preserve"> employees in the mail room. However, none of these employees would be living on</w:t>
      </w:r>
      <w:r w:rsidR="00FD5F91" w:rsidRPr="003A0C5C">
        <w:t>–</w:t>
      </w:r>
      <w:r w:rsidRPr="003A0C5C">
        <w:t xml:space="preserve">site. Therefore, no noise-sensitive area would be located on the project site. Storage managers and on-site employees in the </w:t>
      </w:r>
      <w:r w:rsidR="0060361D" w:rsidRPr="003A0C5C">
        <w:t xml:space="preserve">cafe </w:t>
      </w:r>
      <w:r w:rsidRPr="003A0C5C">
        <w:t xml:space="preserve">and the mail room would not generate any substantial noise and there would not be any noise impacts on </w:t>
      </w:r>
      <w:r w:rsidR="005962D5" w:rsidRPr="003A0C5C">
        <w:t xml:space="preserve">noise sensitive </w:t>
      </w:r>
      <w:r w:rsidRPr="003A0C5C">
        <w:t>land uses</w:t>
      </w:r>
      <w:r w:rsidR="005962D5" w:rsidRPr="003A0C5C">
        <w:t xml:space="preserve"> in proximity of the project site</w:t>
      </w:r>
      <w:r w:rsidRPr="003A0C5C">
        <w:t xml:space="preserve">. </w:t>
      </w:r>
    </w:p>
    <w:p w14:paraId="63EAE6FC" w14:textId="77777777" w:rsidR="00E9008A" w:rsidRPr="003A0C5C" w:rsidRDefault="00E9008A" w:rsidP="00E9008A">
      <w:pPr>
        <w:pStyle w:val="Heading8"/>
        <w:ind w:left="720"/>
        <w:jc w:val="both"/>
        <w:rPr>
          <w:rStyle w:val="SubtleEmphasis"/>
          <w:color w:val="auto"/>
        </w:rPr>
      </w:pPr>
      <w:r w:rsidRPr="003A0C5C">
        <w:rPr>
          <w:rStyle w:val="SubtleEmphasis"/>
          <w:color w:val="auto"/>
        </w:rPr>
        <w:t>Mechanical Equipment</w:t>
      </w:r>
    </w:p>
    <w:p w14:paraId="45AC4529" w14:textId="7E7FA33F" w:rsidR="00E9008A" w:rsidRPr="003A0C5C" w:rsidRDefault="00E9008A" w:rsidP="007B7187">
      <w:pPr>
        <w:pStyle w:val="12spaceindentcontinue"/>
        <w:spacing w:after="200"/>
        <w:rPr>
          <w:spacing w:val="-1"/>
        </w:rPr>
      </w:pPr>
      <w:r w:rsidRPr="003A0C5C">
        <w:rPr>
          <w:spacing w:val="-1"/>
        </w:rPr>
        <w:t xml:space="preserve">The operation of mechanical equipment that would be installed for the new facility, such as air conditioners, fans, generators, and related equipment, would generate audible noise levels in proximity to the equipment. Mechanical equipment would typically be located on rooftops or within buildings, shielded from nearby land uses by parapet or building walls to attenuate noise and avoid conflicts with </w:t>
      </w:r>
      <w:r w:rsidR="005962D5" w:rsidRPr="003A0C5C">
        <w:t>noise sensitive land uses in proximity of the project site</w:t>
      </w:r>
      <w:r w:rsidRPr="003A0C5C">
        <w:rPr>
          <w:spacing w:val="-1"/>
        </w:rPr>
        <w:t xml:space="preserve">. All building outdoor mounted mechanical and electrical equipment would be designed to meet the requirements of Municipal Code </w:t>
      </w:r>
      <w:r w:rsidR="00C970E6" w:rsidRPr="003A0C5C">
        <w:rPr>
          <w:spacing w:val="-1"/>
        </w:rPr>
        <w:t>S</w:t>
      </w:r>
      <w:r w:rsidRPr="003A0C5C">
        <w:rPr>
          <w:spacing w:val="-1"/>
        </w:rPr>
        <w:t xml:space="preserve">ection 12.08.390. A conservative exterior noise level reference for air condenser units, the primary source of noise from fixed mechanical equipment, is 81.9 dBA </w:t>
      </w:r>
      <w:proofErr w:type="spellStart"/>
      <w:r w:rsidRPr="003A0C5C">
        <w:rPr>
          <w:spacing w:val="-1"/>
        </w:rPr>
        <w:t>L</w:t>
      </w:r>
      <w:r w:rsidRPr="003A0C5C">
        <w:rPr>
          <w:spacing w:val="-1"/>
          <w:vertAlign w:val="subscript"/>
        </w:rPr>
        <w:t>eq</w:t>
      </w:r>
      <w:proofErr w:type="spellEnd"/>
      <w:r w:rsidRPr="003A0C5C">
        <w:rPr>
          <w:spacing w:val="-1"/>
        </w:rPr>
        <w:t xml:space="preserve"> measured at a distance of 5 feet based on a review of noise data from several large shopping center projects in Southern California (Moreno Valley 2015; Pomona 2014).</w:t>
      </w:r>
    </w:p>
    <w:p w14:paraId="7CE61A25" w14:textId="1935075F" w:rsidR="00E9008A" w:rsidRPr="003A0C5C" w:rsidRDefault="00E9008A" w:rsidP="007B7187">
      <w:pPr>
        <w:pStyle w:val="12spaceindentcontinue"/>
        <w:spacing w:after="200"/>
        <w:rPr>
          <w:spacing w:val="-3"/>
        </w:rPr>
      </w:pPr>
      <w:r w:rsidRPr="003A0C5C">
        <w:rPr>
          <w:spacing w:val="-3"/>
        </w:rPr>
        <w:t xml:space="preserve">The analysis conservatively assumes mechanical equipment would be mounted on the building rooftop at the closest edge to the sensitive receptors to the north and east. The sensitive receptors would be approximately 200 feet from the mechanical equipment (or 160 feet from the project site’s property line) and the noise level would attenuate by 32 dBA from distance divergence to 49.9 dBA </w:t>
      </w:r>
      <w:proofErr w:type="spellStart"/>
      <w:r w:rsidRPr="003A0C5C">
        <w:rPr>
          <w:spacing w:val="-3"/>
        </w:rPr>
        <w:t>L</w:t>
      </w:r>
      <w:r w:rsidRPr="003A0C5C">
        <w:rPr>
          <w:spacing w:val="-3"/>
          <w:vertAlign w:val="subscript"/>
        </w:rPr>
        <w:t>eq</w:t>
      </w:r>
      <w:proofErr w:type="spellEnd"/>
      <w:r w:rsidRPr="003A0C5C">
        <w:rPr>
          <w:spacing w:val="-3"/>
        </w:rPr>
        <w:t>. Since the ambient noise levels in the project vicinity near this sensitive receiver (</w:t>
      </w:r>
      <w:r w:rsidR="001D1298" w:rsidRPr="003A0C5C">
        <w:rPr>
          <w:spacing w:val="-3"/>
        </w:rPr>
        <w:t>refer to</w:t>
      </w:r>
      <w:r w:rsidRPr="003A0C5C">
        <w:rPr>
          <w:spacing w:val="-3"/>
        </w:rPr>
        <w:t xml:space="preserve"> ambient noise measurement R1) already exceeded the City of Carson’s noise standards for stationary operational noise sources, the determination of noise impact is then to compare project-related noise levels to the prevailing ambient noise levels at the sensitive receiver site. The projected noise level of 49.9 dBA </w:t>
      </w:r>
      <w:proofErr w:type="spellStart"/>
      <w:r w:rsidRPr="003A0C5C">
        <w:rPr>
          <w:spacing w:val="-3"/>
        </w:rPr>
        <w:t>Leq</w:t>
      </w:r>
      <w:proofErr w:type="spellEnd"/>
      <w:r w:rsidRPr="003A0C5C">
        <w:rPr>
          <w:spacing w:val="-3"/>
        </w:rPr>
        <w:t xml:space="preserve"> would not exceed the significant threshold of 62.1 dBA or 63.6 dBA (ambient noise plus 5 dBA) </w:t>
      </w:r>
      <w:proofErr w:type="spellStart"/>
      <w:r w:rsidRPr="003A0C5C">
        <w:rPr>
          <w:spacing w:val="-3"/>
        </w:rPr>
        <w:t>Leq</w:t>
      </w:r>
      <w:proofErr w:type="spellEnd"/>
      <w:r w:rsidRPr="003A0C5C">
        <w:rPr>
          <w:spacing w:val="-3"/>
        </w:rPr>
        <w:t xml:space="preserve"> at the sensitive receptors to the east and north, respectively. Therefore, environmental impacts related to the exposure of persons to or generation of noise levels in excess of established standards during long-term operation of the proposed project would be less than significant.</w:t>
      </w:r>
    </w:p>
    <w:p w14:paraId="2285FEFF" w14:textId="77777777" w:rsidR="00E9008A" w:rsidRPr="003A0C5C" w:rsidRDefault="00E9008A" w:rsidP="00E9008A">
      <w:pPr>
        <w:pStyle w:val="Heading8"/>
        <w:ind w:left="720"/>
        <w:rPr>
          <w:rStyle w:val="SubtleEmphasis"/>
          <w:color w:val="auto"/>
        </w:rPr>
      </w:pPr>
      <w:r w:rsidRPr="003A0C5C">
        <w:rPr>
          <w:rStyle w:val="SubtleEmphasis"/>
          <w:color w:val="auto"/>
        </w:rPr>
        <w:t>Loading Activity and Refuse Collection</w:t>
      </w:r>
    </w:p>
    <w:p w14:paraId="0994325D" w14:textId="77777777" w:rsidR="00E9008A" w:rsidRPr="003A0C5C" w:rsidRDefault="00E9008A" w:rsidP="007B7187">
      <w:pPr>
        <w:pStyle w:val="12spaceindentcontinue"/>
        <w:spacing w:after="200"/>
      </w:pPr>
      <w:r w:rsidRPr="003A0C5C">
        <w:t>The proposed project would have on-site refuse collection areas located at the back of the building near the western project site and would be accessed from East Carson Street to the south of the project site boundary.</w:t>
      </w:r>
    </w:p>
    <w:p w14:paraId="155CD655" w14:textId="77777777" w:rsidR="00E9008A" w:rsidRPr="003A0C5C" w:rsidRDefault="00E9008A" w:rsidP="007B7187">
      <w:pPr>
        <w:pStyle w:val="12spaceindentcontinue"/>
        <w:spacing w:after="200"/>
        <w:rPr>
          <w:highlight w:val="yellow"/>
        </w:rPr>
      </w:pPr>
      <w:r w:rsidRPr="003A0C5C">
        <w:t>Refuse collection vehicles would travel on East Carson Street for refuse pickup; however, refuse pickup generally lasts for several minutes similar to refuse pickup services for all other uses in the area, which would generate an incidental amount of noise and would not significantly contribute to permanent noise increases in the area.</w:t>
      </w:r>
    </w:p>
    <w:p w14:paraId="2597255D" w14:textId="70775884" w:rsidR="00E9008A" w:rsidRPr="003A0C5C" w:rsidRDefault="00E9008A" w:rsidP="007B7187">
      <w:pPr>
        <w:pStyle w:val="12spaceindentcontinue"/>
        <w:spacing w:after="200"/>
      </w:pPr>
      <w:r w:rsidRPr="003A0C5C">
        <w:t xml:space="preserve">Loading activities, such as truck movements/idling and loading/unloading operations, would generate noise levels of approximately 70 dBA </w:t>
      </w:r>
      <w:proofErr w:type="spellStart"/>
      <w:r w:rsidRPr="003A0C5C">
        <w:t>Leq</w:t>
      </w:r>
      <w:proofErr w:type="spellEnd"/>
      <w:r w:rsidRPr="003A0C5C">
        <w:t xml:space="preserve"> at a reference distance of 50 feet from the noisiest portion of the truck (i.e., to the side behind the cab and in line with the engine and exhaust stacks), based on a noise survey that was conducted by ESA at a loading dock facility, which shows that loading dock activity (namely idling semi-trucks and backup alarm beeps) would generate such noise levels. </w:t>
      </w:r>
      <w:r w:rsidRPr="003A0C5C">
        <w:rPr>
          <w:rFonts w:cs="Times New Roman"/>
          <w:szCs w:val="22"/>
        </w:rPr>
        <w:t>Delivery truck idling is restricted to no more than 5 consecutive minutes in the loading area pursuant to State regulation (</w:t>
      </w:r>
      <w:r w:rsidRPr="003A0C5C">
        <w:rPr>
          <w:rFonts w:cs="Times New Roman"/>
          <w:szCs w:val="22"/>
          <w:lang w:val="en"/>
        </w:rPr>
        <w:t xml:space="preserve">Title 13 California Code of Regulations, </w:t>
      </w:r>
      <w:r w:rsidR="00356D58" w:rsidRPr="003A0C5C">
        <w:rPr>
          <w:rFonts w:cs="Times New Roman"/>
          <w:szCs w:val="22"/>
          <w:lang w:val="en"/>
        </w:rPr>
        <w:t>S</w:t>
      </w:r>
      <w:r w:rsidRPr="003A0C5C">
        <w:rPr>
          <w:rFonts w:cs="Times New Roman"/>
          <w:szCs w:val="22"/>
          <w:lang w:val="en"/>
        </w:rPr>
        <w:t>ection 2485)</w:t>
      </w:r>
      <w:r w:rsidRPr="003A0C5C">
        <w:rPr>
          <w:rFonts w:cs="Times New Roman"/>
          <w:szCs w:val="22"/>
        </w:rPr>
        <w:t xml:space="preserve">. Pursuant to </w:t>
      </w:r>
      <w:r w:rsidRPr="003A0C5C">
        <w:rPr>
          <w:rFonts w:cs="Times New Roman"/>
          <w:szCs w:val="22"/>
          <w:lang w:val="en"/>
        </w:rPr>
        <w:t>Title 13 California Code of Regulations, Section 2485</w:t>
      </w:r>
      <w:r w:rsidRPr="003A0C5C">
        <w:rPr>
          <w:rFonts w:cs="Times New Roman"/>
          <w:szCs w:val="22"/>
        </w:rPr>
        <w:t xml:space="preserve">, signs would be posted in delivery loading areas specifying this idling restriction. </w:t>
      </w:r>
      <w:r w:rsidRPr="003A0C5C">
        <w:t xml:space="preserve">Loading area noise levels at the noise sensitive receptors are summarized in </w:t>
      </w:r>
      <w:r w:rsidRPr="003A0C5C">
        <w:rPr>
          <w:rStyle w:val="Bold"/>
        </w:rPr>
        <w:t>Table </w:t>
      </w:r>
      <w:r w:rsidR="00BB3B91" w:rsidRPr="003A0C5C">
        <w:rPr>
          <w:rStyle w:val="Bold"/>
        </w:rPr>
        <w:t>17</w:t>
      </w:r>
      <w:r w:rsidRPr="003A0C5C">
        <w:t xml:space="preserve">, </w:t>
      </w:r>
      <w:r w:rsidRPr="003A0C5C">
        <w:rPr>
          <w:rStyle w:val="Italic"/>
        </w:rPr>
        <w:t>Estimated Loading Area Noise Levels</w:t>
      </w:r>
      <w:r w:rsidR="00C67B49" w:rsidRPr="003A0C5C">
        <w:rPr>
          <w:i/>
          <w:iCs/>
        </w:rPr>
        <w:t xml:space="preserve"> (L</w:t>
      </w:r>
      <w:r w:rsidR="00C67B49" w:rsidRPr="003A0C5C">
        <w:rPr>
          <w:i/>
          <w:iCs/>
          <w:vertAlign w:val="subscript"/>
        </w:rPr>
        <w:t>EQ</w:t>
      </w:r>
      <w:r w:rsidR="00C67B49" w:rsidRPr="003A0C5C">
        <w:rPr>
          <w:i/>
          <w:iCs/>
        </w:rPr>
        <w:t>)</w:t>
      </w:r>
      <w:r w:rsidR="00C67B49" w:rsidRPr="003A0C5C">
        <w:t>.</w:t>
      </w:r>
      <w:r w:rsidRPr="003A0C5C">
        <w:t xml:space="preserve"> As shown, the proposed project’s loading area noise contribution would not increase the ambient noise by more than 5 dBA; therefore, impacts would be less than significant.</w:t>
      </w:r>
    </w:p>
    <w:tbl>
      <w:tblPr>
        <w:tblW w:w="0" w:type="auto"/>
        <w:jc w:val="center"/>
        <w:tblCellMar>
          <w:left w:w="86" w:type="dxa"/>
          <w:right w:w="86" w:type="dxa"/>
        </w:tblCellMar>
        <w:tblLook w:val="04A0" w:firstRow="1" w:lastRow="0" w:firstColumn="1" w:lastColumn="0" w:noHBand="0" w:noVBand="1"/>
      </w:tblPr>
      <w:tblGrid>
        <w:gridCol w:w="1463"/>
        <w:gridCol w:w="1044"/>
        <w:gridCol w:w="1205"/>
        <w:gridCol w:w="1205"/>
        <w:gridCol w:w="1205"/>
        <w:gridCol w:w="1124"/>
        <w:gridCol w:w="1124"/>
      </w:tblGrid>
      <w:tr w:rsidR="003A0C5C" w:rsidRPr="003A0C5C" w14:paraId="22A47E72" w14:textId="77777777" w:rsidTr="00160F99">
        <w:trPr>
          <w:cantSplit/>
          <w:tblHeader/>
          <w:jc w:val="center"/>
        </w:trPr>
        <w:tc>
          <w:tcPr>
            <w:tcW w:w="8370" w:type="dxa"/>
            <w:gridSpan w:val="7"/>
            <w:tcBorders>
              <w:bottom w:val="single" w:sz="4" w:space="0" w:color="auto"/>
            </w:tcBorders>
            <w:vAlign w:val="bottom"/>
          </w:tcPr>
          <w:p w14:paraId="32813A40" w14:textId="52B7967A" w:rsidR="00E9008A" w:rsidRPr="003A0C5C" w:rsidRDefault="00E9008A" w:rsidP="00313B2A">
            <w:pPr>
              <w:pStyle w:val="TableNoTitle"/>
            </w:pPr>
            <w:bookmarkStart w:id="98" w:name="_Toc22129136"/>
            <w:bookmarkStart w:id="99" w:name="_Toc63932624"/>
            <w:bookmarkStart w:id="100" w:name="_Toc101792209"/>
            <w:r w:rsidRPr="003A0C5C">
              <w:t>Table </w:t>
            </w:r>
            <w:r w:rsidR="00BB3B91" w:rsidRPr="003A0C5C">
              <w:t>17</w:t>
            </w:r>
            <w:r w:rsidRPr="003A0C5C">
              <w:br/>
            </w:r>
            <w:r w:rsidRPr="003A0C5C">
              <w:tab/>
              <w:t xml:space="preserve">Estimated Loading Area Noise Levels </w:t>
            </w:r>
            <w:bookmarkStart w:id="101" w:name="_Hlk101728883"/>
            <w:r w:rsidRPr="003A0C5C">
              <w:t>(</w:t>
            </w:r>
            <w:proofErr w:type="spellStart"/>
            <w:r w:rsidRPr="003A0C5C">
              <w:t>L</w:t>
            </w:r>
            <w:r w:rsidRPr="003A0C5C">
              <w:rPr>
                <w:vertAlign w:val="subscript"/>
              </w:rPr>
              <w:t>eq</w:t>
            </w:r>
            <w:proofErr w:type="spellEnd"/>
            <w:r w:rsidRPr="003A0C5C">
              <w:t>)</w:t>
            </w:r>
            <w:bookmarkEnd w:id="98"/>
            <w:bookmarkEnd w:id="99"/>
            <w:bookmarkEnd w:id="101"/>
            <w:bookmarkEnd w:id="100"/>
          </w:p>
        </w:tc>
      </w:tr>
      <w:tr w:rsidR="003A0C5C" w:rsidRPr="003A0C5C" w14:paraId="7B9BF66C" w14:textId="77777777" w:rsidTr="00160F99">
        <w:trPr>
          <w:cantSplit/>
          <w:tblHeader/>
          <w:jc w:val="center"/>
        </w:trPr>
        <w:tc>
          <w:tcPr>
            <w:tcW w:w="1451" w:type="dxa"/>
            <w:tcBorders>
              <w:top w:val="single" w:sz="4" w:space="0" w:color="auto"/>
              <w:bottom w:val="single" w:sz="12" w:space="0" w:color="auto"/>
            </w:tcBorders>
            <w:vAlign w:val="bottom"/>
          </w:tcPr>
          <w:p w14:paraId="1B93A30C" w14:textId="77777777" w:rsidR="00E9008A" w:rsidRPr="003A0C5C" w:rsidRDefault="00E9008A" w:rsidP="00313B2A">
            <w:pPr>
              <w:pStyle w:val="Tablecolumnheading"/>
              <w:rPr>
                <w:szCs w:val="16"/>
              </w:rPr>
            </w:pPr>
            <w:r w:rsidRPr="003A0C5C">
              <w:rPr>
                <w:szCs w:val="16"/>
              </w:rPr>
              <w:t>Receptor Location</w:t>
            </w:r>
          </w:p>
        </w:tc>
        <w:tc>
          <w:tcPr>
            <w:tcW w:w="0" w:type="auto"/>
            <w:tcBorders>
              <w:top w:val="single" w:sz="4" w:space="0" w:color="auto"/>
              <w:bottom w:val="single" w:sz="12" w:space="0" w:color="auto"/>
            </w:tcBorders>
            <w:vAlign w:val="bottom"/>
          </w:tcPr>
          <w:p w14:paraId="09E2CFB7" w14:textId="77777777" w:rsidR="00E9008A" w:rsidRPr="003A0C5C" w:rsidRDefault="00E9008A" w:rsidP="00313B2A">
            <w:pPr>
              <w:pStyle w:val="Tablecolumnheading"/>
              <w:jc w:val="center"/>
              <w:rPr>
                <w:sz w:val="18"/>
                <w:szCs w:val="18"/>
              </w:rPr>
            </w:pPr>
            <w:r w:rsidRPr="003A0C5C">
              <w:t>Distance to</w:t>
            </w:r>
            <w:r w:rsidRPr="003A0C5C">
              <w:br/>
              <w:t>Receptor</w:t>
            </w:r>
            <w:r w:rsidRPr="003A0C5C">
              <w:br/>
              <w:t>Property</w:t>
            </w:r>
            <w:r w:rsidRPr="003A0C5C">
              <w:br/>
              <w:t>Line (feet)</w:t>
            </w:r>
          </w:p>
        </w:tc>
        <w:tc>
          <w:tcPr>
            <w:tcW w:w="0" w:type="auto"/>
            <w:tcBorders>
              <w:top w:val="single" w:sz="4" w:space="0" w:color="auto"/>
              <w:bottom w:val="single" w:sz="12" w:space="0" w:color="auto"/>
            </w:tcBorders>
            <w:vAlign w:val="bottom"/>
          </w:tcPr>
          <w:p w14:paraId="5D47567A" w14:textId="77777777" w:rsidR="00E9008A" w:rsidRPr="003A0C5C" w:rsidRDefault="00E9008A" w:rsidP="00313B2A">
            <w:pPr>
              <w:pStyle w:val="Tablecolumnheading"/>
              <w:jc w:val="center"/>
              <w:rPr>
                <w:sz w:val="18"/>
                <w:szCs w:val="18"/>
              </w:rPr>
            </w:pPr>
            <w:r w:rsidRPr="003A0C5C">
              <w:rPr>
                <w:szCs w:val="16"/>
              </w:rPr>
              <w:t>Existing</w:t>
            </w:r>
            <w:r w:rsidRPr="003A0C5C">
              <w:rPr>
                <w:szCs w:val="16"/>
              </w:rPr>
              <w:br/>
              <w:t>Ambient</w:t>
            </w:r>
            <w:r w:rsidRPr="003A0C5C">
              <w:rPr>
                <w:szCs w:val="16"/>
              </w:rPr>
              <w:br/>
              <w:t>Noise Levels,</w:t>
            </w:r>
            <w:r w:rsidRPr="003A0C5C">
              <w:rPr>
                <w:szCs w:val="16"/>
              </w:rPr>
              <w:br/>
              <w:t>dBA (</w:t>
            </w:r>
            <w:proofErr w:type="spellStart"/>
            <w:r w:rsidRPr="003A0C5C">
              <w:rPr>
                <w:szCs w:val="16"/>
              </w:rPr>
              <w:t>L</w:t>
            </w:r>
            <w:r w:rsidRPr="003A0C5C">
              <w:rPr>
                <w:szCs w:val="16"/>
                <w:vertAlign w:val="subscript"/>
              </w:rPr>
              <w:t>eq</w:t>
            </w:r>
            <w:proofErr w:type="spellEnd"/>
            <w:r w:rsidRPr="003A0C5C">
              <w:rPr>
                <w:szCs w:val="16"/>
              </w:rPr>
              <w:t>)</w:t>
            </w:r>
            <w:r w:rsidRPr="003A0C5C">
              <w:rPr>
                <w:rStyle w:val="Tablefootnote"/>
              </w:rPr>
              <w:t>a</w:t>
            </w:r>
          </w:p>
        </w:tc>
        <w:tc>
          <w:tcPr>
            <w:tcW w:w="0" w:type="auto"/>
            <w:tcBorders>
              <w:top w:val="single" w:sz="4" w:space="0" w:color="auto"/>
              <w:bottom w:val="single" w:sz="12" w:space="0" w:color="auto"/>
            </w:tcBorders>
            <w:vAlign w:val="bottom"/>
          </w:tcPr>
          <w:p w14:paraId="14CD6C9A" w14:textId="77777777" w:rsidR="00E9008A" w:rsidRPr="003A0C5C" w:rsidRDefault="00E9008A" w:rsidP="00313B2A">
            <w:pPr>
              <w:pStyle w:val="Tablecolumnheading"/>
              <w:jc w:val="center"/>
              <w:rPr>
                <w:sz w:val="18"/>
                <w:szCs w:val="18"/>
              </w:rPr>
            </w:pPr>
            <w:r w:rsidRPr="003A0C5C">
              <w:rPr>
                <w:szCs w:val="16"/>
              </w:rPr>
              <w:t>Estimated</w:t>
            </w:r>
            <w:r w:rsidRPr="003A0C5C">
              <w:rPr>
                <w:szCs w:val="16"/>
              </w:rPr>
              <w:br/>
              <w:t>Loading Area</w:t>
            </w:r>
            <w:r w:rsidRPr="003A0C5C">
              <w:rPr>
                <w:szCs w:val="16"/>
              </w:rPr>
              <w:br/>
              <w:t>Noise Levels,</w:t>
            </w:r>
            <w:r w:rsidRPr="003A0C5C">
              <w:rPr>
                <w:szCs w:val="16"/>
              </w:rPr>
              <w:br/>
              <w:t>dBA (</w:t>
            </w:r>
            <w:proofErr w:type="spellStart"/>
            <w:r w:rsidRPr="003A0C5C">
              <w:rPr>
                <w:szCs w:val="16"/>
              </w:rPr>
              <w:t>L</w:t>
            </w:r>
            <w:r w:rsidRPr="003A0C5C">
              <w:rPr>
                <w:szCs w:val="16"/>
                <w:vertAlign w:val="subscript"/>
              </w:rPr>
              <w:t>eq</w:t>
            </w:r>
            <w:proofErr w:type="spellEnd"/>
            <w:r w:rsidRPr="003A0C5C">
              <w:rPr>
                <w:szCs w:val="16"/>
              </w:rPr>
              <w:t>)</w:t>
            </w:r>
          </w:p>
        </w:tc>
        <w:tc>
          <w:tcPr>
            <w:tcW w:w="0" w:type="auto"/>
            <w:tcBorders>
              <w:top w:val="single" w:sz="4" w:space="0" w:color="auto"/>
              <w:bottom w:val="single" w:sz="12" w:space="0" w:color="auto"/>
            </w:tcBorders>
            <w:vAlign w:val="bottom"/>
          </w:tcPr>
          <w:p w14:paraId="27CC011A" w14:textId="77777777" w:rsidR="00E9008A" w:rsidRPr="003A0C5C" w:rsidRDefault="00E9008A" w:rsidP="00313B2A">
            <w:pPr>
              <w:pStyle w:val="Tablecolumnheading"/>
              <w:jc w:val="center"/>
              <w:rPr>
                <w:sz w:val="18"/>
                <w:szCs w:val="18"/>
              </w:rPr>
            </w:pPr>
            <w:r w:rsidRPr="003A0C5C">
              <w:rPr>
                <w:szCs w:val="16"/>
              </w:rPr>
              <w:t>Ambient +</w:t>
            </w:r>
            <w:r w:rsidRPr="003A0C5C">
              <w:rPr>
                <w:szCs w:val="16"/>
              </w:rPr>
              <w:br/>
              <w:t>Project Noise</w:t>
            </w:r>
            <w:r w:rsidRPr="003A0C5C">
              <w:rPr>
                <w:szCs w:val="16"/>
              </w:rPr>
              <w:br/>
              <w:t>Levels, dBA</w:t>
            </w:r>
            <w:r w:rsidRPr="003A0C5C">
              <w:rPr>
                <w:szCs w:val="16"/>
              </w:rPr>
              <w:br/>
              <w:t>(</w:t>
            </w:r>
            <w:proofErr w:type="spellStart"/>
            <w:r w:rsidRPr="003A0C5C">
              <w:rPr>
                <w:szCs w:val="16"/>
              </w:rPr>
              <w:t>L</w:t>
            </w:r>
            <w:r w:rsidRPr="003A0C5C">
              <w:rPr>
                <w:szCs w:val="16"/>
                <w:vertAlign w:val="subscript"/>
              </w:rPr>
              <w:t>eq</w:t>
            </w:r>
            <w:proofErr w:type="spellEnd"/>
            <w:r w:rsidRPr="003A0C5C">
              <w:rPr>
                <w:szCs w:val="16"/>
              </w:rPr>
              <w:t>)</w:t>
            </w:r>
          </w:p>
        </w:tc>
        <w:tc>
          <w:tcPr>
            <w:tcW w:w="0" w:type="auto"/>
            <w:tcBorders>
              <w:top w:val="single" w:sz="4" w:space="0" w:color="auto"/>
              <w:bottom w:val="single" w:sz="12" w:space="0" w:color="auto"/>
            </w:tcBorders>
            <w:vAlign w:val="bottom"/>
          </w:tcPr>
          <w:p w14:paraId="5852FBEA" w14:textId="77777777" w:rsidR="00E9008A" w:rsidRPr="003A0C5C" w:rsidRDefault="00E9008A" w:rsidP="00313B2A">
            <w:pPr>
              <w:pStyle w:val="Tablecolumnheading"/>
              <w:jc w:val="center"/>
              <w:rPr>
                <w:sz w:val="18"/>
                <w:szCs w:val="18"/>
              </w:rPr>
            </w:pPr>
            <w:r w:rsidRPr="003A0C5C">
              <w:rPr>
                <w:szCs w:val="16"/>
              </w:rPr>
              <w:t>Significance</w:t>
            </w:r>
            <w:r w:rsidRPr="003A0C5C">
              <w:rPr>
                <w:szCs w:val="16"/>
              </w:rPr>
              <w:br/>
              <w:t>Threshold,</w:t>
            </w:r>
            <w:r w:rsidRPr="003A0C5C">
              <w:rPr>
                <w:szCs w:val="16"/>
              </w:rPr>
              <w:br/>
              <w:t>dBA (</w:t>
            </w:r>
            <w:proofErr w:type="spellStart"/>
            <w:r w:rsidRPr="003A0C5C">
              <w:rPr>
                <w:szCs w:val="16"/>
              </w:rPr>
              <w:t>L</w:t>
            </w:r>
            <w:r w:rsidRPr="003A0C5C">
              <w:rPr>
                <w:szCs w:val="16"/>
                <w:vertAlign w:val="subscript"/>
              </w:rPr>
              <w:t>eq</w:t>
            </w:r>
            <w:proofErr w:type="spellEnd"/>
            <w:r w:rsidRPr="003A0C5C">
              <w:rPr>
                <w:szCs w:val="16"/>
              </w:rPr>
              <w:t>)</w:t>
            </w:r>
          </w:p>
        </w:tc>
        <w:tc>
          <w:tcPr>
            <w:tcW w:w="0" w:type="auto"/>
            <w:tcBorders>
              <w:top w:val="single" w:sz="4" w:space="0" w:color="auto"/>
              <w:bottom w:val="single" w:sz="12" w:space="0" w:color="auto"/>
            </w:tcBorders>
            <w:vAlign w:val="bottom"/>
          </w:tcPr>
          <w:p w14:paraId="02972610" w14:textId="77777777" w:rsidR="00E9008A" w:rsidRPr="003A0C5C" w:rsidRDefault="00E9008A" w:rsidP="00313B2A">
            <w:pPr>
              <w:pStyle w:val="Tablecolumnheading"/>
              <w:jc w:val="center"/>
              <w:rPr>
                <w:szCs w:val="16"/>
              </w:rPr>
            </w:pPr>
            <w:r w:rsidRPr="003A0C5C">
              <w:rPr>
                <w:szCs w:val="16"/>
              </w:rPr>
              <w:t>Exceed</w:t>
            </w:r>
            <w:r w:rsidRPr="003A0C5C">
              <w:rPr>
                <w:szCs w:val="16"/>
              </w:rPr>
              <w:br/>
              <w:t>Significance</w:t>
            </w:r>
            <w:r w:rsidRPr="003A0C5C">
              <w:rPr>
                <w:szCs w:val="16"/>
              </w:rPr>
              <w:br/>
              <w:t>Threshold</w:t>
            </w:r>
          </w:p>
        </w:tc>
      </w:tr>
      <w:tr w:rsidR="003A0C5C" w:rsidRPr="003A0C5C" w14:paraId="57C05AF2" w14:textId="77777777" w:rsidTr="00160F99">
        <w:trPr>
          <w:cantSplit/>
          <w:jc w:val="center"/>
        </w:trPr>
        <w:tc>
          <w:tcPr>
            <w:tcW w:w="1451" w:type="dxa"/>
            <w:tcBorders>
              <w:top w:val="single" w:sz="12" w:space="0" w:color="auto"/>
            </w:tcBorders>
          </w:tcPr>
          <w:p w14:paraId="2949796F" w14:textId="77777777" w:rsidR="00E9008A" w:rsidRPr="003A0C5C" w:rsidRDefault="00E9008A" w:rsidP="007B7187">
            <w:pPr>
              <w:pStyle w:val="Tabletext"/>
              <w:keepNext/>
              <w:spacing w:before="40" w:after="40"/>
              <w:rPr>
                <w:vertAlign w:val="superscript"/>
              </w:rPr>
            </w:pPr>
            <w:r w:rsidRPr="003A0C5C">
              <w:t>Residential uses to the north</w:t>
            </w:r>
          </w:p>
        </w:tc>
        <w:tc>
          <w:tcPr>
            <w:tcW w:w="0" w:type="auto"/>
            <w:tcBorders>
              <w:top w:val="single" w:sz="12" w:space="0" w:color="auto"/>
            </w:tcBorders>
          </w:tcPr>
          <w:p w14:paraId="02C46CF9" w14:textId="77777777" w:rsidR="00E9008A" w:rsidRPr="003A0C5C" w:rsidRDefault="00E9008A" w:rsidP="007B7187">
            <w:pPr>
              <w:pStyle w:val="Tabletext"/>
              <w:keepNext/>
              <w:spacing w:before="40" w:after="40"/>
              <w:jc w:val="center"/>
            </w:pPr>
            <w:r w:rsidRPr="003A0C5C">
              <w:t>160</w:t>
            </w:r>
          </w:p>
        </w:tc>
        <w:tc>
          <w:tcPr>
            <w:tcW w:w="0" w:type="auto"/>
            <w:tcBorders>
              <w:top w:val="single" w:sz="12" w:space="0" w:color="auto"/>
            </w:tcBorders>
          </w:tcPr>
          <w:p w14:paraId="4495312C" w14:textId="77777777" w:rsidR="00E9008A" w:rsidRPr="003A0C5C" w:rsidRDefault="00E9008A" w:rsidP="007B7187">
            <w:pPr>
              <w:pStyle w:val="Tabletext"/>
              <w:keepNext/>
              <w:spacing w:before="40" w:after="40"/>
              <w:jc w:val="center"/>
            </w:pPr>
            <w:r w:rsidRPr="003A0C5C">
              <w:t>58.6</w:t>
            </w:r>
          </w:p>
        </w:tc>
        <w:tc>
          <w:tcPr>
            <w:tcW w:w="0" w:type="auto"/>
            <w:tcBorders>
              <w:top w:val="single" w:sz="12" w:space="0" w:color="auto"/>
            </w:tcBorders>
          </w:tcPr>
          <w:p w14:paraId="2A8C3EFA" w14:textId="77777777" w:rsidR="00E9008A" w:rsidRPr="003A0C5C" w:rsidRDefault="00E9008A" w:rsidP="007B7187">
            <w:pPr>
              <w:pStyle w:val="Tabletext"/>
              <w:keepNext/>
              <w:spacing w:before="40" w:after="40"/>
              <w:jc w:val="center"/>
              <w:rPr>
                <w:rFonts w:eastAsiaTheme="minorEastAsia"/>
                <w:lang w:eastAsia="ko-KR"/>
              </w:rPr>
            </w:pPr>
            <w:r w:rsidRPr="003A0C5C">
              <w:t>59.9</w:t>
            </w:r>
          </w:p>
        </w:tc>
        <w:tc>
          <w:tcPr>
            <w:tcW w:w="0" w:type="auto"/>
            <w:tcBorders>
              <w:top w:val="single" w:sz="12" w:space="0" w:color="auto"/>
            </w:tcBorders>
          </w:tcPr>
          <w:p w14:paraId="6158CD11" w14:textId="77777777" w:rsidR="00E9008A" w:rsidRPr="003A0C5C" w:rsidRDefault="00E9008A" w:rsidP="007B7187">
            <w:pPr>
              <w:pStyle w:val="Tabletext"/>
              <w:keepNext/>
              <w:spacing w:before="40" w:after="40"/>
              <w:jc w:val="center"/>
            </w:pPr>
            <w:r w:rsidRPr="003A0C5C">
              <w:rPr>
                <w:rFonts w:cs="Arial"/>
              </w:rPr>
              <w:t>62.3</w:t>
            </w:r>
          </w:p>
        </w:tc>
        <w:tc>
          <w:tcPr>
            <w:tcW w:w="0" w:type="auto"/>
            <w:tcBorders>
              <w:top w:val="single" w:sz="12" w:space="0" w:color="auto"/>
            </w:tcBorders>
          </w:tcPr>
          <w:p w14:paraId="26BFF39F" w14:textId="77777777" w:rsidR="00E9008A" w:rsidRPr="003A0C5C" w:rsidRDefault="00E9008A" w:rsidP="007B7187">
            <w:pPr>
              <w:pStyle w:val="Tabletext"/>
              <w:keepNext/>
              <w:spacing w:before="40" w:after="40"/>
              <w:jc w:val="center"/>
            </w:pPr>
            <w:r w:rsidRPr="003A0C5C">
              <w:t xml:space="preserve">63.6 </w:t>
            </w:r>
          </w:p>
        </w:tc>
        <w:tc>
          <w:tcPr>
            <w:tcW w:w="0" w:type="auto"/>
            <w:tcBorders>
              <w:top w:val="single" w:sz="12" w:space="0" w:color="auto"/>
            </w:tcBorders>
          </w:tcPr>
          <w:p w14:paraId="2CF1EA90" w14:textId="77777777" w:rsidR="00E9008A" w:rsidRPr="003A0C5C" w:rsidRDefault="00E9008A" w:rsidP="007B7187">
            <w:pPr>
              <w:pStyle w:val="Tabletext"/>
              <w:keepNext/>
              <w:spacing w:before="40" w:after="40"/>
              <w:jc w:val="center"/>
            </w:pPr>
            <w:r w:rsidRPr="003A0C5C">
              <w:t>No</w:t>
            </w:r>
          </w:p>
        </w:tc>
      </w:tr>
      <w:tr w:rsidR="00E9008A" w:rsidRPr="003A0C5C" w14:paraId="1E217A1D" w14:textId="77777777" w:rsidTr="00160F99">
        <w:trPr>
          <w:cantSplit/>
          <w:jc w:val="center"/>
        </w:trPr>
        <w:tc>
          <w:tcPr>
            <w:tcW w:w="8370" w:type="dxa"/>
            <w:gridSpan w:val="7"/>
            <w:tcBorders>
              <w:top w:val="single" w:sz="6" w:space="0" w:color="auto"/>
              <w:left w:val="nil"/>
              <w:bottom w:val="single" w:sz="6" w:space="0" w:color="auto"/>
              <w:right w:val="nil"/>
            </w:tcBorders>
          </w:tcPr>
          <w:p w14:paraId="096DDE71" w14:textId="77777777" w:rsidR="00E9008A" w:rsidRPr="003A0C5C" w:rsidRDefault="00E9008A" w:rsidP="00B8267E">
            <w:pPr>
              <w:pStyle w:val="TableNotes"/>
              <w:spacing w:before="120" w:after="40"/>
            </w:pPr>
            <w:r w:rsidRPr="003A0C5C">
              <w:t>NOTE:</w:t>
            </w:r>
          </w:p>
          <w:p w14:paraId="56FB5770" w14:textId="7AADA5D4" w:rsidR="00E9008A" w:rsidRPr="003A0C5C" w:rsidRDefault="00E9008A" w:rsidP="007B7187">
            <w:pPr>
              <w:pStyle w:val="Tablefootnotetext"/>
              <w:spacing w:after="40"/>
            </w:pPr>
            <w:proofErr w:type="gramStart"/>
            <w:r w:rsidRPr="003A0C5C">
              <w:rPr>
                <w:rStyle w:val="Tablefootnote"/>
              </w:rPr>
              <w:t>a</w:t>
            </w:r>
            <w:proofErr w:type="gramEnd"/>
            <w:r w:rsidRPr="003A0C5C">
              <w:tab/>
              <w:t xml:space="preserve">Existing ambient noise measurement was taken along the project site’s northern boundary along the residential property line and is representative of the noise environment in the surrounding area. Noise measurement data is provided as part of </w:t>
            </w:r>
            <w:r w:rsidRPr="003A0C5C">
              <w:rPr>
                <w:b/>
                <w:bCs/>
              </w:rPr>
              <w:t>Appendix K</w:t>
            </w:r>
            <w:r w:rsidR="0076416C" w:rsidRPr="003A0C5C">
              <w:t xml:space="preserve"> of this IS/MND.</w:t>
            </w:r>
          </w:p>
          <w:p w14:paraId="03563AFC" w14:textId="2D8BAC4D" w:rsidR="00E9008A" w:rsidRPr="003A0C5C" w:rsidRDefault="00E9008A" w:rsidP="00B8267E">
            <w:pPr>
              <w:pStyle w:val="TableSource"/>
              <w:spacing w:before="40" w:after="120"/>
              <w:rPr>
                <w:szCs w:val="18"/>
              </w:rPr>
            </w:pPr>
            <w:r w:rsidRPr="003A0C5C">
              <w:t>SOURCE:</w:t>
            </w:r>
            <w:r w:rsidR="0010254B" w:rsidRPr="003A0C5C">
              <w:t xml:space="preserve"> </w:t>
            </w:r>
            <w:r w:rsidRPr="003A0C5C">
              <w:t>ESA 2022</w:t>
            </w:r>
          </w:p>
        </w:tc>
      </w:tr>
    </w:tbl>
    <w:p w14:paraId="05567697" w14:textId="77777777" w:rsidR="00E9008A" w:rsidRPr="003A0C5C" w:rsidRDefault="00E9008A" w:rsidP="007B7187">
      <w:pPr>
        <w:pStyle w:val="12space"/>
        <w:rPr>
          <w:highlight w:val="yellow"/>
        </w:rPr>
      </w:pPr>
    </w:p>
    <w:p w14:paraId="61104057" w14:textId="77777777" w:rsidR="00E9008A" w:rsidRPr="003A0C5C" w:rsidRDefault="00E9008A" w:rsidP="00E9008A">
      <w:pPr>
        <w:pStyle w:val="Heading7"/>
        <w:ind w:left="720"/>
        <w:rPr>
          <w:bCs/>
          <w:iCs w:val="0"/>
        </w:rPr>
      </w:pPr>
      <w:r w:rsidRPr="003A0C5C">
        <w:rPr>
          <w:bCs/>
          <w:iCs w:val="0"/>
        </w:rPr>
        <w:t>Composite Noise Impacts from Project Operations</w:t>
      </w:r>
    </w:p>
    <w:p w14:paraId="4781405E" w14:textId="77777777" w:rsidR="00E9008A" w:rsidRPr="003A0C5C" w:rsidRDefault="00E9008A" w:rsidP="007B7187">
      <w:pPr>
        <w:pStyle w:val="12spaceindentcontinue"/>
        <w:spacing w:after="200"/>
      </w:pPr>
      <w:r w:rsidRPr="003A0C5C">
        <w:t>An evaluation of the combined noise from the proposed project’s various operational noise sources (i.e., composite noise level) was conducted to conservatively ascertain the potential maximum project-related noise level increase that may occur at the noise-sensitive receptor locations included in this analysis. Noise sources associated with the proposed project would include on-site mechanical equipment, loading/refuse area, and parking area.</w:t>
      </w:r>
    </w:p>
    <w:p w14:paraId="448F2C2B" w14:textId="3E3CAB77" w:rsidR="00E9008A" w:rsidRPr="003A0C5C" w:rsidRDefault="00E9008A" w:rsidP="007B7187">
      <w:pPr>
        <w:pStyle w:val="12spaceindentcontinue"/>
        <w:spacing w:after="200"/>
        <w:rPr>
          <w:highlight w:val="yellow"/>
        </w:rPr>
      </w:pPr>
      <w:r w:rsidRPr="003A0C5C">
        <w:t xml:space="preserve">Composite noise levels at the noise sensitive receptors are summarized in </w:t>
      </w:r>
      <w:r w:rsidRPr="003A0C5C">
        <w:rPr>
          <w:rStyle w:val="Bold"/>
        </w:rPr>
        <w:t>Table </w:t>
      </w:r>
      <w:r w:rsidR="00BB3B91" w:rsidRPr="003A0C5C">
        <w:rPr>
          <w:rStyle w:val="Bold"/>
        </w:rPr>
        <w:t>18</w:t>
      </w:r>
      <w:r w:rsidRPr="003A0C5C">
        <w:t xml:space="preserve">, </w:t>
      </w:r>
      <w:r w:rsidRPr="003A0C5C">
        <w:rPr>
          <w:rStyle w:val="Italic"/>
        </w:rPr>
        <w:t>Estimated Composite Noise Levels from Project Operations</w:t>
      </w:r>
      <w:r w:rsidRPr="003A0C5C">
        <w:t>. As shown, the proposed project’s composite noise contribution would not increase the ambient noise by more than 5 dBA; therefore, impacts would be less than significant.</w:t>
      </w:r>
    </w:p>
    <w:tbl>
      <w:tblPr>
        <w:tblW w:w="0" w:type="auto"/>
        <w:tblInd w:w="720" w:type="dxa"/>
        <w:tblBorders>
          <w:top w:val="double" w:sz="4" w:space="0" w:color="auto"/>
          <w:left w:val="double" w:sz="4" w:space="0" w:color="auto"/>
          <w:bottom w:val="double" w:sz="4" w:space="0" w:color="auto"/>
          <w:right w:val="double" w:sz="4" w:space="0" w:color="auto"/>
          <w:insideH w:val="single" w:sz="6" w:space="0" w:color="auto"/>
        </w:tblBorders>
        <w:tblCellMar>
          <w:left w:w="86" w:type="dxa"/>
          <w:right w:w="86" w:type="dxa"/>
        </w:tblCellMar>
        <w:tblLook w:val="0000" w:firstRow="0" w:lastRow="0" w:firstColumn="0" w:lastColumn="0" w:noHBand="0" w:noVBand="0"/>
      </w:tblPr>
      <w:tblGrid>
        <w:gridCol w:w="4717"/>
        <w:gridCol w:w="2600"/>
      </w:tblGrid>
      <w:tr w:rsidR="003A0C5C" w:rsidRPr="003A0C5C" w14:paraId="276AEB19" w14:textId="77777777" w:rsidTr="00313B2A">
        <w:trPr>
          <w:cantSplit/>
          <w:tblHeader/>
        </w:trPr>
        <w:tc>
          <w:tcPr>
            <w:tcW w:w="0" w:type="auto"/>
            <w:gridSpan w:val="2"/>
            <w:tcBorders>
              <w:top w:val="nil"/>
              <w:left w:val="nil"/>
              <w:bottom w:val="single" w:sz="4" w:space="0" w:color="auto"/>
              <w:right w:val="nil"/>
            </w:tcBorders>
            <w:shd w:val="clear" w:color="auto" w:fill="FFFFFF"/>
            <w:vAlign w:val="bottom"/>
          </w:tcPr>
          <w:p w14:paraId="439E352D" w14:textId="407AB56D" w:rsidR="00E9008A" w:rsidRPr="003A0C5C" w:rsidRDefault="00E9008A" w:rsidP="00313B2A">
            <w:pPr>
              <w:pStyle w:val="TableNoTitle"/>
            </w:pPr>
            <w:bookmarkStart w:id="102" w:name="_Toc484455822"/>
            <w:bookmarkStart w:id="103" w:name="_Toc492639842"/>
            <w:bookmarkStart w:id="104" w:name="_Toc495333113"/>
            <w:bookmarkStart w:id="105" w:name="_Toc495587153"/>
            <w:bookmarkStart w:id="106" w:name="_Toc525545595"/>
            <w:bookmarkStart w:id="107" w:name="_Toc22129140"/>
            <w:bookmarkStart w:id="108" w:name="_Toc63932628"/>
            <w:bookmarkStart w:id="109" w:name="_Toc101792210"/>
            <w:r w:rsidRPr="003A0C5C">
              <w:t>Table </w:t>
            </w:r>
            <w:r w:rsidR="00BB3B91" w:rsidRPr="003A0C5C">
              <w:t>18</w:t>
            </w:r>
            <w:r w:rsidRPr="003A0C5C">
              <w:br/>
            </w:r>
            <w:r w:rsidRPr="003A0C5C">
              <w:tab/>
              <w:t>Estimated Composite Noise Levels from Project Operations</w:t>
            </w:r>
            <w:bookmarkEnd w:id="102"/>
            <w:bookmarkEnd w:id="103"/>
            <w:bookmarkEnd w:id="104"/>
            <w:bookmarkEnd w:id="105"/>
            <w:bookmarkEnd w:id="106"/>
            <w:bookmarkEnd w:id="107"/>
            <w:bookmarkEnd w:id="108"/>
            <w:bookmarkEnd w:id="109"/>
          </w:p>
        </w:tc>
      </w:tr>
      <w:tr w:rsidR="003A0C5C" w:rsidRPr="003A0C5C" w14:paraId="6BBFD9FF" w14:textId="77777777" w:rsidTr="00313B2A">
        <w:trPr>
          <w:cantSplit/>
          <w:tblHeader/>
        </w:trPr>
        <w:tc>
          <w:tcPr>
            <w:tcW w:w="0" w:type="auto"/>
            <w:vMerge w:val="restart"/>
            <w:tcBorders>
              <w:top w:val="single" w:sz="4" w:space="0" w:color="auto"/>
              <w:left w:val="nil"/>
              <w:right w:val="nil"/>
            </w:tcBorders>
            <w:shd w:val="clear" w:color="auto" w:fill="FFFFFF"/>
            <w:vAlign w:val="bottom"/>
          </w:tcPr>
          <w:p w14:paraId="4BC9D933" w14:textId="77777777" w:rsidR="00E9008A" w:rsidRPr="003A0C5C" w:rsidRDefault="00E9008A" w:rsidP="00313B2A">
            <w:pPr>
              <w:pStyle w:val="Tablecolumnheading"/>
            </w:pPr>
            <w:bookmarkStart w:id="110" w:name="_Hlk487403578"/>
            <w:r w:rsidRPr="003A0C5C">
              <w:t>Operational Noise Sources</w:t>
            </w:r>
          </w:p>
        </w:tc>
        <w:tc>
          <w:tcPr>
            <w:tcW w:w="0" w:type="auto"/>
            <w:tcBorders>
              <w:top w:val="single" w:sz="4" w:space="0" w:color="auto"/>
              <w:left w:val="nil"/>
              <w:bottom w:val="single" w:sz="4" w:space="0" w:color="auto"/>
              <w:right w:val="nil"/>
            </w:tcBorders>
            <w:shd w:val="clear" w:color="auto" w:fill="FFFFFF"/>
            <w:vAlign w:val="bottom"/>
          </w:tcPr>
          <w:p w14:paraId="199E5F6F" w14:textId="77777777" w:rsidR="00E9008A" w:rsidRPr="003A0C5C" w:rsidRDefault="00E9008A" w:rsidP="00313B2A">
            <w:pPr>
              <w:pStyle w:val="Tablecolumnheading"/>
              <w:jc w:val="center"/>
            </w:pPr>
            <w:r w:rsidRPr="003A0C5C">
              <w:t>Residential Sensitive Receptors</w:t>
            </w:r>
            <w:r w:rsidRPr="003A0C5C">
              <w:br/>
              <w:t>(160 feet north)</w:t>
            </w:r>
          </w:p>
        </w:tc>
      </w:tr>
      <w:tr w:rsidR="003A0C5C" w:rsidRPr="003A0C5C" w14:paraId="540E6297" w14:textId="77777777" w:rsidTr="00313B2A">
        <w:trPr>
          <w:cantSplit/>
          <w:tblHeader/>
        </w:trPr>
        <w:tc>
          <w:tcPr>
            <w:tcW w:w="0" w:type="auto"/>
            <w:vMerge/>
            <w:tcBorders>
              <w:top w:val="single" w:sz="4" w:space="0" w:color="auto"/>
              <w:left w:val="nil"/>
              <w:bottom w:val="single" w:sz="12" w:space="0" w:color="auto"/>
              <w:right w:val="nil"/>
            </w:tcBorders>
            <w:shd w:val="clear" w:color="auto" w:fill="FFFFFF"/>
            <w:vAlign w:val="bottom"/>
          </w:tcPr>
          <w:p w14:paraId="3A1B0013" w14:textId="77777777" w:rsidR="00E9008A" w:rsidRPr="003A0C5C" w:rsidRDefault="00E9008A" w:rsidP="00313B2A">
            <w:pPr>
              <w:pStyle w:val="Tablecolumnheading"/>
            </w:pPr>
          </w:p>
        </w:tc>
        <w:tc>
          <w:tcPr>
            <w:tcW w:w="0" w:type="auto"/>
            <w:tcBorders>
              <w:top w:val="single" w:sz="4" w:space="0" w:color="auto"/>
              <w:left w:val="nil"/>
              <w:bottom w:val="single" w:sz="12" w:space="0" w:color="auto"/>
              <w:right w:val="nil"/>
            </w:tcBorders>
            <w:shd w:val="clear" w:color="auto" w:fill="FFFFFF"/>
            <w:vAlign w:val="bottom"/>
          </w:tcPr>
          <w:p w14:paraId="38DEBD3B" w14:textId="77777777" w:rsidR="00E9008A" w:rsidRPr="003A0C5C" w:rsidRDefault="00E9008A" w:rsidP="00313B2A">
            <w:pPr>
              <w:pStyle w:val="Tablecolumnheading"/>
              <w:jc w:val="center"/>
            </w:pPr>
            <w:r w:rsidRPr="003A0C5C">
              <w:t xml:space="preserve">Noise Levels, dBA </w:t>
            </w:r>
            <w:proofErr w:type="spellStart"/>
            <w:r w:rsidRPr="003A0C5C">
              <w:t>Leq</w:t>
            </w:r>
            <w:proofErr w:type="spellEnd"/>
          </w:p>
        </w:tc>
      </w:tr>
      <w:tr w:rsidR="003A0C5C" w:rsidRPr="003A0C5C" w14:paraId="4EC47579" w14:textId="77777777" w:rsidTr="00313B2A">
        <w:trPr>
          <w:cantSplit/>
        </w:trPr>
        <w:tc>
          <w:tcPr>
            <w:tcW w:w="0" w:type="auto"/>
            <w:tcBorders>
              <w:top w:val="single" w:sz="12" w:space="0" w:color="auto"/>
              <w:left w:val="nil"/>
              <w:bottom w:val="single" w:sz="4" w:space="0" w:color="auto"/>
              <w:right w:val="nil"/>
            </w:tcBorders>
          </w:tcPr>
          <w:p w14:paraId="46E912BF" w14:textId="77777777" w:rsidR="00E9008A" w:rsidRPr="003A0C5C" w:rsidRDefault="00E9008A" w:rsidP="007B7187">
            <w:pPr>
              <w:pStyle w:val="Tabletext"/>
              <w:keepNext/>
              <w:spacing w:before="40" w:after="40"/>
            </w:pPr>
            <w:r w:rsidRPr="003A0C5C">
              <w:t>Existing (Ambient) Noise Level (A)</w:t>
            </w:r>
          </w:p>
        </w:tc>
        <w:tc>
          <w:tcPr>
            <w:tcW w:w="0" w:type="auto"/>
            <w:tcBorders>
              <w:top w:val="single" w:sz="12" w:space="0" w:color="auto"/>
              <w:left w:val="nil"/>
              <w:bottom w:val="single" w:sz="4" w:space="0" w:color="auto"/>
              <w:right w:val="nil"/>
            </w:tcBorders>
          </w:tcPr>
          <w:p w14:paraId="768105B2" w14:textId="77777777" w:rsidR="00E9008A" w:rsidRPr="003A0C5C" w:rsidRDefault="00E9008A" w:rsidP="007B7187">
            <w:pPr>
              <w:pStyle w:val="Tabletext"/>
              <w:spacing w:before="40" w:after="40"/>
              <w:jc w:val="center"/>
            </w:pPr>
            <w:r w:rsidRPr="003A0C5C">
              <w:t>58.6</w:t>
            </w:r>
          </w:p>
        </w:tc>
      </w:tr>
      <w:tr w:rsidR="003A0C5C" w:rsidRPr="003A0C5C" w14:paraId="3EDED24C" w14:textId="77777777" w:rsidTr="00313B2A">
        <w:trPr>
          <w:cantSplit/>
        </w:trPr>
        <w:tc>
          <w:tcPr>
            <w:tcW w:w="0" w:type="auto"/>
            <w:gridSpan w:val="2"/>
            <w:tcBorders>
              <w:top w:val="single" w:sz="4" w:space="0" w:color="auto"/>
              <w:left w:val="nil"/>
              <w:bottom w:val="nil"/>
              <w:right w:val="nil"/>
            </w:tcBorders>
            <w:shd w:val="clear" w:color="auto" w:fill="D9D9D9" w:themeFill="background1" w:themeFillShade="D9"/>
          </w:tcPr>
          <w:p w14:paraId="61DB8DE1" w14:textId="77777777" w:rsidR="00E9008A" w:rsidRPr="003A0C5C" w:rsidRDefault="00E9008A" w:rsidP="007B7187">
            <w:pPr>
              <w:pStyle w:val="Tablerowheading"/>
              <w:spacing w:before="40" w:after="40"/>
            </w:pPr>
            <w:r w:rsidRPr="003A0C5C">
              <w:t>Project Composite Noise Sources</w:t>
            </w:r>
          </w:p>
        </w:tc>
      </w:tr>
      <w:tr w:rsidR="003A0C5C" w:rsidRPr="003A0C5C" w14:paraId="5A7B1560" w14:textId="77777777" w:rsidTr="00313B2A">
        <w:trPr>
          <w:cantSplit/>
        </w:trPr>
        <w:tc>
          <w:tcPr>
            <w:tcW w:w="0" w:type="auto"/>
            <w:tcBorders>
              <w:top w:val="nil"/>
              <w:left w:val="nil"/>
              <w:bottom w:val="nil"/>
              <w:right w:val="nil"/>
            </w:tcBorders>
          </w:tcPr>
          <w:p w14:paraId="0536741F" w14:textId="77777777" w:rsidR="00E9008A" w:rsidRPr="003A0C5C" w:rsidRDefault="00E9008A" w:rsidP="007B7187">
            <w:pPr>
              <w:pStyle w:val="Tabletext"/>
              <w:keepNext/>
              <w:spacing w:before="40" w:after="40"/>
            </w:pPr>
            <w:r w:rsidRPr="003A0C5C">
              <w:rPr>
                <w:rFonts w:cs="Arial"/>
              </w:rPr>
              <w:t>Mechanical equipment</w:t>
            </w:r>
          </w:p>
        </w:tc>
        <w:tc>
          <w:tcPr>
            <w:tcW w:w="0" w:type="auto"/>
            <w:tcBorders>
              <w:top w:val="nil"/>
              <w:left w:val="nil"/>
              <w:bottom w:val="nil"/>
              <w:right w:val="nil"/>
            </w:tcBorders>
          </w:tcPr>
          <w:p w14:paraId="151179D1" w14:textId="77777777" w:rsidR="00E9008A" w:rsidRPr="003A0C5C" w:rsidRDefault="00E9008A" w:rsidP="007B7187">
            <w:pPr>
              <w:pStyle w:val="Tabletext"/>
              <w:spacing w:before="40" w:after="40"/>
              <w:jc w:val="center"/>
            </w:pPr>
            <w:r w:rsidRPr="003A0C5C">
              <w:rPr>
                <w:rFonts w:cs="Arial"/>
              </w:rPr>
              <w:t>49.9</w:t>
            </w:r>
          </w:p>
        </w:tc>
      </w:tr>
      <w:tr w:rsidR="003A0C5C" w:rsidRPr="003A0C5C" w14:paraId="086A609D" w14:textId="77777777" w:rsidTr="00313B2A">
        <w:trPr>
          <w:cantSplit/>
        </w:trPr>
        <w:tc>
          <w:tcPr>
            <w:tcW w:w="0" w:type="auto"/>
            <w:tcBorders>
              <w:top w:val="nil"/>
              <w:left w:val="nil"/>
              <w:bottom w:val="nil"/>
              <w:right w:val="nil"/>
            </w:tcBorders>
          </w:tcPr>
          <w:p w14:paraId="3EEFE488" w14:textId="77777777" w:rsidR="00E9008A" w:rsidRPr="003A0C5C" w:rsidRDefault="00E9008A" w:rsidP="007B7187">
            <w:pPr>
              <w:pStyle w:val="Tabletext"/>
              <w:keepNext/>
              <w:spacing w:before="40" w:after="40"/>
            </w:pPr>
            <w:r w:rsidRPr="003A0C5C">
              <w:rPr>
                <w:rFonts w:cs="Arial"/>
              </w:rPr>
              <w:t>Loading Area</w:t>
            </w:r>
          </w:p>
        </w:tc>
        <w:tc>
          <w:tcPr>
            <w:tcW w:w="0" w:type="auto"/>
            <w:tcBorders>
              <w:top w:val="nil"/>
              <w:left w:val="nil"/>
              <w:bottom w:val="nil"/>
              <w:right w:val="nil"/>
            </w:tcBorders>
          </w:tcPr>
          <w:p w14:paraId="141F1B63" w14:textId="77777777" w:rsidR="00E9008A" w:rsidRPr="003A0C5C" w:rsidRDefault="00E9008A" w:rsidP="007B7187">
            <w:pPr>
              <w:pStyle w:val="Tabletext"/>
              <w:spacing w:before="40" w:after="40"/>
              <w:jc w:val="center"/>
            </w:pPr>
            <w:r w:rsidRPr="003A0C5C">
              <w:rPr>
                <w:rFonts w:cs="Arial"/>
              </w:rPr>
              <w:t>59.1</w:t>
            </w:r>
          </w:p>
        </w:tc>
      </w:tr>
      <w:tr w:rsidR="003A0C5C" w:rsidRPr="003A0C5C" w14:paraId="2DFA640F" w14:textId="77777777" w:rsidTr="00313B2A">
        <w:trPr>
          <w:cantSplit/>
        </w:trPr>
        <w:tc>
          <w:tcPr>
            <w:tcW w:w="0" w:type="auto"/>
            <w:tcBorders>
              <w:top w:val="nil"/>
              <w:left w:val="nil"/>
              <w:bottom w:val="single" w:sz="4" w:space="0" w:color="auto"/>
              <w:right w:val="nil"/>
            </w:tcBorders>
          </w:tcPr>
          <w:p w14:paraId="74090AA0" w14:textId="77777777" w:rsidR="00E9008A" w:rsidRPr="003A0C5C" w:rsidRDefault="00E9008A" w:rsidP="007B7187">
            <w:pPr>
              <w:pStyle w:val="Tabletext"/>
              <w:keepNext/>
              <w:spacing w:before="40" w:after="40"/>
            </w:pPr>
            <w:r w:rsidRPr="003A0C5C">
              <w:rPr>
                <w:rFonts w:cs="Arial"/>
              </w:rPr>
              <w:t>Parking Area</w:t>
            </w:r>
          </w:p>
        </w:tc>
        <w:tc>
          <w:tcPr>
            <w:tcW w:w="0" w:type="auto"/>
            <w:tcBorders>
              <w:top w:val="nil"/>
              <w:left w:val="nil"/>
              <w:bottom w:val="single" w:sz="4" w:space="0" w:color="auto"/>
              <w:right w:val="nil"/>
            </w:tcBorders>
          </w:tcPr>
          <w:p w14:paraId="19E980AE" w14:textId="77777777" w:rsidR="00E9008A" w:rsidRPr="003A0C5C" w:rsidRDefault="00E9008A" w:rsidP="007B7187">
            <w:pPr>
              <w:pStyle w:val="Tabletext"/>
              <w:spacing w:before="40" w:after="40"/>
              <w:jc w:val="center"/>
            </w:pPr>
            <w:r w:rsidRPr="003A0C5C">
              <w:rPr>
                <w:rFonts w:cs="Arial"/>
              </w:rPr>
              <w:t>34.1</w:t>
            </w:r>
          </w:p>
        </w:tc>
      </w:tr>
      <w:tr w:rsidR="003A0C5C" w:rsidRPr="003A0C5C" w14:paraId="5334EC99" w14:textId="77777777" w:rsidTr="00313B2A">
        <w:trPr>
          <w:cantSplit/>
        </w:trPr>
        <w:tc>
          <w:tcPr>
            <w:tcW w:w="0" w:type="auto"/>
            <w:tcBorders>
              <w:top w:val="single" w:sz="4" w:space="0" w:color="auto"/>
              <w:left w:val="nil"/>
              <w:bottom w:val="single" w:sz="4" w:space="0" w:color="auto"/>
              <w:right w:val="nil"/>
            </w:tcBorders>
          </w:tcPr>
          <w:p w14:paraId="79DD6CE9" w14:textId="77777777" w:rsidR="00E9008A" w:rsidRPr="003A0C5C" w:rsidRDefault="00E9008A" w:rsidP="007B7187">
            <w:pPr>
              <w:pStyle w:val="Tabletext"/>
              <w:keepNext/>
              <w:spacing w:before="40" w:after="40"/>
              <w:rPr>
                <w:rStyle w:val="Bold"/>
              </w:rPr>
            </w:pPr>
            <w:r w:rsidRPr="003A0C5C">
              <w:rPr>
                <w:rStyle w:val="Bold"/>
              </w:rPr>
              <w:t xml:space="preserve">Project Composite Noise Level (B) </w:t>
            </w:r>
          </w:p>
        </w:tc>
        <w:tc>
          <w:tcPr>
            <w:tcW w:w="0" w:type="auto"/>
            <w:tcBorders>
              <w:top w:val="single" w:sz="4" w:space="0" w:color="auto"/>
              <w:left w:val="nil"/>
              <w:bottom w:val="single" w:sz="4" w:space="0" w:color="auto"/>
              <w:right w:val="nil"/>
            </w:tcBorders>
          </w:tcPr>
          <w:p w14:paraId="3EA82234" w14:textId="77777777" w:rsidR="00E9008A" w:rsidRPr="003A0C5C" w:rsidRDefault="00E9008A" w:rsidP="007B7187">
            <w:pPr>
              <w:pStyle w:val="Tabletext"/>
              <w:spacing w:before="40" w:after="40"/>
              <w:jc w:val="center"/>
              <w:rPr>
                <w:rStyle w:val="Bold"/>
              </w:rPr>
            </w:pPr>
            <w:r w:rsidRPr="003A0C5C">
              <w:rPr>
                <w:rStyle w:val="Bold"/>
              </w:rPr>
              <w:t>59.6</w:t>
            </w:r>
          </w:p>
        </w:tc>
      </w:tr>
      <w:tr w:rsidR="003A0C5C" w:rsidRPr="003A0C5C" w14:paraId="77357C2E" w14:textId="77777777" w:rsidTr="00313B2A">
        <w:trPr>
          <w:cantSplit/>
        </w:trPr>
        <w:tc>
          <w:tcPr>
            <w:tcW w:w="0" w:type="auto"/>
            <w:tcBorders>
              <w:top w:val="single" w:sz="4" w:space="0" w:color="auto"/>
              <w:left w:val="nil"/>
              <w:bottom w:val="nil"/>
              <w:right w:val="nil"/>
            </w:tcBorders>
          </w:tcPr>
          <w:p w14:paraId="30657CE7" w14:textId="77777777" w:rsidR="00E9008A" w:rsidRPr="003A0C5C" w:rsidRDefault="00E9008A" w:rsidP="007B7187">
            <w:pPr>
              <w:pStyle w:val="Tabletext"/>
              <w:keepNext/>
              <w:spacing w:before="40" w:after="40"/>
              <w:rPr>
                <w:rStyle w:val="Bold"/>
              </w:rPr>
            </w:pPr>
            <w:r w:rsidRPr="003A0C5C">
              <w:rPr>
                <w:rStyle w:val="Bold"/>
              </w:rPr>
              <w:t>Existing Plus Project Composite Noise Level (C) = (A) + (B)</w:t>
            </w:r>
            <w:r w:rsidRPr="003A0C5C">
              <w:rPr>
                <w:rStyle w:val="Tablefootnote"/>
              </w:rPr>
              <w:t>a</w:t>
            </w:r>
          </w:p>
        </w:tc>
        <w:tc>
          <w:tcPr>
            <w:tcW w:w="0" w:type="auto"/>
            <w:tcBorders>
              <w:top w:val="single" w:sz="4" w:space="0" w:color="auto"/>
              <w:left w:val="nil"/>
              <w:bottom w:val="nil"/>
              <w:right w:val="nil"/>
            </w:tcBorders>
          </w:tcPr>
          <w:p w14:paraId="40758328" w14:textId="77777777" w:rsidR="00E9008A" w:rsidRPr="003A0C5C" w:rsidRDefault="00E9008A" w:rsidP="007B7187">
            <w:pPr>
              <w:pStyle w:val="Tabletext"/>
              <w:spacing w:before="40" w:after="40"/>
              <w:jc w:val="center"/>
              <w:rPr>
                <w:rStyle w:val="Bold"/>
              </w:rPr>
            </w:pPr>
            <w:r w:rsidRPr="003A0C5C">
              <w:rPr>
                <w:rStyle w:val="Bold"/>
              </w:rPr>
              <w:t>62.3</w:t>
            </w:r>
          </w:p>
        </w:tc>
      </w:tr>
      <w:tr w:rsidR="003A0C5C" w:rsidRPr="003A0C5C" w14:paraId="5C8412FF" w14:textId="77777777" w:rsidTr="00313B2A">
        <w:trPr>
          <w:cantSplit/>
        </w:trPr>
        <w:tc>
          <w:tcPr>
            <w:tcW w:w="0" w:type="auto"/>
            <w:tcBorders>
              <w:top w:val="nil"/>
              <w:left w:val="nil"/>
              <w:bottom w:val="nil"/>
              <w:right w:val="nil"/>
            </w:tcBorders>
          </w:tcPr>
          <w:p w14:paraId="59E9EB11" w14:textId="77777777" w:rsidR="00E9008A" w:rsidRPr="003A0C5C" w:rsidRDefault="00E9008A" w:rsidP="007B7187">
            <w:pPr>
              <w:pStyle w:val="Tabletext"/>
              <w:keepNext/>
              <w:spacing w:before="40" w:after="40"/>
            </w:pPr>
            <w:r w:rsidRPr="003A0C5C">
              <w:rPr>
                <w:rFonts w:cs="Arial"/>
              </w:rPr>
              <w:t>Project Increment (C minus A)</w:t>
            </w:r>
          </w:p>
        </w:tc>
        <w:tc>
          <w:tcPr>
            <w:tcW w:w="0" w:type="auto"/>
            <w:tcBorders>
              <w:top w:val="nil"/>
              <w:left w:val="nil"/>
              <w:bottom w:val="nil"/>
              <w:right w:val="nil"/>
            </w:tcBorders>
          </w:tcPr>
          <w:p w14:paraId="7DEBDCD7" w14:textId="77777777" w:rsidR="00E9008A" w:rsidRPr="003A0C5C" w:rsidRDefault="00E9008A" w:rsidP="007B7187">
            <w:pPr>
              <w:pStyle w:val="Tabletext"/>
              <w:spacing w:before="40" w:after="40"/>
              <w:jc w:val="center"/>
            </w:pPr>
            <w:r w:rsidRPr="003A0C5C">
              <w:rPr>
                <w:rFonts w:cs="Arial"/>
              </w:rPr>
              <w:t>3.7</w:t>
            </w:r>
          </w:p>
        </w:tc>
      </w:tr>
      <w:tr w:rsidR="003A0C5C" w:rsidRPr="003A0C5C" w14:paraId="08604A4F" w14:textId="77777777" w:rsidTr="00313B2A">
        <w:trPr>
          <w:cantSplit/>
        </w:trPr>
        <w:tc>
          <w:tcPr>
            <w:tcW w:w="0" w:type="auto"/>
            <w:tcBorders>
              <w:top w:val="nil"/>
              <w:left w:val="nil"/>
              <w:bottom w:val="single" w:sz="4" w:space="0" w:color="auto"/>
              <w:right w:val="nil"/>
            </w:tcBorders>
          </w:tcPr>
          <w:p w14:paraId="51D9BA3F" w14:textId="77777777" w:rsidR="00E9008A" w:rsidRPr="003A0C5C" w:rsidRDefault="00E9008A" w:rsidP="007B7187">
            <w:pPr>
              <w:pStyle w:val="Tabletext"/>
              <w:keepNext/>
              <w:spacing w:before="40" w:after="40"/>
            </w:pPr>
            <w:r w:rsidRPr="003A0C5C">
              <w:t>Exceeds Threshold?</w:t>
            </w:r>
          </w:p>
        </w:tc>
        <w:tc>
          <w:tcPr>
            <w:tcW w:w="0" w:type="auto"/>
            <w:tcBorders>
              <w:top w:val="nil"/>
              <w:left w:val="nil"/>
              <w:bottom w:val="single" w:sz="4" w:space="0" w:color="auto"/>
              <w:right w:val="nil"/>
            </w:tcBorders>
          </w:tcPr>
          <w:p w14:paraId="28CAD529" w14:textId="77777777" w:rsidR="00E9008A" w:rsidRPr="003A0C5C" w:rsidRDefault="00E9008A" w:rsidP="007B7187">
            <w:pPr>
              <w:pStyle w:val="Tabletext"/>
              <w:spacing w:before="40" w:after="40"/>
              <w:jc w:val="center"/>
            </w:pPr>
            <w:r w:rsidRPr="003A0C5C">
              <w:t>No</w:t>
            </w:r>
          </w:p>
        </w:tc>
      </w:tr>
      <w:tr w:rsidR="00E9008A" w:rsidRPr="003A0C5C" w14:paraId="4B595F98" w14:textId="77777777" w:rsidTr="00313B2A">
        <w:trPr>
          <w:cantSplit/>
        </w:trPr>
        <w:tc>
          <w:tcPr>
            <w:tcW w:w="0" w:type="auto"/>
            <w:gridSpan w:val="2"/>
            <w:tcBorders>
              <w:top w:val="single" w:sz="4" w:space="0" w:color="auto"/>
              <w:left w:val="nil"/>
              <w:bottom w:val="single" w:sz="4" w:space="0" w:color="auto"/>
              <w:right w:val="nil"/>
            </w:tcBorders>
          </w:tcPr>
          <w:p w14:paraId="710F65F4" w14:textId="77777777" w:rsidR="00E9008A" w:rsidRPr="003A0C5C" w:rsidRDefault="00E9008A" w:rsidP="007B7187">
            <w:pPr>
              <w:pStyle w:val="TableNotes"/>
              <w:spacing w:before="40" w:after="40"/>
            </w:pPr>
            <w:r w:rsidRPr="003A0C5C">
              <w:t>NOTE:</w:t>
            </w:r>
          </w:p>
          <w:p w14:paraId="76C736C0" w14:textId="77777777" w:rsidR="00E9008A" w:rsidRPr="003A0C5C" w:rsidRDefault="00E9008A" w:rsidP="007B7187">
            <w:pPr>
              <w:pStyle w:val="Tablefootnotetext"/>
              <w:spacing w:after="40"/>
            </w:pPr>
            <w:r w:rsidRPr="003A0C5C">
              <w:rPr>
                <w:rStyle w:val="Tablefootnote"/>
              </w:rPr>
              <w:t>a</w:t>
            </w:r>
            <w:r w:rsidRPr="003A0C5C">
              <w:tab/>
              <w:t>Values are added logarithmically (not linearly).</w:t>
            </w:r>
          </w:p>
          <w:p w14:paraId="538C605B" w14:textId="625DDE03" w:rsidR="00E9008A" w:rsidRPr="003A0C5C" w:rsidRDefault="00E9008A" w:rsidP="007B7187">
            <w:pPr>
              <w:pStyle w:val="TableSource"/>
              <w:spacing w:before="40" w:after="40"/>
            </w:pPr>
            <w:r w:rsidRPr="003A0C5C">
              <w:t>SOURCE:</w:t>
            </w:r>
            <w:r w:rsidR="0010254B" w:rsidRPr="003A0C5C">
              <w:t xml:space="preserve"> </w:t>
            </w:r>
            <w:r w:rsidRPr="003A0C5C">
              <w:t>ESA 2</w:t>
            </w:r>
            <w:r w:rsidR="00F63983" w:rsidRPr="003A0C5C">
              <w:t>022</w:t>
            </w:r>
          </w:p>
        </w:tc>
      </w:tr>
      <w:bookmarkEnd w:id="110"/>
    </w:tbl>
    <w:p w14:paraId="3EB53092" w14:textId="1D894C15" w:rsidR="00E9008A" w:rsidRPr="003A0C5C" w:rsidRDefault="00E9008A" w:rsidP="007B7187">
      <w:pPr>
        <w:pStyle w:val="12space"/>
        <w:rPr>
          <w:highlight w:val="yellow"/>
        </w:rPr>
      </w:pPr>
    </w:p>
    <w:p w14:paraId="0DE2A81C" w14:textId="77777777" w:rsidR="003C05F3" w:rsidRPr="003A0C5C" w:rsidRDefault="003C05F3" w:rsidP="003C05F3">
      <w:pPr>
        <w:pStyle w:val="Heading6"/>
        <w:ind w:left="720"/>
      </w:pPr>
      <w:r w:rsidRPr="003A0C5C">
        <w:t>Mitigation Measure</w:t>
      </w:r>
    </w:p>
    <w:p w14:paraId="4B57FD28" w14:textId="7D50CB6F" w:rsidR="003C05F3" w:rsidRPr="003A0C5C" w:rsidRDefault="003C05F3" w:rsidP="006F57E3">
      <w:pPr>
        <w:pStyle w:val="Mitigation"/>
        <w:spacing w:after="180"/>
      </w:pPr>
      <w:r w:rsidRPr="003A0C5C">
        <w:rPr>
          <w:b/>
        </w:rPr>
        <w:t>MM-NOI-1</w:t>
      </w:r>
      <w:r w:rsidR="00FD5F91" w:rsidRPr="003A0C5C">
        <w:rPr>
          <w:b/>
        </w:rPr>
        <w:t>.</w:t>
      </w:r>
      <w:r w:rsidRPr="003A0C5C">
        <w:t xml:space="preserve"> Temporary construction noise barriers, with a minimum rating of Sound Transmission Class (STC) 30 and Noise Reduction Coefficient (NRC) 0.7, shall be implemented prior to grading/site preparation begin</w:t>
      </w:r>
      <w:r w:rsidR="00C970E6" w:rsidRPr="003A0C5C">
        <w:t>ning</w:t>
      </w:r>
      <w:r w:rsidRPr="003A0C5C">
        <w:t xml:space="preserve"> on</w:t>
      </w:r>
      <w:r w:rsidR="00FD5F91" w:rsidRPr="003A0C5C">
        <w:t>–</w:t>
      </w:r>
      <w:r w:rsidRPr="003A0C5C">
        <w:t>site near the northern and northeastern project boundaries (R1, R2, and R3) as follows:</w:t>
      </w:r>
    </w:p>
    <w:p w14:paraId="0997D036" w14:textId="6F70C36A" w:rsidR="003C05F3" w:rsidRPr="003A0C5C" w:rsidRDefault="003C05F3" w:rsidP="006F57E3">
      <w:pPr>
        <w:pStyle w:val="Mitigationbulletindent"/>
        <w:spacing w:after="120"/>
      </w:pPr>
      <w:r w:rsidRPr="003A0C5C">
        <w:t xml:space="preserve">Along the northern </w:t>
      </w:r>
      <w:r w:rsidR="000840DF" w:rsidRPr="003A0C5C">
        <w:t>p</w:t>
      </w:r>
      <w:r w:rsidRPr="003A0C5C">
        <w:t>roject boundary: A noise barrier with a minimum height of 15 feet above grade</w:t>
      </w:r>
      <w:r w:rsidR="0018615E" w:rsidRPr="003A0C5C">
        <w:t>.</w:t>
      </w:r>
      <w:r w:rsidRPr="003A0C5C">
        <w:t xml:space="preserve"> </w:t>
      </w:r>
    </w:p>
    <w:p w14:paraId="37388211" w14:textId="6292A2EF" w:rsidR="003C05F3" w:rsidRPr="003A0C5C" w:rsidRDefault="003C05F3" w:rsidP="006F57E3">
      <w:pPr>
        <w:pStyle w:val="Mitigationbulletindent"/>
      </w:pPr>
      <w:r w:rsidRPr="003A0C5C">
        <w:t xml:space="preserve">Along the eastern </w:t>
      </w:r>
      <w:r w:rsidR="000840DF" w:rsidRPr="003A0C5C">
        <w:t>p</w:t>
      </w:r>
      <w:r w:rsidRPr="003A0C5C">
        <w:t>roject boundary from corner of E 216th Street to 15 feet beyond the southern edge of the multi</w:t>
      </w:r>
      <w:r w:rsidR="00D14685" w:rsidRPr="003A0C5C">
        <w:t>-</w:t>
      </w:r>
      <w:r w:rsidRPr="003A0C5C">
        <w:t xml:space="preserve">family complex located at 21610 S. Perry Street: A noise barrier with a minimum height of </w:t>
      </w:r>
      <w:r w:rsidR="00BB0AC0" w:rsidRPr="003A0C5C">
        <w:t xml:space="preserve">18 </w:t>
      </w:r>
      <w:r w:rsidRPr="003A0C5C">
        <w:t xml:space="preserve">feet above grade. </w:t>
      </w:r>
    </w:p>
    <w:p w14:paraId="018D431E" w14:textId="40073D5E" w:rsidR="00C7522A" w:rsidRPr="003A0C5C" w:rsidRDefault="00727104" w:rsidP="00C7522A">
      <w:pPr>
        <w:pStyle w:val="Mitigation"/>
        <w:spacing w:after="180"/>
      </w:pPr>
      <w:r w:rsidRPr="003A0C5C">
        <w:rPr>
          <w:b/>
        </w:rPr>
        <w:t>MM-NOI-2.</w:t>
      </w:r>
      <w:r w:rsidRPr="003A0C5C">
        <w:t xml:space="preserve"> </w:t>
      </w:r>
      <w:r w:rsidR="00A95450" w:rsidRPr="003A0C5C">
        <w:t>No more than two pieces of the following s</w:t>
      </w:r>
      <w:r w:rsidR="00C7522A" w:rsidRPr="003A0C5C">
        <w:t>pecific o</w:t>
      </w:r>
      <w:r w:rsidR="009E113A" w:rsidRPr="003A0C5C">
        <w:t xml:space="preserve">ff-road construction equipment </w:t>
      </w:r>
      <w:r w:rsidR="00A95450" w:rsidRPr="003A0C5C">
        <w:t>shall be</w:t>
      </w:r>
      <w:r w:rsidR="009E113A" w:rsidRPr="003A0C5C">
        <w:t xml:space="preserve"> used </w:t>
      </w:r>
      <w:r w:rsidR="00BB0AC0" w:rsidRPr="003A0C5C">
        <w:t xml:space="preserve">at the same time </w:t>
      </w:r>
      <w:r w:rsidR="009E113A" w:rsidRPr="003A0C5C">
        <w:t>within 50 f</w:t>
      </w:r>
      <w:r w:rsidR="002C468F" w:rsidRPr="003A0C5C">
        <w:t>ee</w:t>
      </w:r>
      <w:r w:rsidR="009E113A" w:rsidRPr="003A0C5C">
        <w:t xml:space="preserve">t the north and north-eastern boundary of the </w:t>
      </w:r>
      <w:r w:rsidR="002C468F" w:rsidRPr="003A0C5C">
        <w:t xml:space="preserve">project </w:t>
      </w:r>
      <w:r w:rsidR="009E113A" w:rsidRPr="003A0C5C">
        <w:t xml:space="preserve">site. </w:t>
      </w:r>
      <w:r w:rsidR="00C7522A" w:rsidRPr="003A0C5C">
        <w:t>Such equipment include</w:t>
      </w:r>
      <w:r w:rsidR="003F23B0" w:rsidRPr="003A0C5C">
        <w:t>s</w:t>
      </w:r>
      <w:r w:rsidR="00EC2B45" w:rsidRPr="003A0C5C">
        <w:t xml:space="preserve"> the following</w:t>
      </w:r>
      <w:r w:rsidR="00C7522A" w:rsidRPr="003A0C5C">
        <w:t>:</w:t>
      </w:r>
    </w:p>
    <w:p w14:paraId="556E6DDF" w14:textId="13BCCE67" w:rsidR="00C7522A" w:rsidRPr="003A0C5C" w:rsidRDefault="00C7522A" w:rsidP="00B8267E">
      <w:pPr>
        <w:pStyle w:val="Mitigation"/>
        <w:numPr>
          <w:ilvl w:val="0"/>
          <w:numId w:val="14"/>
        </w:numPr>
        <w:spacing w:after="120"/>
        <w:ind w:left="1440"/>
      </w:pPr>
      <w:r w:rsidRPr="003A0C5C">
        <w:t>Concrete Saws</w:t>
      </w:r>
    </w:p>
    <w:p w14:paraId="44C4CF5B" w14:textId="64EBD70C" w:rsidR="00C7522A" w:rsidRPr="003A0C5C" w:rsidRDefault="00C7522A" w:rsidP="00B8267E">
      <w:pPr>
        <w:pStyle w:val="Mitigation"/>
        <w:numPr>
          <w:ilvl w:val="0"/>
          <w:numId w:val="14"/>
        </w:numPr>
        <w:spacing w:after="120"/>
        <w:ind w:left="1440"/>
      </w:pPr>
      <w:r w:rsidRPr="003A0C5C">
        <w:t>Pavers</w:t>
      </w:r>
    </w:p>
    <w:p w14:paraId="0DCBA587" w14:textId="46A5CB77" w:rsidR="00C7522A" w:rsidRPr="003A0C5C" w:rsidRDefault="00C7522A" w:rsidP="00B8267E">
      <w:pPr>
        <w:pStyle w:val="Mitigation"/>
        <w:numPr>
          <w:ilvl w:val="0"/>
          <w:numId w:val="14"/>
        </w:numPr>
        <w:spacing w:after="120"/>
        <w:ind w:left="1440"/>
      </w:pPr>
      <w:r w:rsidRPr="003A0C5C">
        <w:t>Paving Equipment</w:t>
      </w:r>
    </w:p>
    <w:p w14:paraId="23FDF99F" w14:textId="62672553" w:rsidR="00C7522A" w:rsidRPr="003A0C5C" w:rsidRDefault="00C7522A" w:rsidP="00B8267E">
      <w:pPr>
        <w:pStyle w:val="Mitigation"/>
        <w:numPr>
          <w:ilvl w:val="0"/>
          <w:numId w:val="14"/>
        </w:numPr>
        <w:spacing w:after="120"/>
        <w:ind w:left="1440"/>
      </w:pPr>
      <w:r w:rsidRPr="003A0C5C">
        <w:t>Generators</w:t>
      </w:r>
    </w:p>
    <w:p w14:paraId="2A0FC0FD" w14:textId="11D782AC" w:rsidR="00C7522A" w:rsidRPr="003A0C5C" w:rsidRDefault="00C7522A" w:rsidP="00B8267E">
      <w:pPr>
        <w:pStyle w:val="Mitigation"/>
        <w:numPr>
          <w:ilvl w:val="0"/>
          <w:numId w:val="14"/>
        </w:numPr>
        <w:ind w:left="1440"/>
      </w:pPr>
      <w:r w:rsidRPr="003A0C5C">
        <w:t>Pumps</w:t>
      </w:r>
    </w:p>
    <w:p w14:paraId="7A08C5A3" w14:textId="5F47D4D7" w:rsidR="00727104" w:rsidRPr="003A0C5C" w:rsidRDefault="00C7522A" w:rsidP="005970A5">
      <w:pPr>
        <w:pStyle w:val="Mitigation"/>
        <w:spacing w:after="180"/>
      </w:pPr>
      <w:r w:rsidRPr="003A0C5C">
        <w:t xml:space="preserve">These </w:t>
      </w:r>
      <w:r w:rsidR="003F23B0" w:rsidRPr="003A0C5C">
        <w:t xml:space="preserve">pieces of </w:t>
      </w:r>
      <w:r w:rsidRPr="003A0C5C">
        <w:t xml:space="preserve">equipment have the highest reference noise level as indicated by the Federal Highway Administration’s Roadway Construction Noise Model User’s Guide. </w:t>
      </w:r>
      <w:r w:rsidR="009E113A" w:rsidRPr="003A0C5C">
        <w:t>By limiting the number of nois</w:t>
      </w:r>
      <w:r w:rsidR="003F23B0" w:rsidRPr="003A0C5C">
        <w:t>y</w:t>
      </w:r>
      <w:r w:rsidR="009E113A" w:rsidRPr="003A0C5C">
        <w:t xml:space="preserve"> equipment</w:t>
      </w:r>
      <w:r w:rsidR="003F23B0" w:rsidRPr="003A0C5C">
        <w:t xml:space="preserve"> operating at the same time</w:t>
      </w:r>
      <w:r w:rsidR="009E113A" w:rsidRPr="003A0C5C">
        <w:t xml:space="preserve"> within 50 feet of the north and north-eastern boundary of the </w:t>
      </w:r>
      <w:r w:rsidR="002C468F" w:rsidRPr="003A0C5C">
        <w:t xml:space="preserve">project </w:t>
      </w:r>
      <w:r w:rsidR="009E113A" w:rsidRPr="003A0C5C">
        <w:t xml:space="preserve">site, the cumulative noise effect from multiple equipment will be </w:t>
      </w:r>
      <w:r w:rsidRPr="003A0C5C">
        <w:t>reduced.</w:t>
      </w:r>
      <w:r w:rsidR="009E113A" w:rsidRPr="003A0C5C">
        <w:t xml:space="preserve"> </w:t>
      </w:r>
    </w:p>
    <w:p w14:paraId="48152F86" w14:textId="69900E80" w:rsidR="00E9008A" w:rsidRPr="003A0C5C" w:rsidRDefault="00E9008A" w:rsidP="00E9008A">
      <w:pPr>
        <w:pStyle w:val="12spaceindent"/>
      </w:pPr>
      <w:r w:rsidRPr="003A0C5C">
        <w:t>b)</w:t>
      </w:r>
      <w:r w:rsidRPr="003A0C5C">
        <w:tab/>
        <w:t xml:space="preserve">The project improvements would be constructed using typical construction techniques. As such, it is anticipated that the equipment to be used during construction would not expose persons to or generate excessive </w:t>
      </w:r>
      <w:proofErr w:type="spellStart"/>
      <w:r w:rsidRPr="003A0C5C">
        <w:t>groundborne</w:t>
      </w:r>
      <w:proofErr w:type="spellEnd"/>
      <w:r w:rsidRPr="003A0C5C">
        <w:t xml:space="preserve"> vibration. Post-construction on-site activities would be limited to commercial uses that would not generate excessive </w:t>
      </w:r>
      <w:proofErr w:type="spellStart"/>
      <w:r w:rsidRPr="003A0C5C">
        <w:t>groundborne</w:t>
      </w:r>
      <w:proofErr w:type="spellEnd"/>
      <w:r w:rsidRPr="003A0C5C">
        <w:t xml:space="preserve"> vibration.</w:t>
      </w:r>
    </w:p>
    <w:p w14:paraId="6FCD0364" w14:textId="77777777" w:rsidR="00E9008A" w:rsidRPr="003A0C5C" w:rsidRDefault="00E9008A" w:rsidP="00E9008A">
      <w:pPr>
        <w:pStyle w:val="Heading6"/>
        <w:ind w:left="720"/>
        <w:rPr>
          <w:bCs/>
        </w:rPr>
      </w:pPr>
      <w:r w:rsidRPr="003A0C5C">
        <w:rPr>
          <w:bCs/>
        </w:rPr>
        <w:t>Vibration Principles and Descriptors</w:t>
      </w:r>
    </w:p>
    <w:p w14:paraId="2707F9C2" w14:textId="77777777" w:rsidR="00E9008A" w:rsidRPr="003A0C5C" w:rsidRDefault="00E9008A" w:rsidP="00E9008A">
      <w:pPr>
        <w:pStyle w:val="12spaceindentcontinue"/>
      </w:pPr>
      <w:proofErr w:type="spellStart"/>
      <w:r w:rsidRPr="003A0C5C">
        <w:t>Groundborne</w:t>
      </w:r>
      <w:proofErr w:type="spellEnd"/>
      <w:r w:rsidRPr="003A0C5C">
        <w:t xml:space="preserve"> vibration from development is primarily generated from the operation of construction equipment and from vehicle traffic. </w:t>
      </w:r>
      <w:proofErr w:type="spellStart"/>
      <w:r w:rsidRPr="003A0C5C">
        <w:t>Groundborne</w:t>
      </w:r>
      <w:proofErr w:type="spellEnd"/>
      <w:r w:rsidRPr="003A0C5C">
        <w:t xml:space="preserve"> vibration propagates from the source through the ground to adjacent buildings by surface waves. Vibration energy dissipates as it travels through the ground, causing the vibration amplitude to decrease with distance away from the source. Vibration in buildings is typically perceived as rattling of windows, shaking of loose items, or the motion of building surfaces. The vibration of building surfaces also can be radiated as sound and heard as a low-frequency rumbling noise, known as </w:t>
      </w:r>
      <w:proofErr w:type="spellStart"/>
      <w:r w:rsidRPr="003A0C5C">
        <w:t>groundborne</w:t>
      </w:r>
      <w:proofErr w:type="spellEnd"/>
      <w:r w:rsidRPr="003A0C5C">
        <w:t xml:space="preserve"> noise. Vibration levels for potential structural damage is described in terms of the peak particle velocity (PPV) measured in inches per second (in/sec).</w:t>
      </w:r>
    </w:p>
    <w:p w14:paraId="780546A3" w14:textId="77777777" w:rsidR="00E9008A" w:rsidRPr="003A0C5C" w:rsidRDefault="00E9008A" w:rsidP="00E9008A">
      <w:pPr>
        <w:pStyle w:val="12spaceindentcontinue"/>
      </w:pPr>
      <w:proofErr w:type="spellStart"/>
      <w:r w:rsidRPr="003A0C5C">
        <w:t>Groundborne</w:t>
      </w:r>
      <w:proofErr w:type="spellEnd"/>
      <w:r w:rsidRPr="003A0C5C">
        <w:t xml:space="preserve"> vibration is generally limited to areas within a few hundred feet of certain types of industrial operation and construction activities such as pile driving. Road vehicles rarely create enough </w:t>
      </w:r>
      <w:proofErr w:type="spellStart"/>
      <w:r w:rsidRPr="003A0C5C">
        <w:t>groundborne</w:t>
      </w:r>
      <w:proofErr w:type="spellEnd"/>
      <w:r w:rsidRPr="003A0C5C">
        <w:t xml:space="preserve"> vibration amplitude to be perceptible to humans unless the receiver is in immediate proximity to the source or the road surface is poorly maintained and has potholes or bumps. If traffic, typically heavy trucks, does induce perceptible building vibration, it is most likely an effect of low-frequency airborne noise or ground characteristics.</w:t>
      </w:r>
    </w:p>
    <w:p w14:paraId="7D73E022" w14:textId="77777777" w:rsidR="00E9008A" w:rsidRPr="003A0C5C" w:rsidRDefault="00E9008A" w:rsidP="00E9008A">
      <w:pPr>
        <w:pStyle w:val="12spaceindentcontinue"/>
      </w:pPr>
      <w:r w:rsidRPr="003A0C5C">
        <w:t>Building structural components also can be excited by high levels of low-frequency airborne noise (typically less than 100 Hz). The many structural components of a building, excited by low-frequency noise, can be coupled together to create complex vibrating systems. The low-frequency vibration of the structural components can cause smaller items such as ornaments, pictures, and shelves to rattle, which can cause annoyance to building occupants.</w:t>
      </w:r>
    </w:p>
    <w:p w14:paraId="616A818B" w14:textId="77777777" w:rsidR="00E9008A" w:rsidRPr="003A0C5C" w:rsidRDefault="00E9008A" w:rsidP="00E9008A">
      <w:pPr>
        <w:pStyle w:val="12spaceindentcontinue"/>
      </w:pPr>
      <w:r w:rsidRPr="003A0C5C">
        <w:t xml:space="preserve">Human sensitivity to vibration varies by frequency and by receiver. Generally, people are </w:t>
      </w:r>
      <w:r w:rsidRPr="003A0C5C">
        <w:rPr>
          <w:spacing w:val="-2"/>
        </w:rPr>
        <w:t>more sensitive to low-frequency vibration. Human annoyance also is related to the number</w:t>
      </w:r>
      <w:r w:rsidRPr="003A0C5C">
        <w:t xml:space="preserve"> and duration of events; the more events or the greater the duration, the more annoying it becomes. </w:t>
      </w:r>
      <w:proofErr w:type="spellStart"/>
      <w:r w:rsidRPr="003A0C5C">
        <w:t>Groundborne</w:t>
      </w:r>
      <w:proofErr w:type="spellEnd"/>
      <w:r w:rsidRPr="003A0C5C">
        <w:t xml:space="preserve"> vibration related to human annoyance is generally related to root mean square (rms) velocity levels, and expressed as velocity in decibels (</w:t>
      </w:r>
      <w:proofErr w:type="spellStart"/>
      <w:r w:rsidRPr="003A0C5C">
        <w:t>VdB</w:t>
      </w:r>
      <w:proofErr w:type="spellEnd"/>
      <w:r w:rsidRPr="003A0C5C">
        <w:t>).</w:t>
      </w:r>
    </w:p>
    <w:p w14:paraId="4DF8A1D0" w14:textId="77777777" w:rsidR="00E9008A" w:rsidRPr="003A0C5C" w:rsidRDefault="00E9008A" w:rsidP="00E9008A">
      <w:pPr>
        <w:pStyle w:val="Heading6"/>
        <w:ind w:left="720"/>
        <w:rPr>
          <w:bCs/>
        </w:rPr>
      </w:pPr>
      <w:r w:rsidRPr="003A0C5C">
        <w:rPr>
          <w:bCs/>
        </w:rPr>
        <w:t>Regulatory Framework</w:t>
      </w:r>
    </w:p>
    <w:p w14:paraId="56648D1D" w14:textId="6FF9EF25" w:rsidR="00E9008A" w:rsidRPr="003A0C5C" w:rsidRDefault="00E9008A" w:rsidP="00E9008A">
      <w:pPr>
        <w:pStyle w:val="12spaceindentcontinue"/>
        <w:rPr>
          <w:highlight w:val="yellow"/>
        </w:rPr>
      </w:pPr>
      <w:r w:rsidRPr="003A0C5C">
        <w:t xml:space="preserve">The City of Carson does not address vibration either in its respective municipal codes or in the Noise Element of the General Plans. With respect to </w:t>
      </w:r>
      <w:proofErr w:type="spellStart"/>
      <w:r w:rsidRPr="003A0C5C">
        <w:t>groundborne</w:t>
      </w:r>
      <w:proofErr w:type="spellEnd"/>
      <w:r w:rsidRPr="003A0C5C">
        <w:t xml:space="preserve"> vibration from construction activities, Caltrans has adopted guidelines/recommendations to limit </w:t>
      </w:r>
      <w:proofErr w:type="spellStart"/>
      <w:r w:rsidRPr="003A0C5C">
        <w:t>groundborne</w:t>
      </w:r>
      <w:proofErr w:type="spellEnd"/>
      <w:r w:rsidRPr="003A0C5C">
        <w:t xml:space="preserve"> vibration based on the age and/or condition of the structures that are located in close proximity to construction activity. With respect to residential and commercial structures, Caltrans’ technical publication, titled Transportation- and Construction-Induced Vibration Guidance Manual, provides a </w:t>
      </w:r>
      <w:proofErr w:type="gramStart"/>
      <w:r w:rsidRPr="003A0C5C">
        <w:t>vibration damage potential threshold criteria</w:t>
      </w:r>
      <w:proofErr w:type="gramEnd"/>
      <w:r w:rsidRPr="003A0C5C">
        <w:t xml:space="preserve"> of 0.5 inches per second PPV for historic and older buildings, 1.0 inch-per-second PPV for newer residential structures, and 2.0 inches per second PPV for modern industrial/‌commercial buildings. In addition, the guidance also sets 0.035 PPV as the threshold for “distinctly perceptible” human response to steady state vibration (Caltrans </w:t>
      </w:r>
      <w:r w:rsidR="007A0592" w:rsidRPr="003A0C5C">
        <w:t>2013b</w:t>
      </w:r>
      <w:r w:rsidRPr="003A0C5C">
        <w:t>).</w:t>
      </w:r>
    </w:p>
    <w:p w14:paraId="6A868898" w14:textId="7521495C" w:rsidR="00E9008A" w:rsidRPr="003A0C5C" w:rsidRDefault="00E9008A" w:rsidP="00E9008A">
      <w:pPr>
        <w:pStyle w:val="12spaceindentcontinue"/>
        <w:rPr>
          <w:highlight w:val="yellow"/>
        </w:rPr>
      </w:pPr>
      <w:r w:rsidRPr="003A0C5C">
        <w:t xml:space="preserve">According to the Federal Transit Administration, ground vibrations from construction activities very rarely reach the level that can damage structures. A possible exception is the case of old, fragile buildings of historical significance where special care must be taken to avoid damage. The construction activities that typically generate the most severe vibrations are blasting and impact pile driving, which would not be </w:t>
      </w:r>
      <w:r w:rsidR="000340EC" w:rsidRPr="003A0C5C">
        <w:t xml:space="preserve">used </w:t>
      </w:r>
      <w:r w:rsidRPr="003A0C5C">
        <w:t xml:space="preserve">for the proposed project. The proposed project would </w:t>
      </w:r>
      <w:r w:rsidR="000340EC" w:rsidRPr="003A0C5C">
        <w:t xml:space="preserve">use </w:t>
      </w:r>
      <w:r w:rsidRPr="003A0C5C">
        <w:t xml:space="preserve">construction equipment such as skid steer loaders and excavators, which would generate </w:t>
      </w:r>
      <w:proofErr w:type="spellStart"/>
      <w:r w:rsidRPr="003A0C5C">
        <w:t>groundborne</w:t>
      </w:r>
      <w:proofErr w:type="spellEnd"/>
      <w:r w:rsidRPr="003A0C5C">
        <w:t xml:space="preserve"> vibration during excavation and foundation activities. Based on the vibration data by the </w:t>
      </w:r>
      <w:r w:rsidR="00401429" w:rsidRPr="003A0C5C">
        <w:t>Federal Transit Administration</w:t>
      </w:r>
      <w:r w:rsidRPr="003A0C5C">
        <w:t xml:space="preserve">, </w:t>
      </w:r>
      <w:r w:rsidRPr="003A0C5C">
        <w:rPr>
          <w:spacing w:val="-2"/>
        </w:rPr>
        <w:t>typical vibration velocities from the operation of a large bulldozer would be approximately</w:t>
      </w:r>
      <w:r w:rsidRPr="003A0C5C">
        <w:t xml:space="preserve"> 0.089 inches per second PPV at 25 feet from the source of activity, 0.031 inches per second PPV at 50 feet distance, and 0.011 inches per second PPV at 100 feet distance.</w:t>
      </w:r>
    </w:p>
    <w:p w14:paraId="4633211C" w14:textId="77777777" w:rsidR="00E9008A" w:rsidRPr="003A0C5C" w:rsidRDefault="00E9008A" w:rsidP="00E9008A">
      <w:pPr>
        <w:pStyle w:val="Heading6"/>
        <w:ind w:left="720"/>
        <w:rPr>
          <w:bCs/>
        </w:rPr>
      </w:pPr>
      <w:r w:rsidRPr="003A0C5C">
        <w:rPr>
          <w:bCs/>
        </w:rPr>
        <w:t>Construction Vibration</w:t>
      </w:r>
    </w:p>
    <w:p w14:paraId="328A0C9C" w14:textId="77777777" w:rsidR="00E9008A" w:rsidRPr="003A0C5C" w:rsidRDefault="00E9008A" w:rsidP="00E9008A">
      <w:pPr>
        <w:pStyle w:val="12spaceindentcontinue"/>
        <w:rPr>
          <w:highlight w:val="yellow"/>
        </w:rPr>
      </w:pPr>
      <w:r w:rsidRPr="003A0C5C">
        <w:t>The nearest off-site single-family residential buildings are located to the north of the project site, which are approximately 50 feet from the project site. At a distance of 50 feet, the maximum vibration level (using large bulldozer as an example, as shown above) would be reduced from the level measured at 25 feet and would be well below the Caltrans construction vibration structure damage criteria as the proposed project would not generate vibration levels at nearby buildings that would exceed the 0.5 inches per second PPV structural damage threshold or the 0.035 inches per second PPV “distinctly perceptible” human response threshold. Therefore, construction vibration impacts would be less than significant and mitigation measures are not required.</w:t>
      </w:r>
    </w:p>
    <w:p w14:paraId="7512838D" w14:textId="77777777" w:rsidR="00E9008A" w:rsidRPr="003A0C5C" w:rsidRDefault="00E9008A" w:rsidP="00E9008A">
      <w:pPr>
        <w:pStyle w:val="Heading6"/>
        <w:ind w:left="720"/>
        <w:rPr>
          <w:bCs/>
        </w:rPr>
      </w:pPr>
      <w:r w:rsidRPr="003A0C5C">
        <w:rPr>
          <w:bCs/>
        </w:rPr>
        <w:t>Operational Vibration</w:t>
      </w:r>
    </w:p>
    <w:p w14:paraId="624DB1FB" w14:textId="77777777" w:rsidR="00E9008A" w:rsidRPr="003A0C5C" w:rsidRDefault="00E9008A" w:rsidP="00E9008A">
      <w:pPr>
        <w:pStyle w:val="12spaceindentcontinue"/>
        <w:rPr>
          <w:highlight w:val="yellow"/>
        </w:rPr>
      </w:pPr>
      <w:r w:rsidRPr="003A0C5C">
        <w:t>Once construction activities have been completed, there would be no substantial sources of vibration activities from the project area. The proposed project’s operations would include industrial-grade stationary mechanical and electrical equipment, such as pumps, compressor units, and exhaust fans, which would produce limited levels of vibration.</w:t>
      </w:r>
    </w:p>
    <w:p w14:paraId="59B1CA77" w14:textId="77777777" w:rsidR="00E9008A" w:rsidRPr="003A0C5C" w:rsidRDefault="00E9008A" w:rsidP="00E9008A">
      <w:pPr>
        <w:pStyle w:val="12spaceindentcontinue"/>
      </w:pPr>
      <w:proofErr w:type="spellStart"/>
      <w:r w:rsidRPr="003A0C5C">
        <w:t>Groundborne</w:t>
      </w:r>
      <w:proofErr w:type="spellEnd"/>
      <w:r w:rsidRPr="003A0C5C">
        <w:t xml:space="preserve"> vibration generated by each of the above-mentioned equipment and activities would generate approximately up to 0.0014 inches per second PPV at locations adjacent (within 50 feet) to the project site (ASHRAE 1999). The potential vibration levels from all project operational sources at the closest existing building and human annoyance receptor locations would be less than the significance criteria for building damage and human annoyance of 0.5 inches per second PPV and 0.035 inches per second PPV, respectively as the closest sensitive receptors are approximately 50 feet away from the project site. As such, vibration impacts associated with operation of the proposed project would be less than significant, and no mitigation measures are required.</w:t>
      </w:r>
    </w:p>
    <w:p w14:paraId="5A16EB31" w14:textId="77777777" w:rsidR="00351BF3" w:rsidRPr="003A0C5C" w:rsidRDefault="00E9008A" w:rsidP="00351BF3">
      <w:pPr>
        <w:pStyle w:val="12spaceindent"/>
      </w:pPr>
      <w:r w:rsidRPr="003A0C5C">
        <w:t>c)</w:t>
      </w:r>
      <w:r w:rsidRPr="003A0C5C">
        <w:tab/>
        <w:t>The project area is located approximately 3.3 miles from the Compton/Woodley Airport, 4 miles from Long Beach International Airport and Torrance/Zamperini Field. However, the project site is located outside of these airports’ 65 dBA CNEL noise contour and outside of the airport influence area. Therefore, construction or operation of the proposed project would not expose people to excessive airport related noise levels and impacts would be less than significant.</w:t>
      </w:r>
    </w:p>
    <w:p w14:paraId="3C49ADA3" w14:textId="77777777" w:rsidR="00351BF3" w:rsidRPr="003A0C5C" w:rsidRDefault="00351BF3" w:rsidP="00351BF3">
      <w:pPr>
        <w:pStyle w:val="12spaceindent"/>
        <w:keepNext/>
        <w:spacing w:after="120"/>
        <w:ind w:left="0" w:firstLine="0"/>
        <w:rPr>
          <w:highlight w:val="yellow"/>
        </w:rPr>
      </w:pPr>
    </w:p>
    <w:p w14:paraId="6C5FB127" w14:textId="77777777" w:rsidR="00E9008A" w:rsidRPr="003A0C5C" w:rsidRDefault="00E9008A" w:rsidP="00E9008A">
      <w:pPr>
        <w:pStyle w:val="ImpactSectionEnd"/>
        <w:rPr>
          <w:highlight w:val="yellow"/>
        </w:rPr>
      </w:pPr>
    </w:p>
    <w:p w14:paraId="0901B672" w14:textId="45EEC469" w:rsidR="002B6967" w:rsidRPr="003A0C5C" w:rsidRDefault="00E9008A" w:rsidP="002B6967">
      <w:pPr>
        <w:rPr>
          <w:highlight w:val="yellow"/>
        </w:rPr>
      </w:pPr>
      <w:r w:rsidRPr="003A0C5C">
        <w:rPr>
          <w:highlight w:val="yellow"/>
        </w:rPr>
        <w:br w:type="page"/>
      </w:r>
    </w:p>
    <w:p w14:paraId="32A6035A" w14:textId="6FEEE332" w:rsidR="004F426E" w:rsidRPr="003A0C5C" w:rsidRDefault="008B0DDC" w:rsidP="008B0DDC">
      <w:pPr>
        <w:pStyle w:val="Heading4"/>
      </w:pPr>
      <w:bookmarkStart w:id="111" w:name="_Toc101791993"/>
      <w:r w:rsidRPr="003A0C5C">
        <w:t>XIV.</w:t>
      </w:r>
      <w:r w:rsidRPr="003A0C5C">
        <w:tab/>
      </w:r>
      <w:r w:rsidR="004F426E" w:rsidRPr="003A0C5C">
        <w:t>Population and Housing</w:t>
      </w:r>
      <w:bookmarkEnd w:id="111"/>
    </w:p>
    <w:tbl>
      <w:tblPr>
        <w:tblW w:w="0" w:type="auto"/>
        <w:tblCellMar>
          <w:left w:w="86" w:type="dxa"/>
          <w:right w:w="86" w:type="dxa"/>
        </w:tblCellMar>
        <w:tblLook w:val="0000" w:firstRow="0" w:lastRow="0" w:firstColumn="0" w:lastColumn="0" w:noHBand="0" w:noVBand="0"/>
      </w:tblPr>
      <w:tblGrid>
        <w:gridCol w:w="5088"/>
        <w:gridCol w:w="888"/>
        <w:gridCol w:w="1152"/>
        <w:gridCol w:w="888"/>
        <w:gridCol w:w="624"/>
      </w:tblGrid>
      <w:tr w:rsidR="003A0C5C" w:rsidRPr="003A0C5C" w14:paraId="73260B9A" w14:textId="77777777" w:rsidTr="00F07065">
        <w:trPr>
          <w:cantSplit/>
          <w:tblHeader/>
        </w:trPr>
        <w:tc>
          <w:tcPr>
            <w:tcW w:w="0" w:type="auto"/>
            <w:vAlign w:val="bottom"/>
          </w:tcPr>
          <w:p w14:paraId="4C80A315" w14:textId="77777777" w:rsidR="002B6967" w:rsidRPr="003A0C5C" w:rsidRDefault="002B6967" w:rsidP="00F07065">
            <w:pPr>
              <w:keepNext/>
              <w:pBdr>
                <w:bottom w:val="single" w:sz="4" w:space="1" w:color="auto"/>
              </w:pBdr>
              <w:spacing w:before="60" w:after="60"/>
              <w:ind w:left="540" w:hanging="540"/>
              <w:rPr>
                <w:rFonts w:ascii="Arial" w:hAnsi="Arial" w:cs="Arial"/>
                <w:b/>
                <w:i/>
                <w:sz w:val="14"/>
                <w:szCs w:val="16"/>
              </w:rPr>
            </w:pPr>
            <w:r w:rsidRPr="003A0C5C">
              <w:rPr>
                <w:rFonts w:ascii="Arial" w:hAnsi="Arial" w:cs="Arial"/>
                <w:b/>
                <w:i/>
                <w:sz w:val="14"/>
                <w:szCs w:val="16"/>
              </w:rPr>
              <w:t>Issues (and Supporting Information Sources)</w:t>
            </w:r>
          </w:p>
        </w:tc>
        <w:tc>
          <w:tcPr>
            <w:tcW w:w="0" w:type="auto"/>
            <w:vAlign w:val="bottom"/>
          </w:tcPr>
          <w:p w14:paraId="7DFD3929" w14:textId="77777777" w:rsidR="002B6967" w:rsidRPr="003A0C5C" w:rsidRDefault="002B6967" w:rsidP="00F07065">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Potentially</w:t>
            </w:r>
            <w:r w:rsidRPr="003A0C5C">
              <w:rPr>
                <w:rFonts w:ascii="Arial" w:hAnsi="Arial" w:cs="Arial"/>
                <w:b/>
                <w:i/>
                <w:sz w:val="14"/>
                <w:szCs w:val="16"/>
              </w:rPr>
              <w:br/>
              <w:t>Significant</w:t>
            </w:r>
            <w:r w:rsidRPr="003A0C5C">
              <w:rPr>
                <w:rFonts w:ascii="Arial" w:hAnsi="Arial" w:cs="Arial"/>
                <w:b/>
                <w:i/>
                <w:sz w:val="14"/>
                <w:szCs w:val="16"/>
              </w:rPr>
              <w:br/>
              <w:t>Impact</w:t>
            </w:r>
          </w:p>
        </w:tc>
        <w:tc>
          <w:tcPr>
            <w:tcW w:w="0" w:type="auto"/>
            <w:vAlign w:val="bottom"/>
          </w:tcPr>
          <w:p w14:paraId="7686E69B" w14:textId="77777777" w:rsidR="002B6967" w:rsidRPr="003A0C5C" w:rsidRDefault="002B6967" w:rsidP="00F07065">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Less than</w:t>
            </w:r>
            <w:r w:rsidRPr="003A0C5C">
              <w:rPr>
                <w:rFonts w:ascii="Arial" w:hAnsi="Arial" w:cs="Arial"/>
                <w:b/>
                <w:i/>
                <w:sz w:val="14"/>
                <w:szCs w:val="16"/>
              </w:rPr>
              <w:br/>
              <w:t>Significant</w:t>
            </w:r>
            <w:r w:rsidRPr="003A0C5C">
              <w:rPr>
                <w:rFonts w:ascii="Arial" w:hAnsi="Arial" w:cs="Arial"/>
                <w:b/>
                <w:i/>
                <w:sz w:val="14"/>
                <w:szCs w:val="16"/>
              </w:rPr>
              <w:br/>
              <w:t>with Mitigation</w:t>
            </w:r>
            <w:r w:rsidRPr="003A0C5C">
              <w:rPr>
                <w:rFonts w:ascii="Arial" w:hAnsi="Arial" w:cs="Arial"/>
                <w:b/>
                <w:i/>
                <w:sz w:val="14"/>
                <w:szCs w:val="16"/>
              </w:rPr>
              <w:br/>
              <w:t>Incorporated</w:t>
            </w:r>
          </w:p>
        </w:tc>
        <w:tc>
          <w:tcPr>
            <w:tcW w:w="0" w:type="auto"/>
            <w:vAlign w:val="bottom"/>
          </w:tcPr>
          <w:p w14:paraId="3049CD4F" w14:textId="77777777" w:rsidR="002B6967" w:rsidRPr="003A0C5C" w:rsidRDefault="002B6967" w:rsidP="00F07065">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Less-than-</w:t>
            </w:r>
            <w:r w:rsidRPr="003A0C5C">
              <w:rPr>
                <w:rFonts w:ascii="Arial" w:hAnsi="Arial" w:cs="Arial"/>
                <w:b/>
                <w:i/>
                <w:sz w:val="14"/>
                <w:szCs w:val="16"/>
              </w:rPr>
              <w:br/>
              <w:t>Significant</w:t>
            </w:r>
            <w:r w:rsidRPr="003A0C5C">
              <w:rPr>
                <w:rFonts w:ascii="Arial" w:hAnsi="Arial" w:cs="Arial"/>
                <w:b/>
                <w:i/>
                <w:sz w:val="14"/>
                <w:szCs w:val="16"/>
              </w:rPr>
              <w:br/>
              <w:t>Impact</w:t>
            </w:r>
          </w:p>
        </w:tc>
        <w:tc>
          <w:tcPr>
            <w:tcW w:w="0" w:type="auto"/>
            <w:vAlign w:val="bottom"/>
          </w:tcPr>
          <w:p w14:paraId="1A561310" w14:textId="77777777" w:rsidR="002B6967" w:rsidRPr="003A0C5C" w:rsidRDefault="002B6967" w:rsidP="00F07065">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No</w:t>
            </w:r>
            <w:r w:rsidRPr="003A0C5C">
              <w:rPr>
                <w:rFonts w:ascii="Arial" w:hAnsi="Arial" w:cs="Arial"/>
                <w:b/>
                <w:i/>
                <w:sz w:val="14"/>
                <w:szCs w:val="16"/>
              </w:rPr>
              <w:br/>
              <w:t>Impact</w:t>
            </w:r>
          </w:p>
        </w:tc>
      </w:tr>
      <w:tr w:rsidR="003A0C5C" w:rsidRPr="003A0C5C" w14:paraId="0AD2EA1F" w14:textId="77777777" w:rsidTr="00F07065">
        <w:trPr>
          <w:cantSplit/>
        </w:trPr>
        <w:tc>
          <w:tcPr>
            <w:tcW w:w="0" w:type="auto"/>
          </w:tcPr>
          <w:p w14:paraId="1597F508" w14:textId="21A805C2" w:rsidR="002B6967" w:rsidRPr="003A0C5C" w:rsidRDefault="002B6967" w:rsidP="00F07065">
            <w:pPr>
              <w:pStyle w:val="Tabletextnumber"/>
              <w:keepNext/>
              <w:ind w:left="504" w:hanging="504"/>
              <w:rPr>
                <w:rStyle w:val="Bold"/>
              </w:rPr>
            </w:pPr>
            <w:r w:rsidRPr="003A0C5C">
              <w:rPr>
                <w:rStyle w:val="Bold"/>
              </w:rPr>
              <w:t>XIV.</w:t>
            </w:r>
            <w:r w:rsidRPr="003A0C5C">
              <w:rPr>
                <w:rStyle w:val="Bold"/>
              </w:rPr>
              <w:tab/>
              <w:t>POPULATION AND HOUSING</w:t>
            </w:r>
            <w:r w:rsidRPr="003A0C5C">
              <w:t>—Would the project:</w:t>
            </w:r>
          </w:p>
        </w:tc>
        <w:tc>
          <w:tcPr>
            <w:tcW w:w="0" w:type="auto"/>
          </w:tcPr>
          <w:p w14:paraId="019FDE8B" w14:textId="77777777" w:rsidR="002B6967" w:rsidRPr="003A0C5C" w:rsidRDefault="002B6967" w:rsidP="00F07065">
            <w:pPr>
              <w:pStyle w:val="Checklist"/>
            </w:pPr>
          </w:p>
        </w:tc>
        <w:tc>
          <w:tcPr>
            <w:tcW w:w="0" w:type="auto"/>
          </w:tcPr>
          <w:p w14:paraId="6D293B88" w14:textId="77777777" w:rsidR="002B6967" w:rsidRPr="003A0C5C" w:rsidRDefault="002B6967" w:rsidP="00F07065">
            <w:pPr>
              <w:pStyle w:val="Checklist"/>
            </w:pPr>
          </w:p>
        </w:tc>
        <w:tc>
          <w:tcPr>
            <w:tcW w:w="0" w:type="auto"/>
          </w:tcPr>
          <w:p w14:paraId="61DDC3B8" w14:textId="77777777" w:rsidR="002B6967" w:rsidRPr="003A0C5C" w:rsidRDefault="002B6967" w:rsidP="00F07065">
            <w:pPr>
              <w:pStyle w:val="Checklist"/>
            </w:pPr>
          </w:p>
        </w:tc>
        <w:tc>
          <w:tcPr>
            <w:tcW w:w="0" w:type="auto"/>
          </w:tcPr>
          <w:p w14:paraId="13AA6434" w14:textId="77777777" w:rsidR="002B6967" w:rsidRPr="003A0C5C" w:rsidRDefault="002B6967" w:rsidP="00F07065">
            <w:pPr>
              <w:pStyle w:val="Checklist"/>
            </w:pPr>
          </w:p>
        </w:tc>
      </w:tr>
      <w:tr w:rsidR="003A0C5C" w:rsidRPr="003A0C5C" w14:paraId="20DDE464" w14:textId="77777777" w:rsidTr="00F07065">
        <w:trPr>
          <w:cantSplit/>
        </w:trPr>
        <w:tc>
          <w:tcPr>
            <w:tcW w:w="0" w:type="auto"/>
          </w:tcPr>
          <w:p w14:paraId="586C68D3" w14:textId="53933034" w:rsidR="002B6967" w:rsidRPr="003A0C5C" w:rsidRDefault="002B6967" w:rsidP="002B6967">
            <w:pPr>
              <w:pStyle w:val="Tabletextnumber"/>
            </w:pPr>
            <w:r w:rsidRPr="003A0C5C">
              <w:rPr>
                <w:rFonts w:cs="Arial"/>
                <w:szCs w:val="16"/>
              </w:rPr>
              <w:t>a)</w:t>
            </w:r>
            <w:r w:rsidRPr="003A0C5C">
              <w:rPr>
                <w:rFonts w:cs="Arial"/>
                <w:szCs w:val="16"/>
              </w:rPr>
              <w:tab/>
              <w:t>Induce substantial unplanned population growth in an area, either directly (for example, by proposing new homes and businesses) or indirectly (for example, through extension of roads or other infrastructure)?</w:t>
            </w:r>
          </w:p>
        </w:tc>
        <w:tc>
          <w:tcPr>
            <w:tcW w:w="0" w:type="auto"/>
          </w:tcPr>
          <w:p w14:paraId="51FE3E05" w14:textId="77777777" w:rsidR="002B6967" w:rsidRPr="003A0C5C" w:rsidRDefault="002348BC" w:rsidP="002B6967">
            <w:pPr>
              <w:pStyle w:val="Checklist"/>
            </w:pPr>
            <w:sdt>
              <w:sdtPr>
                <w:id w:val="801111693"/>
                <w14:checkbox>
                  <w14:checked w14:val="0"/>
                  <w14:checkedState w14:val="2612" w14:font="MS Gothic"/>
                  <w14:uncheckedState w14:val="2610" w14:font="MS Gothic"/>
                </w14:checkbox>
              </w:sdtPr>
              <w:sdtEndPr/>
              <w:sdtContent>
                <w:r w:rsidR="002B6967" w:rsidRPr="003A0C5C">
                  <w:t>☐</w:t>
                </w:r>
              </w:sdtContent>
            </w:sdt>
          </w:p>
        </w:tc>
        <w:tc>
          <w:tcPr>
            <w:tcW w:w="0" w:type="auto"/>
          </w:tcPr>
          <w:p w14:paraId="219E17B7" w14:textId="77777777" w:rsidR="002B6967" w:rsidRPr="003A0C5C" w:rsidRDefault="002348BC" w:rsidP="002B6967">
            <w:pPr>
              <w:pStyle w:val="Checklist"/>
              <w:rPr>
                <w:sz w:val="20"/>
              </w:rPr>
            </w:pPr>
            <w:sdt>
              <w:sdtPr>
                <w:id w:val="-614829501"/>
                <w14:checkbox>
                  <w14:checked w14:val="0"/>
                  <w14:checkedState w14:val="2612" w14:font="MS Gothic"/>
                  <w14:uncheckedState w14:val="2610" w14:font="MS Gothic"/>
                </w14:checkbox>
              </w:sdtPr>
              <w:sdtEndPr/>
              <w:sdtContent>
                <w:r w:rsidR="002B6967" w:rsidRPr="003A0C5C">
                  <w:t>☐</w:t>
                </w:r>
              </w:sdtContent>
            </w:sdt>
          </w:p>
        </w:tc>
        <w:tc>
          <w:tcPr>
            <w:tcW w:w="0" w:type="auto"/>
          </w:tcPr>
          <w:p w14:paraId="49008F69" w14:textId="4C10EE46" w:rsidR="002B6967" w:rsidRPr="003A0C5C" w:rsidRDefault="002348BC" w:rsidP="002B6967">
            <w:pPr>
              <w:pStyle w:val="Checklist"/>
              <w:rPr>
                <w:sz w:val="20"/>
              </w:rPr>
            </w:pPr>
            <w:sdt>
              <w:sdtPr>
                <w:id w:val="-1135475366"/>
                <w14:checkbox>
                  <w14:checked w14:val="1"/>
                  <w14:checkedState w14:val="2612" w14:font="MS Gothic"/>
                  <w14:uncheckedState w14:val="2610" w14:font="MS Gothic"/>
                </w14:checkbox>
              </w:sdtPr>
              <w:sdtEndPr/>
              <w:sdtContent>
                <w:r w:rsidR="002B6967" w:rsidRPr="003A0C5C">
                  <w:t>☒</w:t>
                </w:r>
              </w:sdtContent>
            </w:sdt>
          </w:p>
        </w:tc>
        <w:tc>
          <w:tcPr>
            <w:tcW w:w="0" w:type="auto"/>
          </w:tcPr>
          <w:p w14:paraId="358A975F" w14:textId="3AD8E02F" w:rsidR="002B6967" w:rsidRPr="003A0C5C" w:rsidRDefault="002348BC" w:rsidP="002B6967">
            <w:pPr>
              <w:pStyle w:val="Checklist"/>
              <w:rPr>
                <w:sz w:val="20"/>
              </w:rPr>
            </w:pPr>
            <w:sdt>
              <w:sdtPr>
                <w:id w:val="-1916470815"/>
                <w14:checkbox>
                  <w14:checked w14:val="0"/>
                  <w14:checkedState w14:val="2612" w14:font="MS Gothic"/>
                  <w14:uncheckedState w14:val="2610" w14:font="MS Gothic"/>
                </w14:checkbox>
              </w:sdtPr>
              <w:sdtEndPr/>
              <w:sdtContent>
                <w:r w:rsidR="002B6967" w:rsidRPr="003A0C5C">
                  <w:t>☐</w:t>
                </w:r>
              </w:sdtContent>
            </w:sdt>
          </w:p>
        </w:tc>
      </w:tr>
      <w:tr w:rsidR="002B6967" w:rsidRPr="003A0C5C" w14:paraId="2454DF51" w14:textId="77777777" w:rsidTr="00F07065">
        <w:trPr>
          <w:cantSplit/>
        </w:trPr>
        <w:tc>
          <w:tcPr>
            <w:tcW w:w="0" w:type="auto"/>
          </w:tcPr>
          <w:p w14:paraId="7B8F91BD" w14:textId="1CC7472D" w:rsidR="002B6967" w:rsidRPr="003A0C5C" w:rsidRDefault="002B6967" w:rsidP="002B6967">
            <w:pPr>
              <w:pStyle w:val="Tabletextnumber"/>
            </w:pPr>
            <w:r w:rsidRPr="003A0C5C">
              <w:rPr>
                <w:rFonts w:cs="Arial"/>
                <w:szCs w:val="16"/>
              </w:rPr>
              <w:t>b)</w:t>
            </w:r>
            <w:r w:rsidRPr="003A0C5C">
              <w:rPr>
                <w:rFonts w:cs="Arial"/>
                <w:szCs w:val="16"/>
              </w:rPr>
              <w:tab/>
              <w:t>Displace substantial numbers of existing people or housing, necessitating the construction of replacement housing elsewhere?</w:t>
            </w:r>
          </w:p>
        </w:tc>
        <w:tc>
          <w:tcPr>
            <w:tcW w:w="0" w:type="auto"/>
          </w:tcPr>
          <w:p w14:paraId="4DD6EF74" w14:textId="77777777" w:rsidR="002B6967" w:rsidRPr="003A0C5C" w:rsidRDefault="002348BC" w:rsidP="002B6967">
            <w:pPr>
              <w:pStyle w:val="Checklist"/>
              <w:rPr>
                <w:sz w:val="20"/>
              </w:rPr>
            </w:pPr>
            <w:sdt>
              <w:sdtPr>
                <w:id w:val="-1655208961"/>
                <w14:checkbox>
                  <w14:checked w14:val="0"/>
                  <w14:checkedState w14:val="2612" w14:font="MS Gothic"/>
                  <w14:uncheckedState w14:val="2610" w14:font="MS Gothic"/>
                </w14:checkbox>
              </w:sdtPr>
              <w:sdtEndPr/>
              <w:sdtContent>
                <w:r w:rsidR="002B6967" w:rsidRPr="003A0C5C">
                  <w:t>☐</w:t>
                </w:r>
              </w:sdtContent>
            </w:sdt>
          </w:p>
        </w:tc>
        <w:tc>
          <w:tcPr>
            <w:tcW w:w="0" w:type="auto"/>
          </w:tcPr>
          <w:p w14:paraId="49AD0F47" w14:textId="77777777" w:rsidR="002B6967" w:rsidRPr="003A0C5C" w:rsidRDefault="002348BC" w:rsidP="002B6967">
            <w:pPr>
              <w:pStyle w:val="Checklist"/>
              <w:rPr>
                <w:sz w:val="20"/>
              </w:rPr>
            </w:pPr>
            <w:sdt>
              <w:sdtPr>
                <w:id w:val="579105355"/>
                <w14:checkbox>
                  <w14:checked w14:val="0"/>
                  <w14:checkedState w14:val="2612" w14:font="MS Gothic"/>
                  <w14:uncheckedState w14:val="2610" w14:font="MS Gothic"/>
                </w14:checkbox>
              </w:sdtPr>
              <w:sdtEndPr/>
              <w:sdtContent>
                <w:r w:rsidR="002B6967" w:rsidRPr="003A0C5C">
                  <w:t>☐</w:t>
                </w:r>
              </w:sdtContent>
            </w:sdt>
          </w:p>
        </w:tc>
        <w:tc>
          <w:tcPr>
            <w:tcW w:w="0" w:type="auto"/>
          </w:tcPr>
          <w:p w14:paraId="0F300457" w14:textId="77777777" w:rsidR="002B6967" w:rsidRPr="003A0C5C" w:rsidRDefault="002348BC" w:rsidP="002B6967">
            <w:pPr>
              <w:pStyle w:val="Checklist"/>
              <w:rPr>
                <w:sz w:val="20"/>
              </w:rPr>
            </w:pPr>
            <w:sdt>
              <w:sdtPr>
                <w:id w:val="176852279"/>
                <w14:checkbox>
                  <w14:checked w14:val="0"/>
                  <w14:checkedState w14:val="2612" w14:font="MS Gothic"/>
                  <w14:uncheckedState w14:val="2610" w14:font="MS Gothic"/>
                </w14:checkbox>
              </w:sdtPr>
              <w:sdtEndPr/>
              <w:sdtContent>
                <w:r w:rsidR="002B6967" w:rsidRPr="003A0C5C">
                  <w:t>☐</w:t>
                </w:r>
              </w:sdtContent>
            </w:sdt>
          </w:p>
        </w:tc>
        <w:tc>
          <w:tcPr>
            <w:tcW w:w="0" w:type="auto"/>
          </w:tcPr>
          <w:p w14:paraId="40234683" w14:textId="77777777" w:rsidR="002B6967" w:rsidRPr="003A0C5C" w:rsidRDefault="002348BC" w:rsidP="002B6967">
            <w:pPr>
              <w:pStyle w:val="Checklist"/>
              <w:rPr>
                <w:sz w:val="20"/>
              </w:rPr>
            </w:pPr>
            <w:sdt>
              <w:sdtPr>
                <w:id w:val="-990946926"/>
                <w14:checkbox>
                  <w14:checked w14:val="1"/>
                  <w14:checkedState w14:val="2612" w14:font="MS Gothic"/>
                  <w14:uncheckedState w14:val="2610" w14:font="MS Gothic"/>
                </w14:checkbox>
              </w:sdtPr>
              <w:sdtEndPr/>
              <w:sdtContent>
                <w:r w:rsidR="002B6967" w:rsidRPr="003A0C5C">
                  <w:t>☒</w:t>
                </w:r>
              </w:sdtContent>
            </w:sdt>
          </w:p>
        </w:tc>
      </w:tr>
    </w:tbl>
    <w:p w14:paraId="4ACCD21E" w14:textId="77777777" w:rsidR="00957C8B" w:rsidRPr="003A0C5C" w:rsidRDefault="00957C8B" w:rsidP="00957C8B">
      <w:pPr>
        <w:pStyle w:val="TableNotes"/>
        <w:rPr>
          <w:highlight w:val="yellow"/>
        </w:rPr>
      </w:pPr>
    </w:p>
    <w:p w14:paraId="2EA5A3A3" w14:textId="56E6370E" w:rsidR="00957C8B" w:rsidRPr="003A0C5C" w:rsidRDefault="00957C8B" w:rsidP="00957C8B">
      <w:pPr>
        <w:pStyle w:val="Heading5"/>
      </w:pPr>
      <w:r w:rsidRPr="003A0C5C">
        <w:t>Discussion</w:t>
      </w:r>
    </w:p>
    <w:p w14:paraId="04C970CF" w14:textId="043FD074" w:rsidR="00F92AE1" w:rsidRPr="003A0C5C" w:rsidRDefault="004F426E" w:rsidP="00737FA5">
      <w:pPr>
        <w:pStyle w:val="12spaceindent"/>
        <w:rPr>
          <w:highlight w:val="yellow"/>
        </w:rPr>
      </w:pPr>
      <w:r w:rsidRPr="003A0C5C">
        <w:t>a)</w:t>
      </w:r>
      <w:r w:rsidRPr="003A0C5C">
        <w:tab/>
      </w:r>
      <w:r w:rsidRPr="003A0C5C">
        <w:rPr>
          <w:spacing w:val="-1"/>
        </w:rPr>
        <w:t>A project could induce population growth in an area directly or indirectly. For example, direct population growth can occur by introducing new businesses or residential areas and indirect growth by extending roads or other infrastructure. The project site is located in a</w:t>
      </w:r>
      <w:r w:rsidR="00CD3F27" w:rsidRPr="003A0C5C">
        <w:rPr>
          <w:spacing w:val="-1"/>
        </w:rPr>
        <w:t>n</w:t>
      </w:r>
      <w:r w:rsidRPr="003A0C5C">
        <w:rPr>
          <w:spacing w:val="-1"/>
        </w:rPr>
        <w:t xml:space="preserve"> urbanized area and </w:t>
      </w:r>
      <w:r w:rsidR="00C06F42" w:rsidRPr="003A0C5C">
        <w:rPr>
          <w:spacing w:val="-1"/>
        </w:rPr>
        <w:t xml:space="preserve">is currently </w:t>
      </w:r>
      <w:r w:rsidR="004A213C" w:rsidRPr="003A0C5C">
        <w:rPr>
          <w:spacing w:val="-1"/>
        </w:rPr>
        <w:t xml:space="preserve">vacant </w:t>
      </w:r>
      <w:r w:rsidR="00C06F42" w:rsidRPr="003A0C5C">
        <w:rPr>
          <w:spacing w:val="-1"/>
        </w:rPr>
        <w:t xml:space="preserve">and </w:t>
      </w:r>
      <w:r w:rsidR="004A213C" w:rsidRPr="003A0C5C">
        <w:rPr>
          <w:spacing w:val="-1"/>
        </w:rPr>
        <w:t xml:space="preserve">undeveloped. </w:t>
      </w:r>
      <w:r w:rsidR="003F36EC" w:rsidRPr="003A0C5C">
        <w:rPr>
          <w:spacing w:val="-1"/>
        </w:rPr>
        <w:t>The proposed project would develop</w:t>
      </w:r>
      <w:r w:rsidR="000D421A" w:rsidRPr="003A0C5C">
        <w:rPr>
          <w:spacing w:val="-1"/>
        </w:rPr>
        <w:t xml:space="preserve"> </w:t>
      </w:r>
      <w:r w:rsidR="003F36EC" w:rsidRPr="003A0C5C">
        <w:rPr>
          <w:spacing w:val="-1"/>
        </w:rPr>
        <w:t>a</w:t>
      </w:r>
      <w:r w:rsidR="00C06F42" w:rsidRPr="003A0C5C">
        <w:rPr>
          <w:spacing w:val="-1"/>
        </w:rPr>
        <w:t xml:space="preserve"> </w:t>
      </w:r>
      <w:r w:rsidR="0007228F" w:rsidRPr="003A0C5C">
        <w:rPr>
          <w:spacing w:val="-1"/>
        </w:rPr>
        <w:t xml:space="preserve">self-storage facility </w:t>
      </w:r>
      <w:r w:rsidR="00860FF2" w:rsidRPr="003A0C5C">
        <w:rPr>
          <w:spacing w:val="-1"/>
        </w:rPr>
        <w:t xml:space="preserve">with </w:t>
      </w:r>
      <w:r w:rsidR="0007228F" w:rsidRPr="003A0C5C">
        <w:rPr>
          <w:spacing w:val="-1"/>
        </w:rPr>
        <w:t xml:space="preserve">ancillary </w:t>
      </w:r>
      <w:r w:rsidR="006555E9" w:rsidRPr="003A0C5C">
        <w:rPr>
          <w:spacing w:val="-1"/>
        </w:rPr>
        <w:t xml:space="preserve">office and </w:t>
      </w:r>
      <w:r w:rsidR="0007228F" w:rsidRPr="003A0C5C">
        <w:rPr>
          <w:spacing w:val="-1"/>
        </w:rPr>
        <w:t>retail uses</w:t>
      </w:r>
      <w:r w:rsidR="004A213C" w:rsidRPr="003A0C5C">
        <w:rPr>
          <w:spacing w:val="-1"/>
        </w:rPr>
        <w:t xml:space="preserve">. </w:t>
      </w:r>
      <w:r w:rsidR="003F36EC" w:rsidRPr="003A0C5C">
        <w:rPr>
          <w:spacing w:val="-1"/>
        </w:rPr>
        <w:t xml:space="preserve">Given these uses, </w:t>
      </w:r>
      <w:r w:rsidR="00C06F42" w:rsidRPr="003A0C5C">
        <w:rPr>
          <w:spacing w:val="-1"/>
        </w:rPr>
        <w:t xml:space="preserve">which are not residential in nature, </w:t>
      </w:r>
      <w:r w:rsidR="003F36EC" w:rsidRPr="003A0C5C">
        <w:rPr>
          <w:spacing w:val="-1"/>
        </w:rPr>
        <w:t>the proposed project would not induce direct population growth.</w:t>
      </w:r>
    </w:p>
    <w:p w14:paraId="0A10D387" w14:textId="50221342" w:rsidR="00425808" w:rsidRPr="003A0C5C" w:rsidRDefault="00425808" w:rsidP="00C06F42">
      <w:pPr>
        <w:pStyle w:val="12spaceindentcontinue"/>
        <w:rPr>
          <w:highlight w:val="yellow"/>
        </w:rPr>
      </w:pPr>
      <w:r w:rsidRPr="003A0C5C">
        <w:t xml:space="preserve">Employment opportunities during operation of the proposed project are not anticipated to substantially increase the population or housing in the area, since the employees would likely already live in or near the existing urbanized project area or consist of regional commuters. </w:t>
      </w:r>
      <w:r w:rsidR="00310896" w:rsidRPr="003A0C5C">
        <w:t xml:space="preserve">The </w:t>
      </w:r>
      <w:r w:rsidR="00B170B1" w:rsidRPr="003A0C5C">
        <w:t xml:space="preserve">proposed </w:t>
      </w:r>
      <w:r w:rsidR="00310896" w:rsidRPr="003A0C5C">
        <w:t>project would not contribute to employment growth in the City of Carson forecasted by the 2020</w:t>
      </w:r>
      <w:r w:rsidR="00B170B1" w:rsidRPr="003A0C5C">
        <w:rPr>
          <w:lang w:eastAsia="ko-KR"/>
        </w:rPr>
        <w:t>–2045</w:t>
      </w:r>
      <w:r w:rsidR="00B170B1" w:rsidRPr="003A0C5C">
        <w:t xml:space="preserve"> </w:t>
      </w:r>
      <w:r w:rsidR="00310896" w:rsidRPr="003A0C5C">
        <w:t>RTP/SCS</w:t>
      </w:r>
      <w:r w:rsidR="00945E8B" w:rsidRPr="003A0C5C">
        <w:t xml:space="preserve"> (SCAG 2020)</w:t>
      </w:r>
      <w:r w:rsidR="00310896" w:rsidRPr="003A0C5C">
        <w:t>. Based on SCAG’s forecast</w:t>
      </w:r>
      <w:r w:rsidR="00CB33D0" w:rsidRPr="003A0C5C">
        <w:t>,</w:t>
      </w:r>
      <w:r w:rsidR="00310896" w:rsidRPr="003A0C5C">
        <w:t xml:space="preserve"> </w:t>
      </w:r>
      <w:r w:rsidR="00CB33D0" w:rsidRPr="003A0C5C">
        <w:t xml:space="preserve">the </w:t>
      </w:r>
      <w:r w:rsidR="00792F31" w:rsidRPr="003A0C5C">
        <w:t>anticipated</w:t>
      </w:r>
      <w:r w:rsidR="00CB33D0" w:rsidRPr="003A0C5C">
        <w:t xml:space="preserve"> </w:t>
      </w:r>
      <w:r w:rsidR="00CB33D0" w:rsidRPr="003A0C5C">
        <w:rPr>
          <w:rFonts w:eastAsia="Calibri" w:cs="Times New Roman"/>
        </w:rPr>
        <w:t xml:space="preserve">5 to 6 employees </w:t>
      </w:r>
      <w:r w:rsidR="00792F31" w:rsidRPr="003A0C5C">
        <w:rPr>
          <w:rFonts w:eastAsia="Calibri" w:cs="Times New Roman"/>
        </w:rPr>
        <w:t xml:space="preserve">that would </w:t>
      </w:r>
      <w:r w:rsidR="00D620B4" w:rsidRPr="003A0C5C">
        <w:rPr>
          <w:rFonts w:eastAsia="Calibri" w:cs="Times New Roman"/>
        </w:rPr>
        <w:t xml:space="preserve">be </w:t>
      </w:r>
      <w:r w:rsidR="00792F31" w:rsidRPr="003A0C5C">
        <w:rPr>
          <w:rFonts w:eastAsia="Calibri" w:cs="Times New Roman"/>
        </w:rPr>
        <w:t xml:space="preserve">generated under the proposed project </w:t>
      </w:r>
      <w:r w:rsidR="00CB33D0" w:rsidRPr="003A0C5C">
        <w:rPr>
          <w:rFonts w:eastAsia="Calibri" w:cs="Times New Roman"/>
        </w:rPr>
        <w:t xml:space="preserve">would account for 0.009 percent of the employee forecast </w:t>
      </w:r>
      <w:r w:rsidR="00310896" w:rsidRPr="003A0C5C">
        <w:t xml:space="preserve">for 2024, which is the </w:t>
      </w:r>
      <w:r w:rsidR="00792F31" w:rsidRPr="003A0C5C">
        <w:t xml:space="preserve">proposed </w:t>
      </w:r>
      <w:r w:rsidR="00310896" w:rsidRPr="003A0C5C">
        <w:t xml:space="preserve">project’s expected year of operation. </w:t>
      </w:r>
      <w:r w:rsidRPr="003A0C5C">
        <w:t xml:space="preserve">Further, indirect growth from extension of roads and infrastructure would not be anticipated, as the proposed project would not add any new roadways, and would be served by existing infrastructure with minor proposed upgrades and connections to accommodate the proposed project. Therefore, the proposed project would not introduce unplanned infrastructure that was not previously evaluated in the adopted General Plan. </w:t>
      </w:r>
      <w:r w:rsidR="00135A25" w:rsidRPr="003A0C5C">
        <w:t>The</w:t>
      </w:r>
      <w:r w:rsidR="00792F31" w:rsidRPr="003A0C5C">
        <w:t xml:space="preserve"> proposed</w:t>
      </w:r>
      <w:r w:rsidR="00135A25" w:rsidRPr="003A0C5C">
        <w:t xml:space="preserve"> project would introduce a self-storage facility that would serve the area population; however, the provision of storage services is not anticipated to induce population growth as these services are already widely available and the availability of these services does not determine housing growth. </w:t>
      </w:r>
      <w:r w:rsidRPr="003A0C5C">
        <w:t xml:space="preserve">Therefore, the proposed project would not result in a substantial population increase during operation, and impacts would be less than </w:t>
      </w:r>
      <w:r w:rsidR="008F53EF" w:rsidRPr="003A0C5C">
        <w:t>significant</w:t>
      </w:r>
      <w:r w:rsidRPr="003A0C5C">
        <w:t>.</w:t>
      </w:r>
    </w:p>
    <w:p w14:paraId="589F609F" w14:textId="6388C540" w:rsidR="00496C93" w:rsidRPr="003A0C5C" w:rsidRDefault="004F426E" w:rsidP="00496C93">
      <w:pPr>
        <w:pStyle w:val="12spaceindent"/>
        <w:rPr>
          <w:highlight w:val="yellow"/>
        </w:rPr>
      </w:pPr>
      <w:r w:rsidRPr="003A0C5C">
        <w:t>b)</w:t>
      </w:r>
      <w:r w:rsidRPr="003A0C5C">
        <w:tab/>
      </w:r>
      <w:r w:rsidR="00F3007D" w:rsidRPr="003A0C5C">
        <w:t>The project site is located in an urbanized area of the C</w:t>
      </w:r>
      <w:r w:rsidR="00C06F42" w:rsidRPr="003A0C5C">
        <w:t xml:space="preserve">ity of Carson and is currently </w:t>
      </w:r>
      <w:r w:rsidR="00F3007D" w:rsidRPr="003A0C5C">
        <w:t xml:space="preserve">vacant </w:t>
      </w:r>
      <w:r w:rsidR="00C06F42" w:rsidRPr="003A0C5C">
        <w:t>and undeveloped</w:t>
      </w:r>
      <w:r w:rsidR="00F90F68" w:rsidRPr="003A0C5C">
        <w:t xml:space="preserve">. </w:t>
      </w:r>
      <w:r w:rsidR="00780FDC" w:rsidRPr="003A0C5C">
        <w:t xml:space="preserve">No residential uses are located on the project site. </w:t>
      </w:r>
      <w:r w:rsidRPr="003A0C5C">
        <w:t>Therefore, no</w:t>
      </w:r>
      <w:r w:rsidR="00263790" w:rsidRPr="003A0C5C">
        <w:t xml:space="preserve"> impacts related to the</w:t>
      </w:r>
      <w:r w:rsidRPr="003A0C5C">
        <w:t xml:space="preserve"> displacement of substantial quantity of existing residences would occur.</w:t>
      </w:r>
    </w:p>
    <w:p w14:paraId="6398829F" w14:textId="77777777" w:rsidR="002B6967" w:rsidRPr="003A0C5C" w:rsidRDefault="002B6967" w:rsidP="002B6967">
      <w:pPr>
        <w:pStyle w:val="ImpactSectionEnd"/>
        <w:rPr>
          <w:highlight w:val="yellow"/>
        </w:rPr>
      </w:pPr>
    </w:p>
    <w:p w14:paraId="3460D28A" w14:textId="77777777" w:rsidR="006F57E3" w:rsidRPr="003A0C5C" w:rsidRDefault="002B6967" w:rsidP="006F57E3">
      <w:r w:rsidRPr="003A0C5C">
        <w:rPr>
          <w:highlight w:val="yellow"/>
        </w:rPr>
        <w:br w:type="page"/>
      </w:r>
    </w:p>
    <w:p w14:paraId="6CC68270" w14:textId="5F2BF4F2" w:rsidR="004F426E" w:rsidRPr="003A0C5C" w:rsidRDefault="008B0DDC" w:rsidP="00496C93">
      <w:pPr>
        <w:pStyle w:val="Heading4"/>
      </w:pPr>
      <w:bookmarkStart w:id="112" w:name="_Toc101791994"/>
      <w:r w:rsidRPr="003A0C5C">
        <w:t>XV.</w:t>
      </w:r>
      <w:r w:rsidRPr="003A0C5C">
        <w:tab/>
      </w:r>
      <w:r w:rsidR="004F426E" w:rsidRPr="003A0C5C">
        <w:t>Public Services</w:t>
      </w:r>
      <w:bookmarkEnd w:id="112"/>
    </w:p>
    <w:tbl>
      <w:tblPr>
        <w:tblW w:w="0" w:type="auto"/>
        <w:tblCellMar>
          <w:left w:w="86" w:type="dxa"/>
          <w:right w:w="86" w:type="dxa"/>
        </w:tblCellMar>
        <w:tblLook w:val="0000" w:firstRow="0" w:lastRow="0" w:firstColumn="0" w:lastColumn="0" w:noHBand="0" w:noVBand="0"/>
      </w:tblPr>
      <w:tblGrid>
        <w:gridCol w:w="5088"/>
        <w:gridCol w:w="888"/>
        <w:gridCol w:w="1152"/>
        <w:gridCol w:w="888"/>
        <w:gridCol w:w="624"/>
      </w:tblGrid>
      <w:tr w:rsidR="003A0C5C" w:rsidRPr="003A0C5C" w14:paraId="633EA284" w14:textId="77777777" w:rsidTr="00F07065">
        <w:trPr>
          <w:cantSplit/>
          <w:tblHeader/>
        </w:trPr>
        <w:tc>
          <w:tcPr>
            <w:tcW w:w="0" w:type="auto"/>
            <w:vAlign w:val="bottom"/>
          </w:tcPr>
          <w:p w14:paraId="5749261E" w14:textId="77777777" w:rsidR="00BB2DF1" w:rsidRPr="003A0C5C" w:rsidRDefault="00BB2DF1" w:rsidP="00F07065">
            <w:pPr>
              <w:keepNext/>
              <w:pBdr>
                <w:bottom w:val="single" w:sz="4" w:space="1" w:color="auto"/>
              </w:pBdr>
              <w:spacing w:before="60" w:after="60"/>
              <w:ind w:left="540" w:hanging="540"/>
              <w:rPr>
                <w:rFonts w:ascii="Arial" w:hAnsi="Arial" w:cs="Arial"/>
                <w:b/>
                <w:i/>
                <w:sz w:val="14"/>
                <w:szCs w:val="16"/>
              </w:rPr>
            </w:pPr>
            <w:r w:rsidRPr="003A0C5C">
              <w:rPr>
                <w:rFonts w:ascii="Arial" w:hAnsi="Arial" w:cs="Arial"/>
                <w:b/>
                <w:i/>
                <w:sz w:val="14"/>
                <w:szCs w:val="16"/>
              </w:rPr>
              <w:t>Issues (and Supporting Information Sources)</w:t>
            </w:r>
          </w:p>
        </w:tc>
        <w:tc>
          <w:tcPr>
            <w:tcW w:w="0" w:type="auto"/>
            <w:vAlign w:val="bottom"/>
          </w:tcPr>
          <w:p w14:paraId="2C48441C" w14:textId="77777777" w:rsidR="00BB2DF1" w:rsidRPr="003A0C5C" w:rsidRDefault="00BB2DF1" w:rsidP="00F07065">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Potentially</w:t>
            </w:r>
            <w:r w:rsidRPr="003A0C5C">
              <w:rPr>
                <w:rFonts w:ascii="Arial" w:hAnsi="Arial" w:cs="Arial"/>
                <w:b/>
                <w:i/>
                <w:sz w:val="14"/>
                <w:szCs w:val="16"/>
              </w:rPr>
              <w:br/>
              <w:t>Significant</w:t>
            </w:r>
            <w:r w:rsidRPr="003A0C5C">
              <w:rPr>
                <w:rFonts w:ascii="Arial" w:hAnsi="Arial" w:cs="Arial"/>
                <w:b/>
                <w:i/>
                <w:sz w:val="14"/>
                <w:szCs w:val="16"/>
              </w:rPr>
              <w:br/>
              <w:t>Impact</w:t>
            </w:r>
          </w:p>
        </w:tc>
        <w:tc>
          <w:tcPr>
            <w:tcW w:w="0" w:type="auto"/>
            <w:vAlign w:val="bottom"/>
          </w:tcPr>
          <w:p w14:paraId="6B69BFA2" w14:textId="77777777" w:rsidR="00BB2DF1" w:rsidRPr="003A0C5C" w:rsidRDefault="00BB2DF1" w:rsidP="00F07065">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Less than</w:t>
            </w:r>
            <w:r w:rsidRPr="003A0C5C">
              <w:rPr>
                <w:rFonts w:ascii="Arial" w:hAnsi="Arial" w:cs="Arial"/>
                <w:b/>
                <w:i/>
                <w:sz w:val="14"/>
                <w:szCs w:val="16"/>
              </w:rPr>
              <w:br/>
              <w:t>Significant</w:t>
            </w:r>
            <w:r w:rsidRPr="003A0C5C">
              <w:rPr>
                <w:rFonts w:ascii="Arial" w:hAnsi="Arial" w:cs="Arial"/>
                <w:b/>
                <w:i/>
                <w:sz w:val="14"/>
                <w:szCs w:val="16"/>
              </w:rPr>
              <w:br/>
              <w:t>with Mitigation</w:t>
            </w:r>
            <w:r w:rsidRPr="003A0C5C">
              <w:rPr>
                <w:rFonts w:ascii="Arial" w:hAnsi="Arial" w:cs="Arial"/>
                <w:b/>
                <w:i/>
                <w:sz w:val="14"/>
                <w:szCs w:val="16"/>
              </w:rPr>
              <w:br/>
              <w:t>Incorporated</w:t>
            </w:r>
          </w:p>
        </w:tc>
        <w:tc>
          <w:tcPr>
            <w:tcW w:w="0" w:type="auto"/>
            <w:vAlign w:val="bottom"/>
          </w:tcPr>
          <w:p w14:paraId="52E9A568" w14:textId="77777777" w:rsidR="00BB2DF1" w:rsidRPr="003A0C5C" w:rsidRDefault="00BB2DF1" w:rsidP="00F07065">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Less-than-</w:t>
            </w:r>
            <w:r w:rsidRPr="003A0C5C">
              <w:rPr>
                <w:rFonts w:ascii="Arial" w:hAnsi="Arial" w:cs="Arial"/>
                <w:b/>
                <w:i/>
                <w:sz w:val="14"/>
                <w:szCs w:val="16"/>
              </w:rPr>
              <w:br/>
              <w:t>Significant</w:t>
            </w:r>
            <w:r w:rsidRPr="003A0C5C">
              <w:rPr>
                <w:rFonts w:ascii="Arial" w:hAnsi="Arial" w:cs="Arial"/>
                <w:b/>
                <w:i/>
                <w:sz w:val="14"/>
                <w:szCs w:val="16"/>
              </w:rPr>
              <w:br/>
              <w:t>Impact</w:t>
            </w:r>
          </w:p>
        </w:tc>
        <w:tc>
          <w:tcPr>
            <w:tcW w:w="0" w:type="auto"/>
            <w:vAlign w:val="bottom"/>
          </w:tcPr>
          <w:p w14:paraId="687B74D9" w14:textId="77777777" w:rsidR="00BB2DF1" w:rsidRPr="003A0C5C" w:rsidRDefault="00BB2DF1" w:rsidP="00F07065">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No</w:t>
            </w:r>
            <w:r w:rsidRPr="003A0C5C">
              <w:rPr>
                <w:rFonts w:ascii="Arial" w:hAnsi="Arial" w:cs="Arial"/>
                <w:b/>
                <w:i/>
                <w:sz w:val="14"/>
                <w:szCs w:val="16"/>
              </w:rPr>
              <w:br/>
              <w:t>Impact</w:t>
            </w:r>
          </w:p>
        </w:tc>
      </w:tr>
      <w:tr w:rsidR="003A0C5C" w:rsidRPr="003A0C5C" w14:paraId="76812D17" w14:textId="77777777" w:rsidTr="00F07065">
        <w:trPr>
          <w:cantSplit/>
        </w:trPr>
        <w:tc>
          <w:tcPr>
            <w:tcW w:w="0" w:type="auto"/>
          </w:tcPr>
          <w:p w14:paraId="74ED7B31" w14:textId="7CF9AF29" w:rsidR="00BB2DF1" w:rsidRPr="003A0C5C" w:rsidRDefault="00BB2DF1" w:rsidP="00F07065">
            <w:pPr>
              <w:pStyle w:val="Tabletextnumber"/>
              <w:keepNext/>
              <w:ind w:left="504" w:hanging="504"/>
              <w:rPr>
                <w:rStyle w:val="Bold"/>
              </w:rPr>
            </w:pPr>
            <w:r w:rsidRPr="003A0C5C">
              <w:rPr>
                <w:rStyle w:val="Bold"/>
              </w:rPr>
              <w:t>XV.</w:t>
            </w:r>
            <w:r w:rsidRPr="003A0C5C">
              <w:rPr>
                <w:rStyle w:val="Bold"/>
              </w:rPr>
              <w:tab/>
              <w:t>PUBLIC SERVICES</w:t>
            </w:r>
            <w:r w:rsidRPr="003A0C5C">
              <w:t>—Would the project:</w:t>
            </w:r>
          </w:p>
        </w:tc>
        <w:tc>
          <w:tcPr>
            <w:tcW w:w="0" w:type="auto"/>
          </w:tcPr>
          <w:p w14:paraId="559BED74" w14:textId="77777777" w:rsidR="00BB2DF1" w:rsidRPr="003A0C5C" w:rsidRDefault="00BB2DF1" w:rsidP="00F07065">
            <w:pPr>
              <w:pStyle w:val="Checklist"/>
              <w:rPr>
                <w:highlight w:val="yellow"/>
              </w:rPr>
            </w:pPr>
          </w:p>
        </w:tc>
        <w:tc>
          <w:tcPr>
            <w:tcW w:w="0" w:type="auto"/>
          </w:tcPr>
          <w:p w14:paraId="59F14F49" w14:textId="77777777" w:rsidR="00BB2DF1" w:rsidRPr="003A0C5C" w:rsidRDefault="00BB2DF1" w:rsidP="00F07065">
            <w:pPr>
              <w:pStyle w:val="Checklist"/>
              <w:rPr>
                <w:highlight w:val="yellow"/>
              </w:rPr>
            </w:pPr>
          </w:p>
        </w:tc>
        <w:tc>
          <w:tcPr>
            <w:tcW w:w="0" w:type="auto"/>
          </w:tcPr>
          <w:p w14:paraId="197B7CB0" w14:textId="77777777" w:rsidR="00BB2DF1" w:rsidRPr="003A0C5C" w:rsidRDefault="00BB2DF1" w:rsidP="00F07065">
            <w:pPr>
              <w:pStyle w:val="Checklist"/>
              <w:rPr>
                <w:highlight w:val="yellow"/>
              </w:rPr>
            </w:pPr>
          </w:p>
        </w:tc>
        <w:tc>
          <w:tcPr>
            <w:tcW w:w="0" w:type="auto"/>
          </w:tcPr>
          <w:p w14:paraId="316B2542" w14:textId="77777777" w:rsidR="00BB2DF1" w:rsidRPr="003A0C5C" w:rsidRDefault="00BB2DF1" w:rsidP="00F07065">
            <w:pPr>
              <w:pStyle w:val="Checklist"/>
              <w:rPr>
                <w:highlight w:val="yellow"/>
              </w:rPr>
            </w:pPr>
          </w:p>
        </w:tc>
      </w:tr>
      <w:tr w:rsidR="003A0C5C" w:rsidRPr="003A0C5C" w14:paraId="0AD2FE7A" w14:textId="77777777" w:rsidTr="00F07065">
        <w:trPr>
          <w:cantSplit/>
        </w:trPr>
        <w:tc>
          <w:tcPr>
            <w:tcW w:w="0" w:type="auto"/>
          </w:tcPr>
          <w:p w14:paraId="54ABBC92" w14:textId="5DFD257B" w:rsidR="00BB2DF1" w:rsidRPr="003A0C5C" w:rsidRDefault="00BB2DF1" w:rsidP="00BB2DF1">
            <w:pPr>
              <w:pStyle w:val="Tabletextnumber"/>
              <w:keepNext/>
            </w:pPr>
            <w:r w:rsidRPr="003A0C5C">
              <w:rPr>
                <w:rFonts w:cs="Arial"/>
                <w:szCs w:val="16"/>
              </w:rPr>
              <w:t>a)</w:t>
            </w:r>
            <w:r w:rsidRPr="003A0C5C">
              <w:rPr>
                <w:rFonts w:cs="Arial"/>
                <w:szCs w:val="16"/>
              </w:rPr>
              <w:tab/>
              <w:t>Result in substantial adverse physical impacts associated with the provision of new or physically altered governmental facilities, need for new or physically altered government facilities, the construction of which could cause significant environmental impacts, in order to maintain acceptable service ratios, response times, or other performance objectives for any of the following public services:</w:t>
            </w:r>
          </w:p>
        </w:tc>
        <w:tc>
          <w:tcPr>
            <w:tcW w:w="0" w:type="auto"/>
          </w:tcPr>
          <w:p w14:paraId="5B6E188F" w14:textId="77777777" w:rsidR="00BB2DF1" w:rsidRPr="003A0C5C" w:rsidRDefault="00BB2DF1" w:rsidP="00BB2DF1">
            <w:pPr>
              <w:pStyle w:val="Checklist"/>
              <w:rPr>
                <w:highlight w:val="yellow"/>
              </w:rPr>
            </w:pPr>
          </w:p>
        </w:tc>
        <w:tc>
          <w:tcPr>
            <w:tcW w:w="0" w:type="auto"/>
          </w:tcPr>
          <w:p w14:paraId="29B118E4" w14:textId="77777777" w:rsidR="00BB2DF1" w:rsidRPr="003A0C5C" w:rsidRDefault="00BB2DF1" w:rsidP="00BB2DF1">
            <w:pPr>
              <w:pStyle w:val="Checklist"/>
              <w:rPr>
                <w:sz w:val="20"/>
                <w:highlight w:val="yellow"/>
              </w:rPr>
            </w:pPr>
          </w:p>
        </w:tc>
        <w:tc>
          <w:tcPr>
            <w:tcW w:w="0" w:type="auto"/>
          </w:tcPr>
          <w:p w14:paraId="0A14AEBC" w14:textId="77777777" w:rsidR="00BB2DF1" w:rsidRPr="003A0C5C" w:rsidRDefault="00BB2DF1" w:rsidP="00BB2DF1">
            <w:pPr>
              <w:pStyle w:val="Checklist"/>
              <w:rPr>
                <w:sz w:val="20"/>
                <w:highlight w:val="yellow"/>
              </w:rPr>
            </w:pPr>
          </w:p>
        </w:tc>
        <w:tc>
          <w:tcPr>
            <w:tcW w:w="0" w:type="auto"/>
          </w:tcPr>
          <w:p w14:paraId="568015D9" w14:textId="77777777" w:rsidR="00BB2DF1" w:rsidRPr="003A0C5C" w:rsidRDefault="00BB2DF1" w:rsidP="00BB2DF1">
            <w:pPr>
              <w:pStyle w:val="Checklist"/>
              <w:rPr>
                <w:sz w:val="20"/>
                <w:highlight w:val="yellow"/>
              </w:rPr>
            </w:pPr>
          </w:p>
        </w:tc>
      </w:tr>
      <w:tr w:rsidR="003A0C5C" w:rsidRPr="003A0C5C" w14:paraId="5D3C9D71" w14:textId="77777777" w:rsidTr="00F07065">
        <w:trPr>
          <w:cantSplit/>
        </w:trPr>
        <w:tc>
          <w:tcPr>
            <w:tcW w:w="0" w:type="auto"/>
            <w:vAlign w:val="center"/>
          </w:tcPr>
          <w:p w14:paraId="5B793D39" w14:textId="693AAD91" w:rsidR="00BB2DF1" w:rsidRPr="003A0C5C" w:rsidRDefault="00BB2DF1" w:rsidP="00BB2DF1">
            <w:pPr>
              <w:pStyle w:val="Tabletextnumber2"/>
            </w:pPr>
            <w:proofErr w:type="spellStart"/>
            <w:r w:rsidRPr="003A0C5C">
              <w:t>i</w:t>
            </w:r>
            <w:proofErr w:type="spellEnd"/>
            <w:r w:rsidRPr="003A0C5C">
              <w:t>)</w:t>
            </w:r>
            <w:r w:rsidRPr="003A0C5C">
              <w:tab/>
              <w:t>Fire protection?</w:t>
            </w:r>
          </w:p>
        </w:tc>
        <w:tc>
          <w:tcPr>
            <w:tcW w:w="0" w:type="auto"/>
          </w:tcPr>
          <w:p w14:paraId="552EA8AB" w14:textId="77777777" w:rsidR="00BB2DF1" w:rsidRPr="003A0C5C" w:rsidRDefault="002348BC" w:rsidP="00BB2DF1">
            <w:pPr>
              <w:pStyle w:val="Checklist"/>
            </w:pPr>
            <w:sdt>
              <w:sdtPr>
                <w:id w:val="-522791770"/>
                <w14:checkbox>
                  <w14:checked w14:val="0"/>
                  <w14:checkedState w14:val="2612" w14:font="MS Gothic"/>
                  <w14:uncheckedState w14:val="2610" w14:font="MS Gothic"/>
                </w14:checkbox>
              </w:sdtPr>
              <w:sdtEndPr/>
              <w:sdtContent>
                <w:r w:rsidR="00BB2DF1" w:rsidRPr="003A0C5C">
                  <w:t>☐</w:t>
                </w:r>
              </w:sdtContent>
            </w:sdt>
          </w:p>
        </w:tc>
        <w:tc>
          <w:tcPr>
            <w:tcW w:w="0" w:type="auto"/>
          </w:tcPr>
          <w:p w14:paraId="7A0996B6" w14:textId="77777777" w:rsidR="00BB2DF1" w:rsidRPr="003A0C5C" w:rsidRDefault="002348BC" w:rsidP="00BB2DF1">
            <w:pPr>
              <w:pStyle w:val="Checklist"/>
              <w:rPr>
                <w:sz w:val="20"/>
              </w:rPr>
            </w:pPr>
            <w:sdt>
              <w:sdtPr>
                <w:id w:val="1003096449"/>
                <w14:checkbox>
                  <w14:checked w14:val="0"/>
                  <w14:checkedState w14:val="2612" w14:font="MS Gothic"/>
                  <w14:uncheckedState w14:val="2610" w14:font="MS Gothic"/>
                </w14:checkbox>
              </w:sdtPr>
              <w:sdtEndPr/>
              <w:sdtContent>
                <w:r w:rsidR="00BB2DF1" w:rsidRPr="003A0C5C">
                  <w:t>☐</w:t>
                </w:r>
              </w:sdtContent>
            </w:sdt>
          </w:p>
        </w:tc>
        <w:tc>
          <w:tcPr>
            <w:tcW w:w="0" w:type="auto"/>
          </w:tcPr>
          <w:p w14:paraId="5CE7C837" w14:textId="77777777" w:rsidR="00BB2DF1" w:rsidRPr="003A0C5C" w:rsidRDefault="002348BC" w:rsidP="00BB2DF1">
            <w:pPr>
              <w:pStyle w:val="Checklist"/>
              <w:rPr>
                <w:sz w:val="20"/>
              </w:rPr>
            </w:pPr>
            <w:sdt>
              <w:sdtPr>
                <w:id w:val="-500810612"/>
                <w14:checkbox>
                  <w14:checked w14:val="1"/>
                  <w14:checkedState w14:val="2612" w14:font="MS Gothic"/>
                  <w14:uncheckedState w14:val="2610" w14:font="MS Gothic"/>
                </w14:checkbox>
              </w:sdtPr>
              <w:sdtEndPr/>
              <w:sdtContent>
                <w:r w:rsidR="00BB2DF1" w:rsidRPr="003A0C5C">
                  <w:rPr>
                    <w:rFonts w:hint="eastAsia"/>
                  </w:rPr>
                  <w:t>☒</w:t>
                </w:r>
              </w:sdtContent>
            </w:sdt>
          </w:p>
        </w:tc>
        <w:tc>
          <w:tcPr>
            <w:tcW w:w="0" w:type="auto"/>
          </w:tcPr>
          <w:p w14:paraId="42F8C8D0" w14:textId="77777777" w:rsidR="00BB2DF1" w:rsidRPr="003A0C5C" w:rsidRDefault="002348BC" w:rsidP="00BB2DF1">
            <w:pPr>
              <w:pStyle w:val="Checklist"/>
              <w:rPr>
                <w:sz w:val="20"/>
              </w:rPr>
            </w:pPr>
            <w:sdt>
              <w:sdtPr>
                <w:id w:val="321785508"/>
                <w14:checkbox>
                  <w14:checked w14:val="0"/>
                  <w14:checkedState w14:val="2612" w14:font="MS Gothic"/>
                  <w14:uncheckedState w14:val="2610" w14:font="MS Gothic"/>
                </w14:checkbox>
              </w:sdtPr>
              <w:sdtEndPr/>
              <w:sdtContent>
                <w:r w:rsidR="00BB2DF1" w:rsidRPr="003A0C5C">
                  <w:rPr>
                    <w:rFonts w:hint="eastAsia"/>
                  </w:rPr>
                  <w:t>☐</w:t>
                </w:r>
              </w:sdtContent>
            </w:sdt>
          </w:p>
        </w:tc>
      </w:tr>
      <w:tr w:rsidR="003A0C5C" w:rsidRPr="003A0C5C" w14:paraId="4429304C" w14:textId="77777777" w:rsidTr="00F07065">
        <w:trPr>
          <w:cantSplit/>
        </w:trPr>
        <w:tc>
          <w:tcPr>
            <w:tcW w:w="0" w:type="auto"/>
            <w:vAlign w:val="center"/>
          </w:tcPr>
          <w:p w14:paraId="7970D5A2" w14:textId="21F97300" w:rsidR="00BB2DF1" w:rsidRPr="003A0C5C" w:rsidRDefault="00BB2DF1" w:rsidP="00BB2DF1">
            <w:pPr>
              <w:pStyle w:val="Tabletextnumber2"/>
            </w:pPr>
            <w:r w:rsidRPr="003A0C5C">
              <w:t>ii)</w:t>
            </w:r>
            <w:r w:rsidRPr="003A0C5C">
              <w:tab/>
              <w:t>Police protection?</w:t>
            </w:r>
          </w:p>
        </w:tc>
        <w:tc>
          <w:tcPr>
            <w:tcW w:w="0" w:type="auto"/>
          </w:tcPr>
          <w:p w14:paraId="78C0A308" w14:textId="77777777" w:rsidR="00BB2DF1" w:rsidRPr="003A0C5C" w:rsidRDefault="002348BC" w:rsidP="00BB2DF1">
            <w:pPr>
              <w:pStyle w:val="Checklist"/>
            </w:pPr>
            <w:sdt>
              <w:sdtPr>
                <w:id w:val="-421731900"/>
                <w14:checkbox>
                  <w14:checked w14:val="0"/>
                  <w14:checkedState w14:val="2612" w14:font="MS Gothic"/>
                  <w14:uncheckedState w14:val="2610" w14:font="MS Gothic"/>
                </w14:checkbox>
              </w:sdtPr>
              <w:sdtEndPr/>
              <w:sdtContent>
                <w:r w:rsidR="00BB2DF1" w:rsidRPr="003A0C5C">
                  <w:t>☐</w:t>
                </w:r>
              </w:sdtContent>
            </w:sdt>
          </w:p>
        </w:tc>
        <w:tc>
          <w:tcPr>
            <w:tcW w:w="0" w:type="auto"/>
          </w:tcPr>
          <w:p w14:paraId="113B5B6D" w14:textId="77777777" w:rsidR="00BB2DF1" w:rsidRPr="003A0C5C" w:rsidRDefault="002348BC" w:rsidP="00BB2DF1">
            <w:pPr>
              <w:pStyle w:val="Checklist"/>
              <w:rPr>
                <w:sz w:val="20"/>
              </w:rPr>
            </w:pPr>
            <w:sdt>
              <w:sdtPr>
                <w:id w:val="-1742320153"/>
                <w14:checkbox>
                  <w14:checked w14:val="0"/>
                  <w14:checkedState w14:val="2612" w14:font="MS Gothic"/>
                  <w14:uncheckedState w14:val="2610" w14:font="MS Gothic"/>
                </w14:checkbox>
              </w:sdtPr>
              <w:sdtEndPr/>
              <w:sdtContent>
                <w:r w:rsidR="00BB2DF1" w:rsidRPr="003A0C5C">
                  <w:t>☐</w:t>
                </w:r>
              </w:sdtContent>
            </w:sdt>
          </w:p>
        </w:tc>
        <w:tc>
          <w:tcPr>
            <w:tcW w:w="0" w:type="auto"/>
          </w:tcPr>
          <w:p w14:paraId="2D2F1F45" w14:textId="77777777" w:rsidR="00BB2DF1" w:rsidRPr="003A0C5C" w:rsidRDefault="002348BC" w:rsidP="00BB2DF1">
            <w:pPr>
              <w:pStyle w:val="Checklist"/>
              <w:rPr>
                <w:sz w:val="20"/>
              </w:rPr>
            </w:pPr>
            <w:sdt>
              <w:sdtPr>
                <w:id w:val="-521096433"/>
                <w14:checkbox>
                  <w14:checked w14:val="1"/>
                  <w14:checkedState w14:val="2612" w14:font="MS Gothic"/>
                  <w14:uncheckedState w14:val="2610" w14:font="MS Gothic"/>
                </w14:checkbox>
              </w:sdtPr>
              <w:sdtEndPr/>
              <w:sdtContent>
                <w:r w:rsidR="00BB2DF1" w:rsidRPr="003A0C5C">
                  <w:rPr>
                    <w:rFonts w:hint="eastAsia"/>
                  </w:rPr>
                  <w:t>☒</w:t>
                </w:r>
              </w:sdtContent>
            </w:sdt>
          </w:p>
        </w:tc>
        <w:tc>
          <w:tcPr>
            <w:tcW w:w="0" w:type="auto"/>
          </w:tcPr>
          <w:p w14:paraId="03CF562A" w14:textId="77777777" w:rsidR="00BB2DF1" w:rsidRPr="003A0C5C" w:rsidRDefault="002348BC" w:rsidP="00BB2DF1">
            <w:pPr>
              <w:pStyle w:val="Checklist"/>
              <w:rPr>
                <w:sz w:val="20"/>
              </w:rPr>
            </w:pPr>
            <w:sdt>
              <w:sdtPr>
                <w:id w:val="-1448383238"/>
                <w14:checkbox>
                  <w14:checked w14:val="0"/>
                  <w14:checkedState w14:val="2612" w14:font="MS Gothic"/>
                  <w14:uncheckedState w14:val="2610" w14:font="MS Gothic"/>
                </w14:checkbox>
              </w:sdtPr>
              <w:sdtEndPr/>
              <w:sdtContent>
                <w:r w:rsidR="00BB2DF1" w:rsidRPr="003A0C5C">
                  <w:rPr>
                    <w:rFonts w:hint="eastAsia"/>
                  </w:rPr>
                  <w:t>☐</w:t>
                </w:r>
              </w:sdtContent>
            </w:sdt>
          </w:p>
        </w:tc>
      </w:tr>
      <w:tr w:rsidR="003A0C5C" w:rsidRPr="003A0C5C" w14:paraId="66B66D2A" w14:textId="77777777" w:rsidTr="00F07065">
        <w:trPr>
          <w:cantSplit/>
        </w:trPr>
        <w:tc>
          <w:tcPr>
            <w:tcW w:w="0" w:type="auto"/>
            <w:vAlign w:val="center"/>
          </w:tcPr>
          <w:p w14:paraId="7B2E9F6F" w14:textId="75D9A2F0" w:rsidR="00BB2DF1" w:rsidRPr="003A0C5C" w:rsidRDefault="00BB2DF1" w:rsidP="00BB2DF1">
            <w:pPr>
              <w:pStyle w:val="Tabletextnumber2"/>
            </w:pPr>
            <w:r w:rsidRPr="003A0C5C">
              <w:t>iii)</w:t>
            </w:r>
            <w:r w:rsidRPr="003A0C5C">
              <w:tab/>
              <w:t>Schools?</w:t>
            </w:r>
          </w:p>
        </w:tc>
        <w:tc>
          <w:tcPr>
            <w:tcW w:w="0" w:type="auto"/>
          </w:tcPr>
          <w:p w14:paraId="46A75EA2" w14:textId="77777777" w:rsidR="00BB2DF1" w:rsidRPr="003A0C5C" w:rsidRDefault="002348BC" w:rsidP="00BB2DF1">
            <w:pPr>
              <w:pStyle w:val="Checklist"/>
            </w:pPr>
            <w:sdt>
              <w:sdtPr>
                <w:id w:val="89970678"/>
                <w14:checkbox>
                  <w14:checked w14:val="0"/>
                  <w14:checkedState w14:val="2612" w14:font="MS Gothic"/>
                  <w14:uncheckedState w14:val="2610" w14:font="MS Gothic"/>
                </w14:checkbox>
              </w:sdtPr>
              <w:sdtEndPr/>
              <w:sdtContent>
                <w:r w:rsidR="00BB2DF1" w:rsidRPr="003A0C5C">
                  <w:t>☐</w:t>
                </w:r>
              </w:sdtContent>
            </w:sdt>
          </w:p>
        </w:tc>
        <w:tc>
          <w:tcPr>
            <w:tcW w:w="0" w:type="auto"/>
          </w:tcPr>
          <w:p w14:paraId="1DE649B1" w14:textId="77777777" w:rsidR="00BB2DF1" w:rsidRPr="003A0C5C" w:rsidRDefault="002348BC" w:rsidP="00BB2DF1">
            <w:pPr>
              <w:pStyle w:val="Checklist"/>
              <w:rPr>
                <w:sz w:val="20"/>
              </w:rPr>
            </w:pPr>
            <w:sdt>
              <w:sdtPr>
                <w:id w:val="1516578256"/>
                <w14:checkbox>
                  <w14:checked w14:val="0"/>
                  <w14:checkedState w14:val="2612" w14:font="MS Gothic"/>
                  <w14:uncheckedState w14:val="2610" w14:font="MS Gothic"/>
                </w14:checkbox>
              </w:sdtPr>
              <w:sdtEndPr/>
              <w:sdtContent>
                <w:r w:rsidR="00BB2DF1" w:rsidRPr="003A0C5C">
                  <w:t>☐</w:t>
                </w:r>
              </w:sdtContent>
            </w:sdt>
          </w:p>
        </w:tc>
        <w:tc>
          <w:tcPr>
            <w:tcW w:w="0" w:type="auto"/>
          </w:tcPr>
          <w:p w14:paraId="26A5C0CD" w14:textId="18559009" w:rsidR="00BB2DF1" w:rsidRPr="003A0C5C" w:rsidRDefault="002348BC" w:rsidP="00BB2DF1">
            <w:pPr>
              <w:pStyle w:val="Checklist"/>
              <w:rPr>
                <w:sz w:val="20"/>
              </w:rPr>
            </w:pPr>
            <w:sdt>
              <w:sdtPr>
                <w:id w:val="-520932081"/>
                <w14:checkbox>
                  <w14:checked w14:val="0"/>
                  <w14:checkedState w14:val="2612" w14:font="MS Gothic"/>
                  <w14:uncheckedState w14:val="2610" w14:font="MS Gothic"/>
                </w14:checkbox>
              </w:sdtPr>
              <w:sdtEndPr/>
              <w:sdtContent>
                <w:r w:rsidR="00BB2DF1" w:rsidRPr="003A0C5C">
                  <w:rPr>
                    <w:rFonts w:hint="eastAsia"/>
                  </w:rPr>
                  <w:t>☐</w:t>
                </w:r>
              </w:sdtContent>
            </w:sdt>
          </w:p>
        </w:tc>
        <w:tc>
          <w:tcPr>
            <w:tcW w:w="0" w:type="auto"/>
          </w:tcPr>
          <w:p w14:paraId="3FE24679" w14:textId="64D2142D" w:rsidR="00BB2DF1" w:rsidRPr="003A0C5C" w:rsidRDefault="002348BC" w:rsidP="00BB2DF1">
            <w:pPr>
              <w:pStyle w:val="Checklist"/>
              <w:rPr>
                <w:sz w:val="20"/>
              </w:rPr>
            </w:pPr>
            <w:sdt>
              <w:sdtPr>
                <w:id w:val="-819959699"/>
                <w14:checkbox>
                  <w14:checked w14:val="1"/>
                  <w14:checkedState w14:val="2612" w14:font="MS Gothic"/>
                  <w14:uncheckedState w14:val="2610" w14:font="MS Gothic"/>
                </w14:checkbox>
              </w:sdtPr>
              <w:sdtEndPr/>
              <w:sdtContent>
                <w:r w:rsidR="00BB2DF1" w:rsidRPr="003A0C5C">
                  <w:rPr>
                    <w:rFonts w:hint="eastAsia"/>
                  </w:rPr>
                  <w:t>☒</w:t>
                </w:r>
              </w:sdtContent>
            </w:sdt>
          </w:p>
        </w:tc>
      </w:tr>
      <w:tr w:rsidR="003A0C5C" w:rsidRPr="003A0C5C" w14:paraId="0819EE6B" w14:textId="77777777" w:rsidTr="00F07065">
        <w:trPr>
          <w:cantSplit/>
        </w:trPr>
        <w:tc>
          <w:tcPr>
            <w:tcW w:w="0" w:type="auto"/>
            <w:vAlign w:val="center"/>
          </w:tcPr>
          <w:p w14:paraId="7F86E2F5" w14:textId="4FFBDE40" w:rsidR="00BB2DF1" w:rsidRPr="003A0C5C" w:rsidRDefault="00BB2DF1" w:rsidP="00BB2DF1">
            <w:pPr>
              <w:pStyle w:val="Tabletextnumber2"/>
            </w:pPr>
            <w:r w:rsidRPr="003A0C5C">
              <w:t>iv)</w:t>
            </w:r>
            <w:r w:rsidRPr="003A0C5C">
              <w:tab/>
              <w:t>Parks?</w:t>
            </w:r>
          </w:p>
        </w:tc>
        <w:tc>
          <w:tcPr>
            <w:tcW w:w="0" w:type="auto"/>
          </w:tcPr>
          <w:p w14:paraId="74BDD71F" w14:textId="77777777" w:rsidR="00BB2DF1" w:rsidRPr="003A0C5C" w:rsidRDefault="002348BC" w:rsidP="00BB2DF1">
            <w:pPr>
              <w:pStyle w:val="Checklist"/>
            </w:pPr>
            <w:sdt>
              <w:sdtPr>
                <w:id w:val="1831021532"/>
                <w14:checkbox>
                  <w14:checked w14:val="0"/>
                  <w14:checkedState w14:val="2612" w14:font="MS Gothic"/>
                  <w14:uncheckedState w14:val="2610" w14:font="MS Gothic"/>
                </w14:checkbox>
              </w:sdtPr>
              <w:sdtEndPr/>
              <w:sdtContent>
                <w:r w:rsidR="00BB2DF1" w:rsidRPr="003A0C5C">
                  <w:t>☐</w:t>
                </w:r>
              </w:sdtContent>
            </w:sdt>
          </w:p>
        </w:tc>
        <w:tc>
          <w:tcPr>
            <w:tcW w:w="0" w:type="auto"/>
          </w:tcPr>
          <w:p w14:paraId="31F2C5DC" w14:textId="77777777" w:rsidR="00BB2DF1" w:rsidRPr="003A0C5C" w:rsidRDefault="002348BC" w:rsidP="00BB2DF1">
            <w:pPr>
              <w:pStyle w:val="Checklist"/>
              <w:rPr>
                <w:sz w:val="20"/>
              </w:rPr>
            </w:pPr>
            <w:sdt>
              <w:sdtPr>
                <w:id w:val="-409548870"/>
                <w14:checkbox>
                  <w14:checked w14:val="0"/>
                  <w14:checkedState w14:val="2612" w14:font="MS Gothic"/>
                  <w14:uncheckedState w14:val="2610" w14:font="MS Gothic"/>
                </w14:checkbox>
              </w:sdtPr>
              <w:sdtEndPr/>
              <w:sdtContent>
                <w:r w:rsidR="00BB2DF1" w:rsidRPr="003A0C5C">
                  <w:t>☐</w:t>
                </w:r>
              </w:sdtContent>
            </w:sdt>
          </w:p>
        </w:tc>
        <w:tc>
          <w:tcPr>
            <w:tcW w:w="0" w:type="auto"/>
          </w:tcPr>
          <w:p w14:paraId="499D5DAA" w14:textId="028EAEB6" w:rsidR="00BB2DF1" w:rsidRPr="003A0C5C" w:rsidRDefault="002348BC" w:rsidP="00BB2DF1">
            <w:pPr>
              <w:pStyle w:val="Checklist"/>
              <w:rPr>
                <w:sz w:val="20"/>
              </w:rPr>
            </w:pPr>
            <w:sdt>
              <w:sdtPr>
                <w:id w:val="-1725760497"/>
                <w14:checkbox>
                  <w14:checked w14:val="0"/>
                  <w14:checkedState w14:val="2612" w14:font="MS Gothic"/>
                  <w14:uncheckedState w14:val="2610" w14:font="MS Gothic"/>
                </w14:checkbox>
              </w:sdtPr>
              <w:sdtEndPr/>
              <w:sdtContent>
                <w:r w:rsidR="00BB2DF1" w:rsidRPr="003A0C5C">
                  <w:rPr>
                    <w:rFonts w:hint="eastAsia"/>
                  </w:rPr>
                  <w:t>☐</w:t>
                </w:r>
              </w:sdtContent>
            </w:sdt>
          </w:p>
        </w:tc>
        <w:tc>
          <w:tcPr>
            <w:tcW w:w="0" w:type="auto"/>
          </w:tcPr>
          <w:p w14:paraId="351F2D4F" w14:textId="196501F4" w:rsidR="00BB2DF1" w:rsidRPr="003A0C5C" w:rsidRDefault="002348BC" w:rsidP="00BB2DF1">
            <w:pPr>
              <w:pStyle w:val="Checklist"/>
              <w:rPr>
                <w:sz w:val="20"/>
              </w:rPr>
            </w:pPr>
            <w:sdt>
              <w:sdtPr>
                <w:id w:val="1044334555"/>
                <w14:checkbox>
                  <w14:checked w14:val="1"/>
                  <w14:checkedState w14:val="2612" w14:font="MS Gothic"/>
                  <w14:uncheckedState w14:val="2610" w14:font="MS Gothic"/>
                </w14:checkbox>
              </w:sdtPr>
              <w:sdtEndPr/>
              <w:sdtContent>
                <w:r w:rsidR="00BB2DF1" w:rsidRPr="003A0C5C">
                  <w:rPr>
                    <w:rFonts w:hint="eastAsia"/>
                  </w:rPr>
                  <w:t>☒</w:t>
                </w:r>
              </w:sdtContent>
            </w:sdt>
          </w:p>
        </w:tc>
      </w:tr>
      <w:tr w:rsidR="00BB2DF1" w:rsidRPr="003A0C5C" w14:paraId="7F786A45" w14:textId="77777777" w:rsidTr="00F07065">
        <w:trPr>
          <w:cantSplit/>
        </w:trPr>
        <w:tc>
          <w:tcPr>
            <w:tcW w:w="0" w:type="auto"/>
            <w:vAlign w:val="center"/>
          </w:tcPr>
          <w:p w14:paraId="65DC339E" w14:textId="2AE0A54B" w:rsidR="00BB2DF1" w:rsidRPr="003A0C5C" w:rsidRDefault="00BB2DF1" w:rsidP="00BB2DF1">
            <w:pPr>
              <w:pStyle w:val="Tabletextnumber2"/>
            </w:pPr>
            <w:r w:rsidRPr="003A0C5C">
              <w:t>v)</w:t>
            </w:r>
            <w:r w:rsidRPr="003A0C5C">
              <w:tab/>
              <w:t>Other public facilities?</w:t>
            </w:r>
          </w:p>
        </w:tc>
        <w:tc>
          <w:tcPr>
            <w:tcW w:w="0" w:type="auto"/>
          </w:tcPr>
          <w:p w14:paraId="4BB52FCE" w14:textId="77777777" w:rsidR="00BB2DF1" w:rsidRPr="003A0C5C" w:rsidRDefault="002348BC" w:rsidP="00BB2DF1">
            <w:pPr>
              <w:pStyle w:val="Checklist"/>
              <w:rPr>
                <w:sz w:val="20"/>
              </w:rPr>
            </w:pPr>
            <w:sdt>
              <w:sdtPr>
                <w:id w:val="-115683858"/>
                <w14:checkbox>
                  <w14:checked w14:val="0"/>
                  <w14:checkedState w14:val="2612" w14:font="MS Gothic"/>
                  <w14:uncheckedState w14:val="2610" w14:font="MS Gothic"/>
                </w14:checkbox>
              </w:sdtPr>
              <w:sdtEndPr/>
              <w:sdtContent>
                <w:r w:rsidR="00BB2DF1" w:rsidRPr="003A0C5C">
                  <w:t>☐</w:t>
                </w:r>
              </w:sdtContent>
            </w:sdt>
          </w:p>
        </w:tc>
        <w:tc>
          <w:tcPr>
            <w:tcW w:w="0" w:type="auto"/>
          </w:tcPr>
          <w:p w14:paraId="00F7D1E6" w14:textId="77777777" w:rsidR="00BB2DF1" w:rsidRPr="003A0C5C" w:rsidRDefault="002348BC" w:rsidP="00BB2DF1">
            <w:pPr>
              <w:pStyle w:val="Checklist"/>
              <w:rPr>
                <w:sz w:val="20"/>
              </w:rPr>
            </w:pPr>
            <w:sdt>
              <w:sdtPr>
                <w:id w:val="-1702157458"/>
                <w14:checkbox>
                  <w14:checked w14:val="0"/>
                  <w14:checkedState w14:val="2612" w14:font="MS Gothic"/>
                  <w14:uncheckedState w14:val="2610" w14:font="MS Gothic"/>
                </w14:checkbox>
              </w:sdtPr>
              <w:sdtEndPr/>
              <w:sdtContent>
                <w:r w:rsidR="00BB2DF1" w:rsidRPr="003A0C5C">
                  <w:t>☐</w:t>
                </w:r>
              </w:sdtContent>
            </w:sdt>
          </w:p>
        </w:tc>
        <w:tc>
          <w:tcPr>
            <w:tcW w:w="0" w:type="auto"/>
          </w:tcPr>
          <w:p w14:paraId="3E3C12C9" w14:textId="11950C77" w:rsidR="00BB2DF1" w:rsidRPr="003A0C5C" w:rsidRDefault="002348BC" w:rsidP="00BB2DF1">
            <w:pPr>
              <w:pStyle w:val="Checklist"/>
              <w:rPr>
                <w:sz w:val="20"/>
              </w:rPr>
            </w:pPr>
            <w:sdt>
              <w:sdtPr>
                <w:id w:val="2114328701"/>
                <w14:checkbox>
                  <w14:checked w14:val="0"/>
                  <w14:checkedState w14:val="2612" w14:font="MS Gothic"/>
                  <w14:uncheckedState w14:val="2610" w14:font="MS Gothic"/>
                </w14:checkbox>
              </w:sdtPr>
              <w:sdtEndPr/>
              <w:sdtContent>
                <w:r w:rsidR="00BB2DF1" w:rsidRPr="003A0C5C">
                  <w:rPr>
                    <w:rFonts w:hint="eastAsia"/>
                  </w:rPr>
                  <w:t>☐</w:t>
                </w:r>
              </w:sdtContent>
            </w:sdt>
          </w:p>
        </w:tc>
        <w:tc>
          <w:tcPr>
            <w:tcW w:w="0" w:type="auto"/>
          </w:tcPr>
          <w:p w14:paraId="21A985A2" w14:textId="29636D3E" w:rsidR="00BB2DF1" w:rsidRPr="003A0C5C" w:rsidRDefault="002348BC" w:rsidP="00BB2DF1">
            <w:pPr>
              <w:pStyle w:val="Checklist"/>
              <w:rPr>
                <w:sz w:val="20"/>
              </w:rPr>
            </w:pPr>
            <w:sdt>
              <w:sdtPr>
                <w:id w:val="-1067490081"/>
                <w14:checkbox>
                  <w14:checked w14:val="1"/>
                  <w14:checkedState w14:val="2612" w14:font="MS Gothic"/>
                  <w14:uncheckedState w14:val="2610" w14:font="MS Gothic"/>
                </w14:checkbox>
              </w:sdtPr>
              <w:sdtEndPr/>
              <w:sdtContent>
                <w:r w:rsidR="00B67E59" w:rsidRPr="003A0C5C">
                  <w:rPr>
                    <w:rFonts w:hint="eastAsia"/>
                  </w:rPr>
                  <w:t>☒</w:t>
                </w:r>
              </w:sdtContent>
            </w:sdt>
          </w:p>
        </w:tc>
      </w:tr>
    </w:tbl>
    <w:p w14:paraId="68EAB2AB" w14:textId="77777777" w:rsidR="00957C8B" w:rsidRPr="003A0C5C" w:rsidRDefault="00957C8B" w:rsidP="00957C8B">
      <w:pPr>
        <w:pStyle w:val="TableNotes"/>
        <w:rPr>
          <w:highlight w:val="yellow"/>
        </w:rPr>
      </w:pPr>
    </w:p>
    <w:p w14:paraId="0ED5399F" w14:textId="77777777" w:rsidR="00957C8B" w:rsidRPr="003A0C5C" w:rsidRDefault="00957C8B" w:rsidP="00957C8B">
      <w:pPr>
        <w:pStyle w:val="Heading5"/>
      </w:pPr>
      <w:r w:rsidRPr="003A0C5C">
        <w:t>Discussion</w:t>
      </w:r>
    </w:p>
    <w:p w14:paraId="01F4FDBB" w14:textId="037EE3D2" w:rsidR="00F92AE1" w:rsidRPr="003A0C5C" w:rsidRDefault="004F426E" w:rsidP="00B23A3A">
      <w:pPr>
        <w:pStyle w:val="12spaceindent"/>
        <w:rPr>
          <w:highlight w:val="yellow"/>
        </w:rPr>
      </w:pPr>
      <w:proofErr w:type="spellStart"/>
      <w:r w:rsidRPr="003A0C5C">
        <w:t>a.i</w:t>
      </w:r>
      <w:proofErr w:type="spellEnd"/>
      <w:r w:rsidRPr="003A0C5C">
        <w:t>)</w:t>
      </w:r>
      <w:r w:rsidRPr="003A0C5C">
        <w:tab/>
      </w:r>
      <w:r w:rsidR="00DD112B" w:rsidRPr="003A0C5C">
        <w:t xml:space="preserve">LACFD serves the City of Carson and responds from six fire stations located within the </w:t>
      </w:r>
      <w:r w:rsidR="00E51793" w:rsidRPr="003A0C5C">
        <w:t>City</w:t>
      </w:r>
      <w:r w:rsidR="00DD112B" w:rsidRPr="003A0C5C">
        <w:t xml:space="preserve">. The closest station to the project site is LACFD Station </w:t>
      </w:r>
      <w:r w:rsidR="00646128" w:rsidRPr="003A0C5C">
        <w:t>127</w:t>
      </w:r>
      <w:r w:rsidR="00DD112B" w:rsidRPr="003A0C5C">
        <w:t>, approximately 1.6 miles southwest from the project site at 127 W</w:t>
      </w:r>
      <w:r w:rsidR="00E86739" w:rsidRPr="003A0C5C">
        <w:t>est</w:t>
      </w:r>
      <w:r w:rsidR="00DD112B" w:rsidRPr="003A0C5C">
        <w:t xml:space="preserve"> 223rd Street. </w:t>
      </w:r>
      <w:r w:rsidR="009B354D" w:rsidRPr="003A0C5C">
        <w:t xml:space="preserve">In conformance with the California Constitution Article XIII, Section 35(a)(2) and </w:t>
      </w:r>
      <w:r w:rsidR="009B354D" w:rsidRPr="003A0C5C">
        <w:rPr>
          <w:i/>
          <w:iCs/>
        </w:rPr>
        <w:t>City of Hayward v. Trustee of California State University</w:t>
      </w:r>
      <w:r w:rsidR="004C569D" w:rsidRPr="003A0C5C">
        <w:t>, 242 Cal. App. 4th 833 (2015)</w:t>
      </w:r>
      <w:r w:rsidR="009B354D" w:rsidRPr="003A0C5C">
        <w:t>, the City has and will continue to meet its legal obligations to provide adequate public safety services, including fire protection and emergency medical services, and the need for additional fire protection and emergency medical services is not an environmental impact that CEQA requires a project proponent to mitigate.</w:t>
      </w:r>
    </w:p>
    <w:p w14:paraId="581D4218" w14:textId="56EF3A52" w:rsidR="00425808" w:rsidRPr="003A0C5C" w:rsidRDefault="00425808" w:rsidP="00B23A3A">
      <w:pPr>
        <w:pStyle w:val="Heading6"/>
        <w:ind w:left="720"/>
        <w:jc w:val="both"/>
        <w:rPr>
          <w:bCs/>
        </w:rPr>
      </w:pPr>
      <w:r w:rsidRPr="003A0C5C">
        <w:rPr>
          <w:bCs/>
        </w:rPr>
        <w:t>Construction</w:t>
      </w:r>
    </w:p>
    <w:p w14:paraId="757D76AC" w14:textId="2A2B7C60" w:rsidR="00425808" w:rsidRPr="003A0C5C" w:rsidRDefault="00425808" w:rsidP="00B23A3A">
      <w:pPr>
        <w:pStyle w:val="12spaceindentcontinue"/>
      </w:pPr>
      <w:r w:rsidRPr="003A0C5C">
        <w:t>Construction of the proposed project could increase the potential for on</w:t>
      </w:r>
      <w:r w:rsidR="000436BE" w:rsidRPr="003A0C5C">
        <w:t>-</w:t>
      </w:r>
      <w:r w:rsidRPr="003A0C5C">
        <w:t xml:space="preserve">site fires from such sources as the operation of mechanical equipment, the use of flammable construction materials, or the careless disposal of cigarettes. However, implementation of </w:t>
      </w:r>
      <w:r w:rsidR="00D678AB" w:rsidRPr="003A0C5C">
        <w:t>“</w:t>
      </w:r>
      <w:r w:rsidRPr="003A0C5C">
        <w:t>good housekeeping</w:t>
      </w:r>
      <w:r w:rsidR="00D678AB" w:rsidRPr="003A0C5C">
        <w:t>”</w:t>
      </w:r>
      <w:r w:rsidRPr="003A0C5C">
        <w:t xml:space="preserve"> procedures by the construction contractors and the work crews would minimize fire hazards associated with the construction of the proposed project. Such measures would be in effect during construction of the proposed project.</w:t>
      </w:r>
    </w:p>
    <w:p w14:paraId="693E8A29" w14:textId="35F68FA7" w:rsidR="00425808" w:rsidRPr="003A0C5C" w:rsidRDefault="00425808" w:rsidP="00B23A3A">
      <w:pPr>
        <w:pStyle w:val="12spaceindentcontinue"/>
      </w:pPr>
      <w:r w:rsidRPr="003A0C5C">
        <w:t>Construction activities could also have the potential to affect fire protection services, such as emergency vehicle response times, by adding construction traffic to the street network and by partial lane closures during street improvements, utility installations, and construction staging. However, these impacts wou</w:t>
      </w:r>
      <w:r w:rsidR="00B23A3A" w:rsidRPr="003A0C5C">
        <w:t xml:space="preserve">ld be less than significant, </w:t>
      </w:r>
      <w:r w:rsidR="00B25789" w:rsidRPr="003A0C5C">
        <w:t xml:space="preserve">as </w:t>
      </w:r>
      <w:r w:rsidR="00AD5E13" w:rsidRPr="003A0C5C">
        <w:t xml:space="preserve">the Applicant would be required to implement a traffic management plan </w:t>
      </w:r>
      <w:r w:rsidR="0022082A" w:rsidRPr="003A0C5C">
        <w:t xml:space="preserve">that </w:t>
      </w:r>
      <w:r w:rsidR="00AD5E13" w:rsidRPr="003A0C5C">
        <w:t xml:space="preserve">would ensure that at least one lane remains open and emergency access is maintained during construction. In addition, </w:t>
      </w:r>
      <w:r w:rsidR="00B25789" w:rsidRPr="003A0C5C">
        <w:t xml:space="preserve">any lane closures </w:t>
      </w:r>
      <w:r w:rsidR="00530F2C" w:rsidRPr="003A0C5C">
        <w:t xml:space="preserve">that </w:t>
      </w:r>
      <w:r w:rsidR="00B25789" w:rsidRPr="003A0C5C">
        <w:t xml:space="preserve">would occur </w:t>
      </w:r>
      <w:r w:rsidR="00530F2C" w:rsidRPr="003A0C5C">
        <w:t xml:space="preserve">would require </w:t>
      </w:r>
      <w:r w:rsidR="00B25789" w:rsidRPr="003A0C5C">
        <w:t>review and approval by the LACFD</w:t>
      </w:r>
      <w:r w:rsidR="00530F2C" w:rsidRPr="003A0C5C">
        <w:t xml:space="preserve">. Implementation of a traffic management plan </w:t>
      </w:r>
      <w:r w:rsidRPr="003A0C5C">
        <w:t xml:space="preserve">would minimize the effects of construction on vehicular traffic, including emergency vehicles, and assist in the orderly flow of vehicular circulation in the area of the </w:t>
      </w:r>
      <w:r w:rsidR="005F23E3" w:rsidRPr="003A0C5C">
        <w:t xml:space="preserve">proposed </w:t>
      </w:r>
      <w:r w:rsidRPr="003A0C5C">
        <w:t>project.</w:t>
      </w:r>
    </w:p>
    <w:p w14:paraId="1F473378" w14:textId="77777777" w:rsidR="00425808" w:rsidRPr="003A0C5C" w:rsidRDefault="00425808" w:rsidP="00B23A3A">
      <w:pPr>
        <w:pStyle w:val="12spaceindentcontinue"/>
      </w:pPr>
      <w:r w:rsidRPr="003A0C5C">
        <w:t>In summary, project construction would be temporary in nature and, thus, would not require additional fire protection and emergency services to the extent that there would be a need for new or expanded fire facilities in order to maintain acceptable service ratios, response times, or other performance objectives of the LACFD. Therefore, construction-related impacts to fire protection services would be less than significant.</w:t>
      </w:r>
    </w:p>
    <w:p w14:paraId="0EF99724" w14:textId="77777777" w:rsidR="00425808" w:rsidRPr="003A0C5C" w:rsidRDefault="00425808" w:rsidP="00470C54">
      <w:pPr>
        <w:pStyle w:val="Heading6"/>
        <w:ind w:left="720"/>
      </w:pPr>
      <w:r w:rsidRPr="003A0C5C">
        <w:t>Operation</w:t>
      </w:r>
    </w:p>
    <w:p w14:paraId="52A2BEA2" w14:textId="1EE92CDA" w:rsidR="00425808" w:rsidRPr="003A0C5C" w:rsidRDefault="00425808" w:rsidP="00E359A4">
      <w:pPr>
        <w:pStyle w:val="12spaceindentcontinue"/>
      </w:pPr>
      <w:r w:rsidRPr="003A0C5C">
        <w:t xml:space="preserve">The proposed project would </w:t>
      </w:r>
      <w:r w:rsidR="00E359A4" w:rsidRPr="003A0C5C">
        <w:t xml:space="preserve">develop a currently vacant site with a </w:t>
      </w:r>
      <w:r w:rsidR="0007228F" w:rsidRPr="003A0C5C">
        <w:t xml:space="preserve">self-storage facility and ancillary </w:t>
      </w:r>
      <w:r w:rsidR="00A239DC" w:rsidRPr="003A0C5C">
        <w:t xml:space="preserve">office and </w:t>
      </w:r>
      <w:r w:rsidR="0007228F" w:rsidRPr="003A0C5C">
        <w:t xml:space="preserve">retail uses. </w:t>
      </w:r>
      <w:r w:rsidRPr="003A0C5C">
        <w:t xml:space="preserve">The proposed project would be served by the </w:t>
      </w:r>
      <w:r w:rsidR="00E359A4" w:rsidRPr="003A0C5C">
        <w:t>LACFD Station 36, approximately 1.46 miles southwest from the project site at 127 W</w:t>
      </w:r>
      <w:r w:rsidR="00E86739" w:rsidRPr="003A0C5C">
        <w:t>est</w:t>
      </w:r>
      <w:r w:rsidR="00E359A4" w:rsidRPr="003A0C5C">
        <w:t xml:space="preserve"> 223rd Street</w:t>
      </w:r>
      <w:r w:rsidRPr="003A0C5C">
        <w:t xml:space="preserve">. </w:t>
      </w:r>
      <w:r w:rsidR="00E359A4" w:rsidRPr="003A0C5C">
        <w:t xml:space="preserve">While the </w:t>
      </w:r>
      <w:r w:rsidR="00530F2C" w:rsidRPr="003A0C5C">
        <w:t xml:space="preserve">proposed </w:t>
      </w:r>
      <w:r w:rsidR="00E359A4" w:rsidRPr="003A0C5C">
        <w:t>project would introduce new uses to a currently vacant site, the proposed building</w:t>
      </w:r>
      <w:r w:rsidR="00B55462" w:rsidRPr="003A0C5C">
        <w:t>s</w:t>
      </w:r>
      <w:r w:rsidR="00E359A4" w:rsidRPr="003A0C5C">
        <w:t xml:space="preserve"> </w:t>
      </w:r>
      <w:r w:rsidR="00530F2C" w:rsidRPr="003A0C5C">
        <w:t xml:space="preserve">would </w:t>
      </w:r>
      <w:r w:rsidR="00E359A4" w:rsidRPr="003A0C5C">
        <w:t xml:space="preserve">include installation of an automatic fire sprinkler system. Specifically, fire suppression within the proposed buildings would consist of an NFPA-13 sprinkler system. In addition, construction type is to be Type-II non-combustible. </w:t>
      </w:r>
      <w:r w:rsidR="00C97A8D" w:rsidRPr="003A0C5C">
        <w:t>Furthermore, a</w:t>
      </w:r>
      <w:r w:rsidRPr="003A0C5C">
        <w:t xml:space="preserve">s required by the California Health and Safety Code, the proposed project would be required to comply with all requirements pertaining to fire protection systems, such as the adequate provisions of smoke alarms, fire extinguishers, building access, emergency response notification systems, and fire flows. With adherence to California Health and Safety Code, LACFD standards and regulations, the proposed project would install adequate fire protection systems and, thus, would not result in the need for new or physically altered governmental facilities, the construction of which could cause a significant environmental impact. </w:t>
      </w:r>
      <w:r w:rsidR="007B0403" w:rsidRPr="003A0C5C">
        <w:t xml:space="preserve">Furthermore, a regional fire Hydrant Flow Test was performed </w:t>
      </w:r>
      <w:r w:rsidR="00C4278F" w:rsidRPr="003A0C5C">
        <w:t>by</w:t>
      </w:r>
      <w:r w:rsidR="007B0403" w:rsidRPr="003A0C5C">
        <w:t xml:space="preserve"> Cal</w:t>
      </w:r>
      <w:r w:rsidR="00F12B54" w:rsidRPr="003A0C5C">
        <w:t xml:space="preserve"> </w:t>
      </w:r>
      <w:r w:rsidR="007B0403" w:rsidRPr="003A0C5C">
        <w:t>Water</w:t>
      </w:r>
      <w:r w:rsidR="00C4278F" w:rsidRPr="003A0C5C">
        <w:t xml:space="preserve"> for the existing hydrant on the west side of Perry Street, within the immediate vicinity of the project site</w:t>
      </w:r>
      <w:r w:rsidR="007B0403" w:rsidRPr="003A0C5C">
        <w:t xml:space="preserve">, which confirms the </w:t>
      </w:r>
      <w:r w:rsidR="00B55462" w:rsidRPr="003A0C5C">
        <w:t xml:space="preserve">available </w:t>
      </w:r>
      <w:r w:rsidR="007B0403" w:rsidRPr="003A0C5C">
        <w:t xml:space="preserve">pressure </w:t>
      </w:r>
      <w:r w:rsidR="00B55462" w:rsidRPr="003A0C5C">
        <w:t xml:space="preserve">and capacity </w:t>
      </w:r>
      <w:r w:rsidR="007B0403" w:rsidRPr="003A0C5C">
        <w:t>of the existing fire hydrant is sufficient</w:t>
      </w:r>
      <w:r w:rsidR="00A529F6" w:rsidRPr="003A0C5C">
        <w:t xml:space="preserve"> (</w:t>
      </w:r>
      <w:r w:rsidR="0076416C" w:rsidRPr="003A0C5C">
        <w:t>refer to</w:t>
      </w:r>
      <w:r w:rsidR="00A529F6" w:rsidRPr="003A0C5C">
        <w:t xml:space="preserve"> </w:t>
      </w:r>
      <w:r w:rsidR="00A529F6" w:rsidRPr="003A0C5C">
        <w:rPr>
          <w:b/>
          <w:bCs/>
        </w:rPr>
        <w:t xml:space="preserve">Appendix </w:t>
      </w:r>
      <w:r w:rsidR="00B55462" w:rsidRPr="003A0C5C">
        <w:rPr>
          <w:b/>
          <w:bCs/>
        </w:rPr>
        <w:t>I</w:t>
      </w:r>
      <w:r w:rsidR="00A529F6" w:rsidRPr="003A0C5C">
        <w:t xml:space="preserve"> of this IS/MND).</w:t>
      </w:r>
      <w:r w:rsidR="007B0403" w:rsidRPr="003A0C5C">
        <w:t xml:space="preserve"> </w:t>
      </w:r>
      <w:r w:rsidRPr="003A0C5C">
        <w:t>Therefore, impacts to fire protection services would be less than significant.</w:t>
      </w:r>
    </w:p>
    <w:p w14:paraId="4401CBB0" w14:textId="392A19E0" w:rsidR="001138D7" w:rsidRPr="003A0C5C" w:rsidRDefault="004F426E" w:rsidP="00E359A4">
      <w:pPr>
        <w:pStyle w:val="12spaceindent"/>
      </w:pPr>
      <w:proofErr w:type="spellStart"/>
      <w:r w:rsidRPr="003A0C5C">
        <w:t>a.ii</w:t>
      </w:r>
      <w:proofErr w:type="spellEnd"/>
      <w:r w:rsidRPr="003A0C5C">
        <w:t>)</w:t>
      </w:r>
      <w:r w:rsidRPr="003A0C5C">
        <w:tab/>
      </w:r>
      <w:r w:rsidR="001138D7" w:rsidRPr="003A0C5C">
        <w:t>The project site is in the City of Carson, which is under the Los Angeles County Sheriff</w:t>
      </w:r>
      <w:r w:rsidR="00297CEA" w:rsidRPr="003A0C5C">
        <w:t xml:space="preserve"> (LASD)</w:t>
      </w:r>
      <w:r w:rsidR="001138D7" w:rsidRPr="003A0C5C">
        <w:t xml:space="preserve">’s Carson Station jurisdiction. The project site is within the </w:t>
      </w:r>
      <w:r w:rsidR="00EF39B0" w:rsidRPr="003A0C5C">
        <w:t xml:space="preserve">Carson </w:t>
      </w:r>
      <w:r w:rsidR="001138D7" w:rsidRPr="003A0C5C">
        <w:t>Station’s service area and is approximately located 0.</w:t>
      </w:r>
      <w:r w:rsidR="00FE10E7" w:rsidRPr="003A0C5C">
        <w:t>56</w:t>
      </w:r>
      <w:r w:rsidR="001138D7" w:rsidRPr="003A0C5C">
        <w:t xml:space="preserve"> miles north of the project site at 21356 S. Avalon Boulevard. </w:t>
      </w:r>
      <w:r w:rsidR="009B354D" w:rsidRPr="003A0C5C">
        <w:t xml:space="preserve">In conformance with the California Constitution Article XIII, Section 35(a)(2) and the </w:t>
      </w:r>
      <w:r w:rsidR="009B354D" w:rsidRPr="003A0C5C">
        <w:rPr>
          <w:i/>
          <w:iCs/>
        </w:rPr>
        <w:t>City of Hayward v. Trustee of California State University</w:t>
      </w:r>
      <w:r w:rsidR="009B354D" w:rsidRPr="003A0C5C">
        <w:t xml:space="preserve"> ruling, the City has and will continue to meet its legal obligations to provide adequate public safety services, including police protection, and the need for additional police protection is not an environmental impact that CEQA requires a project proponent to mitigate.</w:t>
      </w:r>
    </w:p>
    <w:p w14:paraId="021CC713" w14:textId="4EF1D25D" w:rsidR="004F426E" w:rsidRPr="003A0C5C" w:rsidRDefault="00E359A4" w:rsidP="00E359A4">
      <w:pPr>
        <w:pStyle w:val="12spaceindentcontinue"/>
      </w:pPr>
      <w:r w:rsidRPr="003A0C5C">
        <w:t xml:space="preserve">The self-storage facility would feature a contemporary </w:t>
      </w:r>
      <w:r w:rsidR="00B95C95" w:rsidRPr="003A0C5C">
        <w:t>24</w:t>
      </w:r>
      <w:r w:rsidRPr="003A0C5C">
        <w:t xml:space="preserve">-hour security system including keypad entry security gates, individually monitored and alarmed storage units, video surveillance monitoring, burglar alarms, as well as an intercom system. The on-site manger and/or other office personnel </w:t>
      </w:r>
      <w:r w:rsidR="00246C30" w:rsidRPr="003A0C5C">
        <w:t xml:space="preserve">would </w:t>
      </w:r>
      <w:r w:rsidRPr="003A0C5C">
        <w:t xml:space="preserve">monitor these security systems on a control panel during hours of operation. Should there be a violation of any of the security systems when the management office is closed, an independent security firm will respond. </w:t>
      </w:r>
      <w:r w:rsidR="00BC0F53" w:rsidRPr="003A0C5C">
        <w:t xml:space="preserve">Thus, implementation of the </w:t>
      </w:r>
      <w:r w:rsidR="00137B17" w:rsidRPr="003A0C5C">
        <w:t xml:space="preserve">proposed </w:t>
      </w:r>
      <w:r w:rsidR="00BC0F53" w:rsidRPr="003A0C5C">
        <w:t xml:space="preserve">project would not significantly increase demand for police protection services provided by the LASD. In addition, the </w:t>
      </w:r>
      <w:r w:rsidR="00137B17" w:rsidRPr="003A0C5C">
        <w:t xml:space="preserve">proposed </w:t>
      </w:r>
      <w:r w:rsidR="00BC0F53" w:rsidRPr="003A0C5C">
        <w:t>project would be subject to site plan review by the City prior to project approval to ensure that it meets City requirements in regard to safety (e.g., nighttime security lighting)</w:t>
      </w:r>
      <w:r w:rsidR="00210DE2" w:rsidRPr="003A0C5C">
        <w:t>;</w:t>
      </w:r>
      <w:r w:rsidR="004B12A7" w:rsidRPr="003A0C5C">
        <w:t xml:space="preserve"> thus</w:t>
      </w:r>
      <w:r w:rsidR="00210DE2" w:rsidRPr="003A0C5C">
        <w:t>,</w:t>
      </w:r>
      <w:r w:rsidR="004B12A7" w:rsidRPr="003A0C5C">
        <w:t xml:space="preserve"> discouraging criminal activity and reducing demand for police protection services</w:t>
      </w:r>
      <w:r w:rsidR="00BC0F53" w:rsidRPr="003A0C5C">
        <w:t xml:space="preserve">. As such, </w:t>
      </w:r>
      <w:r w:rsidR="004F426E" w:rsidRPr="003A0C5C">
        <w:t>t</w:t>
      </w:r>
      <w:r w:rsidR="00954AC8" w:rsidRPr="003A0C5C">
        <w:t xml:space="preserve">he </w:t>
      </w:r>
      <w:r w:rsidR="00137B17" w:rsidRPr="003A0C5C">
        <w:t xml:space="preserve">proposed </w:t>
      </w:r>
      <w:r w:rsidR="00954AC8" w:rsidRPr="003A0C5C">
        <w:t>project would not require LA</w:t>
      </w:r>
      <w:r w:rsidR="004F426E" w:rsidRPr="003A0C5C">
        <w:t>SD to expand or construct new stat</w:t>
      </w:r>
      <w:r w:rsidR="00954AC8" w:rsidRPr="003A0C5C">
        <w:t xml:space="preserve">ions to serve the project site and </w:t>
      </w:r>
      <w:r w:rsidR="004F426E" w:rsidRPr="003A0C5C">
        <w:t>impacts would be less than significant.</w:t>
      </w:r>
    </w:p>
    <w:p w14:paraId="250DD7FB" w14:textId="048B351E" w:rsidR="004F426E" w:rsidRPr="003A0C5C" w:rsidRDefault="004F426E" w:rsidP="00780FDC">
      <w:pPr>
        <w:pStyle w:val="12spaceindent"/>
      </w:pPr>
      <w:proofErr w:type="spellStart"/>
      <w:r w:rsidRPr="003A0C5C">
        <w:t>a.iii</w:t>
      </w:r>
      <w:proofErr w:type="spellEnd"/>
      <w:r w:rsidRPr="003A0C5C">
        <w:t>)</w:t>
      </w:r>
      <w:r w:rsidRPr="003A0C5C">
        <w:tab/>
      </w:r>
      <w:r w:rsidR="00763222" w:rsidRPr="003A0C5C">
        <w:t>The proposed project does not include a residential component, which would create housing or any other facility that would increase the local population that would require an increase of student at local schools</w:t>
      </w:r>
      <w:r w:rsidRPr="003A0C5C">
        <w:t>.</w:t>
      </w:r>
      <w:r w:rsidR="00470C54" w:rsidRPr="003A0C5C">
        <w:t xml:space="preserve"> </w:t>
      </w:r>
      <w:r w:rsidRPr="003A0C5C">
        <w:t>Therefore, no impact would occur.</w:t>
      </w:r>
    </w:p>
    <w:p w14:paraId="1F2374E1" w14:textId="41E5FC59" w:rsidR="004F426E" w:rsidRPr="003A0C5C" w:rsidRDefault="004F426E" w:rsidP="00780FDC">
      <w:pPr>
        <w:pStyle w:val="12spaceindent"/>
      </w:pPr>
      <w:proofErr w:type="spellStart"/>
      <w:r w:rsidRPr="003A0C5C">
        <w:t>a.iv</w:t>
      </w:r>
      <w:proofErr w:type="spellEnd"/>
      <w:r w:rsidRPr="003A0C5C">
        <w:t>)</w:t>
      </w:r>
      <w:r w:rsidRPr="003A0C5C">
        <w:tab/>
        <w:t>The City of Carson contains approximately 599</w:t>
      </w:r>
      <w:r w:rsidR="00CD2E2E" w:rsidRPr="003A0C5C">
        <w:t> acre</w:t>
      </w:r>
      <w:r w:rsidRPr="003A0C5C">
        <w:t xml:space="preserve">s of open space and parkland. This includes Neighborhood and Community Parks, Golf Courses, a Blimp Port, as well as drainage courses and utility transmission corridors </w:t>
      </w:r>
      <w:r w:rsidR="00852967" w:rsidRPr="003A0C5C">
        <w:t>(City of Carson</w:t>
      </w:r>
      <w:r w:rsidRPr="003A0C5C">
        <w:t xml:space="preserve"> 2004). Further, 243</w:t>
      </w:r>
      <w:r w:rsidR="00CD2E2E" w:rsidRPr="003A0C5C">
        <w:t> acre</w:t>
      </w:r>
      <w:r w:rsidRPr="003A0C5C">
        <w:t xml:space="preserve">s of recreational open space is provided by both California State University Dominguez Hills and public schools located in the City </w:t>
      </w:r>
      <w:r w:rsidR="00852967" w:rsidRPr="003A0C5C">
        <w:t>(City of Carson</w:t>
      </w:r>
      <w:r w:rsidRPr="003A0C5C">
        <w:t xml:space="preserve"> 2004). The City</w:t>
      </w:r>
      <w:r w:rsidR="00D678AB" w:rsidRPr="003A0C5C">
        <w:t>’</w:t>
      </w:r>
      <w:r w:rsidRPr="003A0C5C">
        <w:t xml:space="preserve">s standard for permanent public open space is </w:t>
      </w:r>
      <w:r w:rsidR="00CD2E2E" w:rsidRPr="003A0C5C">
        <w:t>4 acre</w:t>
      </w:r>
      <w:r w:rsidRPr="003A0C5C">
        <w:t xml:space="preserve">s per 1,000 residents. The closest park to the project site is </w:t>
      </w:r>
      <w:r w:rsidR="00B67E59" w:rsidRPr="003A0C5C">
        <w:t>Perry Street Mini-</w:t>
      </w:r>
      <w:r w:rsidRPr="003A0C5C">
        <w:t xml:space="preserve">Park, located </w:t>
      </w:r>
      <w:r w:rsidR="00B67E59" w:rsidRPr="003A0C5C">
        <w:t xml:space="preserve">approximately 32 feet northeast </w:t>
      </w:r>
      <w:r w:rsidRPr="003A0C5C">
        <w:t xml:space="preserve">of the project site at </w:t>
      </w:r>
      <w:r w:rsidR="00B67E59" w:rsidRPr="003A0C5C">
        <w:t xml:space="preserve">the corner of 215th Place and </w:t>
      </w:r>
      <w:r w:rsidR="0030445A" w:rsidRPr="003A0C5C">
        <w:t xml:space="preserve">South </w:t>
      </w:r>
      <w:r w:rsidR="00B67E59" w:rsidRPr="003A0C5C">
        <w:t>Perry Street</w:t>
      </w:r>
      <w:r w:rsidR="003358AB" w:rsidRPr="003A0C5C">
        <w:t>.</w:t>
      </w:r>
      <w:r w:rsidRPr="003A0C5C">
        <w:t xml:space="preserve"> </w:t>
      </w:r>
      <w:r w:rsidR="008C0946" w:rsidRPr="003A0C5C">
        <w:t xml:space="preserve">Project visitors are not anticipated to make use of the Perry Street Mini‐Park to an extent that would affect </w:t>
      </w:r>
      <w:r w:rsidR="00E80B38" w:rsidRPr="003A0C5C">
        <w:t>its performance</w:t>
      </w:r>
      <w:r w:rsidR="008C0946" w:rsidRPr="003A0C5C">
        <w:t xml:space="preserve">. </w:t>
      </w:r>
      <w:r w:rsidR="00763222" w:rsidRPr="003A0C5C">
        <w:t xml:space="preserve">The proposed project would develop </w:t>
      </w:r>
      <w:r w:rsidR="00780FDC" w:rsidRPr="003A0C5C">
        <w:t>commercial</w:t>
      </w:r>
      <w:r w:rsidR="00763222" w:rsidRPr="003A0C5C">
        <w:t xml:space="preserve"> uses and would result in </w:t>
      </w:r>
      <w:r w:rsidR="00780FDC" w:rsidRPr="003A0C5C">
        <w:t>a minimal</w:t>
      </w:r>
      <w:r w:rsidR="00763222" w:rsidRPr="003A0C5C">
        <w:t xml:space="preserve"> increase in employees at the </w:t>
      </w:r>
      <w:r w:rsidR="00780FDC" w:rsidRPr="003A0C5C">
        <w:t xml:space="preserve">project </w:t>
      </w:r>
      <w:r w:rsidR="00763222" w:rsidRPr="003A0C5C">
        <w:t xml:space="preserve">site. The </w:t>
      </w:r>
      <w:r w:rsidR="005F23E3" w:rsidRPr="003A0C5C">
        <w:t xml:space="preserve">proposed </w:t>
      </w:r>
      <w:r w:rsidR="00763222" w:rsidRPr="003A0C5C">
        <w:t xml:space="preserve">project would not introduce inhabitants to the project area that would require the use of parks or recreational facilities in the vicinity of the project site. </w:t>
      </w:r>
      <w:r w:rsidRPr="003A0C5C">
        <w:t>Therefore, no impact would occur.</w:t>
      </w:r>
    </w:p>
    <w:p w14:paraId="6FBFAD0F" w14:textId="77777777" w:rsidR="00496C93" w:rsidRPr="003A0C5C" w:rsidRDefault="004F426E" w:rsidP="00496C93">
      <w:pPr>
        <w:pStyle w:val="12spaceindent"/>
      </w:pPr>
      <w:proofErr w:type="spellStart"/>
      <w:r w:rsidRPr="003A0C5C">
        <w:t>a.v</w:t>
      </w:r>
      <w:proofErr w:type="spellEnd"/>
      <w:r w:rsidRPr="003A0C5C">
        <w:t>)</w:t>
      </w:r>
      <w:r w:rsidRPr="003A0C5C">
        <w:tab/>
      </w:r>
      <w:r w:rsidR="00763222" w:rsidRPr="003A0C5C">
        <w:t xml:space="preserve">The </w:t>
      </w:r>
      <w:r w:rsidR="00137B17" w:rsidRPr="003A0C5C">
        <w:t xml:space="preserve">proposed </w:t>
      </w:r>
      <w:r w:rsidR="00763222" w:rsidRPr="003A0C5C">
        <w:t>project would not introduce inhabitants to the project area that would require the use of library facilities in the vicinity of the project site.</w:t>
      </w:r>
      <w:r w:rsidR="00470C54" w:rsidRPr="003A0C5C">
        <w:t xml:space="preserve"> </w:t>
      </w:r>
      <w:r w:rsidRPr="003A0C5C">
        <w:t>Therefore, no impact would occur.</w:t>
      </w:r>
    </w:p>
    <w:p w14:paraId="275F197A" w14:textId="77777777" w:rsidR="00496C93" w:rsidRPr="003A0C5C" w:rsidRDefault="00496C93" w:rsidP="00496C93">
      <w:pPr>
        <w:pStyle w:val="12spaceindent"/>
        <w:keepNext/>
        <w:spacing w:after="120"/>
        <w:ind w:left="0" w:firstLine="0"/>
        <w:rPr>
          <w:highlight w:val="yellow"/>
        </w:rPr>
      </w:pPr>
    </w:p>
    <w:p w14:paraId="23ACB146" w14:textId="77777777" w:rsidR="002B6967" w:rsidRPr="003A0C5C" w:rsidRDefault="002B6967" w:rsidP="002B6967">
      <w:pPr>
        <w:pStyle w:val="ImpactSectionEnd"/>
        <w:rPr>
          <w:highlight w:val="yellow"/>
        </w:rPr>
      </w:pPr>
    </w:p>
    <w:p w14:paraId="3319962F" w14:textId="77777777" w:rsidR="002B6967" w:rsidRPr="003A0C5C" w:rsidRDefault="002B6967" w:rsidP="002B6967">
      <w:pPr>
        <w:rPr>
          <w:highlight w:val="yellow"/>
        </w:rPr>
      </w:pPr>
      <w:r w:rsidRPr="003A0C5C">
        <w:rPr>
          <w:highlight w:val="yellow"/>
        </w:rPr>
        <w:br w:type="page"/>
      </w:r>
    </w:p>
    <w:p w14:paraId="0619283D" w14:textId="41ACA342" w:rsidR="004F426E" w:rsidRPr="003A0C5C" w:rsidRDefault="008B0DDC" w:rsidP="008B0DDC">
      <w:pPr>
        <w:pStyle w:val="Heading4"/>
      </w:pPr>
      <w:bookmarkStart w:id="113" w:name="_Toc101791995"/>
      <w:r w:rsidRPr="003A0C5C">
        <w:t>XVI.</w:t>
      </w:r>
      <w:r w:rsidRPr="003A0C5C">
        <w:tab/>
      </w:r>
      <w:r w:rsidR="004F426E" w:rsidRPr="003A0C5C">
        <w:t>Recreation</w:t>
      </w:r>
      <w:bookmarkEnd w:id="113"/>
    </w:p>
    <w:tbl>
      <w:tblPr>
        <w:tblW w:w="0" w:type="auto"/>
        <w:tblCellMar>
          <w:left w:w="86" w:type="dxa"/>
          <w:right w:w="86" w:type="dxa"/>
        </w:tblCellMar>
        <w:tblLook w:val="0000" w:firstRow="0" w:lastRow="0" w:firstColumn="0" w:lastColumn="0" w:noHBand="0" w:noVBand="0"/>
      </w:tblPr>
      <w:tblGrid>
        <w:gridCol w:w="5088"/>
        <w:gridCol w:w="888"/>
        <w:gridCol w:w="1152"/>
        <w:gridCol w:w="888"/>
        <w:gridCol w:w="624"/>
      </w:tblGrid>
      <w:tr w:rsidR="003A0C5C" w:rsidRPr="003A0C5C" w14:paraId="053E2180" w14:textId="77777777" w:rsidTr="00F07065">
        <w:trPr>
          <w:cantSplit/>
          <w:tblHeader/>
        </w:trPr>
        <w:tc>
          <w:tcPr>
            <w:tcW w:w="0" w:type="auto"/>
            <w:vAlign w:val="bottom"/>
          </w:tcPr>
          <w:p w14:paraId="464A77C1" w14:textId="77777777" w:rsidR="00BB2DF1" w:rsidRPr="003A0C5C" w:rsidRDefault="00BB2DF1" w:rsidP="00F07065">
            <w:pPr>
              <w:keepNext/>
              <w:pBdr>
                <w:bottom w:val="single" w:sz="4" w:space="1" w:color="auto"/>
              </w:pBdr>
              <w:spacing w:before="60" w:after="60"/>
              <w:ind w:left="540" w:hanging="540"/>
              <w:rPr>
                <w:rFonts w:ascii="Arial" w:hAnsi="Arial" w:cs="Arial"/>
                <w:b/>
                <w:i/>
                <w:sz w:val="14"/>
                <w:szCs w:val="16"/>
              </w:rPr>
            </w:pPr>
            <w:r w:rsidRPr="003A0C5C">
              <w:rPr>
                <w:rFonts w:ascii="Arial" w:hAnsi="Arial" w:cs="Arial"/>
                <w:b/>
                <w:i/>
                <w:sz w:val="14"/>
                <w:szCs w:val="16"/>
              </w:rPr>
              <w:t>Issues (and Supporting Information Sources)</w:t>
            </w:r>
          </w:p>
        </w:tc>
        <w:tc>
          <w:tcPr>
            <w:tcW w:w="0" w:type="auto"/>
            <w:vAlign w:val="bottom"/>
          </w:tcPr>
          <w:p w14:paraId="31E102E7" w14:textId="77777777" w:rsidR="00BB2DF1" w:rsidRPr="003A0C5C" w:rsidRDefault="00BB2DF1" w:rsidP="00F07065">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Potentially</w:t>
            </w:r>
            <w:r w:rsidRPr="003A0C5C">
              <w:rPr>
                <w:rFonts w:ascii="Arial" w:hAnsi="Arial" w:cs="Arial"/>
                <w:b/>
                <w:i/>
                <w:sz w:val="14"/>
                <w:szCs w:val="16"/>
              </w:rPr>
              <w:br/>
              <w:t>Significant</w:t>
            </w:r>
            <w:r w:rsidRPr="003A0C5C">
              <w:rPr>
                <w:rFonts w:ascii="Arial" w:hAnsi="Arial" w:cs="Arial"/>
                <w:b/>
                <w:i/>
                <w:sz w:val="14"/>
                <w:szCs w:val="16"/>
              </w:rPr>
              <w:br/>
              <w:t>Impact</w:t>
            </w:r>
          </w:p>
        </w:tc>
        <w:tc>
          <w:tcPr>
            <w:tcW w:w="0" w:type="auto"/>
            <w:vAlign w:val="bottom"/>
          </w:tcPr>
          <w:p w14:paraId="20391EF4" w14:textId="77777777" w:rsidR="00BB2DF1" w:rsidRPr="003A0C5C" w:rsidRDefault="00BB2DF1" w:rsidP="00F07065">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Less than</w:t>
            </w:r>
            <w:r w:rsidRPr="003A0C5C">
              <w:rPr>
                <w:rFonts w:ascii="Arial" w:hAnsi="Arial" w:cs="Arial"/>
                <w:b/>
                <w:i/>
                <w:sz w:val="14"/>
                <w:szCs w:val="16"/>
              </w:rPr>
              <w:br/>
              <w:t>Significant</w:t>
            </w:r>
            <w:r w:rsidRPr="003A0C5C">
              <w:rPr>
                <w:rFonts w:ascii="Arial" w:hAnsi="Arial" w:cs="Arial"/>
                <w:b/>
                <w:i/>
                <w:sz w:val="14"/>
                <w:szCs w:val="16"/>
              </w:rPr>
              <w:br/>
              <w:t>with Mitigation</w:t>
            </w:r>
            <w:r w:rsidRPr="003A0C5C">
              <w:rPr>
                <w:rFonts w:ascii="Arial" w:hAnsi="Arial" w:cs="Arial"/>
                <w:b/>
                <w:i/>
                <w:sz w:val="14"/>
                <w:szCs w:val="16"/>
              </w:rPr>
              <w:br/>
              <w:t>Incorporated</w:t>
            </w:r>
          </w:p>
        </w:tc>
        <w:tc>
          <w:tcPr>
            <w:tcW w:w="0" w:type="auto"/>
            <w:vAlign w:val="bottom"/>
          </w:tcPr>
          <w:p w14:paraId="4A65319C" w14:textId="77777777" w:rsidR="00BB2DF1" w:rsidRPr="003A0C5C" w:rsidRDefault="00BB2DF1" w:rsidP="00F07065">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Less-than-</w:t>
            </w:r>
            <w:r w:rsidRPr="003A0C5C">
              <w:rPr>
                <w:rFonts w:ascii="Arial" w:hAnsi="Arial" w:cs="Arial"/>
                <w:b/>
                <w:i/>
                <w:sz w:val="14"/>
                <w:szCs w:val="16"/>
              </w:rPr>
              <w:br/>
              <w:t>Significant</w:t>
            </w:r>
            <w:r w:rsidRPr="003A0C5C">
              <w:rPr>
                <w:rFonts w:ascii="Arial" w:hAnsi="Arial" w:cs="Arial"/>
                <w:b/>
                <w:i/>
                <w:sz w:val="14"/>
                <w:szCs w:val="16"/>
              </w:rPr>
              <w:br/>
              <w:t>Impact</w:t>
            </w:r>
          </w:p>
        </w:tc>
        <w:tc>
          <w:tcPr>
            <w:tcW w:w="0" w:type="auto"/>
            <w:vAlign w:val="bottom"/>
          </w:tcPr>
          <w:p w14:paraId="272D05A4" w14:textId="77777777" w:rsidR="00BB2DF1" w:rsidRPr="003A0C5C" w:rsidRDefault="00BB2DF1" w:rsidP="00F07065">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No</w:t>
            </w:r>
            <w:r w:rsidRPr="003A0C5C">
              <w:rPr>
                <w:rFonts w:ascii="Arial" w:hAnsi="Arial" w:cs="Arial"/>
                <w:b/>
                <w:i/>
                <w:sz w:val="14"/>
                <w:szCs w:val="16"/>
              </w:rPr>
              <w:br/>
              <w:t>Impact</w:t>
            </w:r>
          </w:p>
        </w:tc>
      </w:tr>
      <w:tr w:rsidR="003A0C5C" w:rsidRPr="003A0C5C" w14:paraId="5DEB5513" w14:textId="77777777" w:rsidTr="00F07065">
        <w:trPr>
          <w:cantSplit/>
        </w:trPr>
        <w:tc>
          <w:tcPr>
            <w:tcW w:w="0" w:type="auto"/>
          </w:tcPr>
          <w:p w14:paraId="3B97D277" w14:textId="5B34E1CF" w:rsidR="00BB2DF1" w:rsidRPr="003A0C5C" w:rsidRDefault="00BB2DF1" w:rsidP="00F07065">
            <w:pPr>
              <w:pStyle w:val="Tabletextnumber"/>
              <w:keepNext/>
              <w:ind w:left="504" w:hanging="504"/>
              <w:rPr>
                <w:rStyle w:val="Bold"/>
              </w:rPr>
            </w:pPr>
            <w:r w:rsidRPr="003A0C5C">
              <w:rPr>
                <w:rStyle w:val="Bold"/>
              </w:rPr>
              <w:t>XVI.</w:t>
            </w:r>
            <w:r w:rsidRPr="003A0C5C">
              <w:rPr>
                <w:rStyle w:val="Bold"/>
              </w:rPr>
              <w:tab/>
              <w:t>RECREATION</w:t>
            </w:r>
          </w:p>
        </w:tc>
        <w:tc>
          <w:tcPr>
            <w:tcW w:w="0" w:type="auto"/>
          </w:tcPr>
          <w:p w14:paraId="4A71E417" w14:textId="77777777" w:rsidR="00BB2DF1" w:rsidRPr="003A0C5C" w:rsidRDefault="00BB2DF1" w:rsidP="00F07065">
            <w:pPr>
              <w:pStyle w:val="Checklist"/>
            </w:pPr>
          </w:p>
        </w:tc>
        <w:tc>
          <w:tcPr>
            <w:tcW w:w="0" w:type="auto"/>
          </w:tcPr>
          <w:p w14:paraId="0E481D6D" w14:textId="77777777" w:rsidR="00BB2DF1" w:rsidRPr="003A0C5C" w:rsidRDefault="00BB2DF1" w:rsidP="00F07065">
            <w:pPr>
              <w:pStyle w:val="Checklist"/>
            </w:pPr>
          </w:p>
        </w:tc>
        <w:tc>
          <w:tcPr>
            <w:tcW w:w="0" w:type="auto"/>
          </w:tcPr>
          <w:p w14:paraId="7F9D949E" w14:textId="77777777" w:rsidR="00BB2DF1" w:rsidRPr="003A0C5C" w:rsidRDefault="00BB2DF1" w:rsidP="00F07065">
            <w:pPr>
              <w:pStyle w:val="Checklist"/>
            </w:pPr>
          </w:p>
        </w:tc>
        <w:tc>
          <w:tcPr>
            <w:tcW w:w="0" w:type="auto"/>
          </w:tcPr>
          <w:p w14:paraId="5B5B702D" w14:textId="77777777" w:rsidR="00BB2DF1" w:rsidRPr="003A0C5C" w:rsidRDefault="00BB2DF1" w:rsidP="00F07065">
            <w:pPr>
              <w:pStyle w:val="Checklist"/>
            </w:pPr>
          </w:p>
        </w:tc>
      </w:tr>
      <w:tr w:rsidR="003A0C5C" w:rsidRPr="003A0C5C" w14:paraId="75580F5E" w14:textId="77777777" w:rsidTr="00F07065">
        <w:trPr>
          <w:cantSplit/>
        </w:trPr>
        <w:tc>
          <w:tcPr>
            <w:tcW w:w="0" w:type="auto"/>
          </w:tcPr>
          <w:p w14:paraId="282B94DE" w14:textId="0E8EF6C0" w:rsidR="00BB2DF1" w:rsidRPr="003A0C5C" w:rsidRDefault="00BB2DF1" w:rsidP="00BB2DF1">
            <w:pPr>
              <w:pStyle w:val="Tabletextnumber"/>
            </w:pPr>
            <w:r w:rsidRPr="003A0C5C">
              <w:rPr>
                <w:rFonts w:cs="Arial"/>
                <w:spacing w:val="-2"/>
                <w:szCs w:val="16"/>
              </w:rPr>
              <w:t>a)</w:t>
            </w:r>
            <w:r w:rsidRPr="003A0C5C">
              <w:rPr>
                <w:rFonts w:cs="Arial"/>
                <w:spacing w:val="-2"/>
                <w:szCs w:val="16"/>
              </w:rPr>
              <w:tab/>
              <w:t>Would the project increase the use of existing neighborhood and regional parks or other recreational facilities such that substantial physical deterioration of the facility would occur or be accelerated?</w:t>
            </w:r>
          </w:p>
        </w:tc>
        <w:tc>
          <w:tcPr>
            <w:tcW w:w="0" w:type="auto"/>
          </w:tcPr>
          <w:p w14:paraId="2AFACFC2" w14:textId="77777777" w:rsidR="00BB2DF1" w:rsidRPr="003A0C5C" w:rsidRDefault="002348BC" w:rsidP="00BB2DF1">
            <w:pPr>
              <w:pStyle w:val="Checklist"/>
            </w:pPr>
            <w:sdt>
              <w:sdtPr>
                <w:id w:val="1876272771"/>
                <w14:checkbox>
                  <w14:checked w14:val="0"/>
                  <w14:checkedState w14:val="2612" w14:font="MS Gothic"/>
                  <w14:uncheckedState w14:val="2610" w14:font="MS Gothic"/>
                </w14:checkbox>
              </w:sdtPr>
              <w:sdtEndPr/>
              <w:sdtContent>
                <w:r w:rsidR="00BB2DF1" w:rsidRPr="003A0C5C">
                  <w:t>☐</w:t>
                </w:r>
              </w:sdtContent>
            </w:sdt>
          </w:p>
        </w:tc>
        <w:tc>
          <w:tcPr>
            <w:tcW w:w="0" w:type="auto"/>
          </w:tcPr>
          <w:p w14:paraId="73010769" w14:textId="77777777" w:rsidR="00BB2DF1" w:rsidRPr="003A0C5C" w:rsidRDefault="002348BC" w:rsidP="00BB2DF1">
            <w:pPr>
              <w:pStyle w:val="Checklist"/>
              <w:rPr>
                <w:sz w:val="20"/>
              </w:rPr>
            </w:pPr>
            <w:sdt>
              <w:sdtPr>
                <w:id w:val="1274363290"/>
                <w14:checkbox>
                  <w14:checked w14:val="0"/>
                  <w14:checkedState w14:val="2612" w14:font="MS Gothic"/>
                  <w14:uncheckedState w14:val="2610" w14:font="MS Gothic"/>
                </w14:checkbox>
              </w:sdtPr>
              <w:sdtEndPr/>
              <w:sdtContent>
                <w:r w:rsidR="00BB2DF1" w:rsidRPr="003A0C5C">
                  <w:t>☐</w:t>
                </w:r>
              </w:sdtContent>
            </w:sdt>
          </w:p>
        </w:tc>
        <w:tc>
          <w:tcPr>
            <w:tcW w:w="0" w:type="auto"/>
          </w:tcPr>
          <w:p w14:paraId="0986415B" w14:textId="0A81354D" w:rsidR="00BB2DF1" w:rsidRPr="003A0C5C" w:rsidRDefault="002348BC" w:rsidP="00BB2DF1">
            <w:pPr>
              <w:pStyle w:val="Checklist"/>
              <w:rPr>
                <w:sz w:val="20"/>
              </w:rPr>
            </w:pPr>
            <w:sdt>
              <w:sdtPr>
                <w:id w:val="-2146966145"/>
                <w14:checkbox>
                  <w14:checked w14:val="0"/>
                  <w14:checkedState w14:val="2612" w14:font="MS Gothic"/>
                  <w14:uncheckedState w14:val="2610" w14:font="MS Gothic"/>
                </w14:checkbox>
              </w:sdtPr>
              <w:sdtEndPr/>
              <w:sdtContent>
                <w:r w:rsidR="00BB2DF1" w:rsidRPr="003A0C5C">
                  <w:t>☐</w:t>
                </w:r>
              </w:sdtContent>
            </w:sdt>
          </w:p>
        </w:tc>
        <w:tc>
          <w:tcPr>
            <w:tcW w:w="0" w:type="auto"/>
          </w:tcPr>
          <w:p w14:paraId="7E85FD6C" w14:textId="1C42188D" w:rsidR="00BB2DF1" w:rsidRPr="003A0C5C" w:rsidRDefault="002348BC" w:rsidP="00BB2DF1">
            <w:pPr>
              <w:pStyle w:val="Checklist"/>
              <w:rPr>
                <w:sz w:val="20"/>
              </w:rPr>
            </w:pPr>
            <w:sdt>
              <w:sdtPr>
                <w:id w:val="-1511518392"/>
                <w14:checkbox>
                  <w14:checked w14:val="1"/>
                  <w14:checkedState w14:val="2612" w14:font="MS Gothic"/>
                  <w14:uncheckedState w14:val="2610" w14:font="MS Gothic"/>
                </w14:checkbox>
              </w:sdtPr>
              <w:sdtEndPr/>
              <w:sdtContent>
                <w:r w:rsidR="00BB2DF1" w:rsidRPr="003A0C5C">
                  <w:t>☒</w:t>
                </w:r>
              </w:sdtContent>
            </w:sdt>
          </w:p>
        </w:tc>
      </w:tr>
      <w:tr w:rsidR="00BB2DF1" w:rsidRPr="003A0C5C" w14:paraId="1216F5AE" w14:textId="77777777" w:rsidTr="00F07065">
        <w:trPr>
          <w:cantSplit/>
        </w:trPr>
        <w:tc>
          <w:tcPr>
            <w:tcW w:w="0" w:type="auto"/>
          </w:tcPr>
          <w:p w14:paraId="4E528228" w14:textId="2863766E" w:rsidR="00BB2DF1" w:rsidRPr="003A0C5C" w:rsidRDefault="00BB2DF1" w:rsidP="00BB2DF1">
            <w:pPr>
              <w:pStyle w:val="Tabletextnumber"/>
            </w:pPr>
            <w:r w:rsidRPr="003A0C5C">
              <w:rPr>
                <w:rFonts w:cs="Arial"/>
                <w:szCs w:val="16"/>
              </w:rPr>
              <w:t>b)</w:t>
            </w:r>
            <w:r w:rsidRPr="003A0C5C">
              <w:rPr>
                <w:rFonts w:cs="Arial"/>
                <w:szCs w:val="16"/>
              </w:rPr>
              <w:tab/>
              <w:t>Does the project include recreational facilities or require the construction or expansion of recreational facilities which might have an adverse physical effect on the environment?</w:t>
            </w:r>
          </w:p>
        </w:tc>
        <w:tc>
          <w:tcPr>
            <w:tcW w:w="0" w:type="auto"/>
          </w:tcPr>
          <w:p w14:paraId="4E581FDB" w14:textId="77777777" w:rsidR="00BB2DF1" w:rsidRPr="003A0C5C" w:rsidRDefault="002348BC" w:rsidP="00BB2DF1">
            <w:pPr>
              <w:pStyle w:val="Checklist"/>
              <w:rPr>
                <w:sz w:val="20"/>
              </w:rPr>
            </w:pPr>
            <w:sdt>
              <w:sdtPr>
                <w:id w:val="-1681646059"/>
                <w14:checkbox>
                  <w14:checked w14:val="0"/>
                  <w14:checkedState w14:val="2612" w14:font="MS Gothic"/>
                  <w14:uncheckedState w14:val="2610" w14:font="MS Gothic"/>
                </w14:checkbox>
              </w:sdtPr>
              <w:sdtEndPr/>
              <w:sdtContent>
                <w:r w:rsidR="00BB2DF1" w:rsidRPr="003A0C5C">
                  <w:t>☐</w:t>
                </w:r>
              </w:sdtContent>
            </w:sdt>
          </w:p>
        </w:tc>
        <w:tc>
          <w:tcPr>
            <w:tcW w:w="0" w:type="auto"/>
          </w:tcPr>
          <w:p w14:paraId="25CB00E8" w14:textId="77777777" w:rsidR="00BB2DF1" w:rsidRPr="003A0C5C" w:rsidRDefault="002348BC" w:rsidP="00BB2DF1">
            <w:pPr>
              <w:pStyle w:val="Checklist"/>
              <w:rPr>
                <w:sz w:val="20"/>
              </w:rPr>
            </w:pPr>
            <w:sdt>
              <w:sdtPr>
                <w:id w:val="1298957518"/>
                <w14:checkbox>
                  <w14:checked w14:val="0"/>
                  <w14:checkedState w14:val="2612" w14:font="MS Gothic"/>
                  <w14:uncheckedState w14:val="2610" w14:font="MS Gothic"/>
                </w14:checkbox>
              </w:sdtPr>
              <w:sdtEndPr/>
              <w:sdtContent>
                <w:r w:rsidR="00BB2DF1" w:rsidRPr="003A0C5C">
                  <w:t>☐</w:t>
                </w:r>
              </w:sdtContent>
            </w:sdt>
          </w:p>
        </w:tc>
        <w:tc>
          <w:tcPr>
            <w:tcW w:w="0" w:type="auto"/>
          </w:tcPr>
          <w:p w14:paraId="77EE90C8" w14:textId="77777777" w:rsidR="00BB2DF1" w:rsidRPr="003A0C5C" w:rsidRDefault="002348BC" w:rsidP="00BB2DF1">
            <w:pPr>
              <w:pStyle w:val="Checklist"/>
              <w:rPr>
                <w:sz w:val="20"/>
              </w:rPr>
            </w:pPr>
            <w:sdt>
              <w:sdtPr>
                <w:id w:val="1012953306"/>
                <w14:checkbox>
                  <w14:checked w14:val="0"/>
                  <w14:checkedState w14:val="2612" w14:font="MS Gothic"/>
                  <w14:uncheckedState w14:val="2610" w14:font="MS Gothic"/>
                </w14:checkbox>
              </w:sdtPr>
              <w:sdtEndPr/>
              <w:sdtContent>
                <w:r w:rsidR="00BB2DF1" w:rsidRPr="003A0C5C">
                  <w:t>☐</w:t>
                </w:r>
              </w:sdtContent>
            </w:sdt>
          </w:p>
        </w:tc>
        <w:tc>
          <w:tcPr>
            <w:tcW w:w="0" w:type="auto"/>
          </w:tcPr>
          <w:p w14:paraId="163533F5" w14:textId="77777777" w:rsidR="00BB2DF1" w:rsidRPr="003A0C5C" w:rsidRDefault="002348BC" w:rsidP="00BB2DF1">
            <w:pPr>
              <w:pStyle w:val="Checklist"/>
              <w:rPr>
                <w:sz w:val="20"/>
              </w:rPr>
            </w:pPr>
            <w:sdt>
              <w:sdtPr>
                <w:id w:val="-1191145947"/>
                <w14:checkbox>
                  <w14:checked w14:val="1"/>
                  <w14:checkedState w14:val="2612" w14:font="MS Gothic"/>
                  <w14:uncheckedState w14:val="2610" w14:font="MS Gothic"/>
                </w14:checkbox>
              </w:sdtPr>
              <w:sdtEndPr/>
              <w:sdtContent>
                <w:r w:rsidR="00BB2DF1" w:rsidRPr="003A0C5C">
                  <w:t>☒</w:t>
                </w:r>
              </w:sdtContent>
            </w:sdt>
          </w:p>
        </w:tc>
      </w:tr>
    </w:tbl>
    <w:p w14:paraId="4C44F1A9" w14:textId="77777777" w:rsidR="00957C8B" w:rsidRPr="003A0C5C" w:rsidRDefault="00957C8B" w:rsidP="00957C8B">
      <w:pPr>
        <w:pStyle w:val="TableNotes"/>
      </w:pPr>
    </w:p>
    <w:p w14:paraId="0BF7CE9E" w14:textId="77777777" w:rsidR="00957C8B" w:rsidRPr="003A0C5C" w:rsidRDefault="00957C8B" w:rsidP="00957C8B">
      <w:pPr>
        <w:pStyle w:val="Heading5"/>
      </w:pPr>
      <w:r w:rsidRPr="003A0C5C">
        <w:t>Discussion</w:t>
      </w:r>
    </w:p>
    <w:p w14:paraId="1BD68F6E" w14:textId="4B586BC2" w:rsidR="004F426E" w:rsidRPr="003A0C5C" w:rsidRDefault="004F426E" w:rsidP="0020432B">
      <w:pPr>
        <w:pStyle w:val="12spaceindent"/>
      </w:pPr>
      <w:r w:rsidRPr="003A0C5C">
        <w:t>a)</w:t>
      </w:r>
      <w:r w:rsidRPr="003A0C5C">
        <w:tab/>
        <w:t xml:space="preserve">As the </w:t>
      </w:r>
      <w:r w:rsidR="00766BB6" w:rsidRPr="003A0C5C">
        <w:t xml:space="preserve">proposed </w:t>
      </w:r>
      <w:r w:rsidRPr="003A0C5C">
        <w:t>project does not include residential uses, the</w:t>
      </w:r>
      <w:r w:rsidR="00766BB6" w:rsidRPr="003A0C5C">
        <w:t xml:space="preserve"> proposed</w:t>
      </w:r>
      <w:r w:rsidRPr="003A0C5C">
        <w:t xml:space="preserve"> project would not result in increased use of recreational facilities. </w:t>
      </w:r>
      <w:r w:rsidR="00A93CEC" w:rsidRPr="003A0C5C">
        <w:t xml:space="preserve">Project visitors are not anticipated to make use of the Perry Street Mini‐Park </w:t>
      </w:r>
      <w:r w:rsidR="00F1725C" w:rsidRPr="003A0C5C">
        <w:t>to an extent that would cause or accelerate its substantial physical deterioration.</w:t>
      </w:r>
      <w:r w:rsidR="00A93CEC" w:rsidRPr="003A0C5C">
        <w:t xml:space="preserve"> </w:t>
      </w:r>
      <w:r w:rsidRPr="003A0C5C">
        <w:t>Therefore, no impact</w:t>
      </w:r>
      <w:r w:rsidR="007E2B28" w:rsidRPr="003A0C5C">
        <w:t>s</w:t>
      </w:r>
      <w:r w:rsidRPr="003A0C5C">
        <w:t xml:space="preserve"> to neighborhood and regional parks or other recreational facilities would occur.</w:t>
      </w:r>
    </w:p>
    <w:p w14:paraId="6EC0585B" w14:textId="77777777" w:rsidR="00496C93" w:rsidRPr="003A0C5C" w:rsidRDefault="004F426E" w:rsidP="00496C93">
      <w:pPr>
        <w:pStyle w:val="12spaceindent"/>
      </w:pPr>
      <w:r w:rsidRPr="003A0C5C">
        <w:t>b)</w:t>
      </w:r>
      <w:r w:rsidRPr="003A0C5C">
        <w:tab/>
        <w:t xml:space="preserve">The proposed project would not include the construction or expansion of recreational facilities. </w:t>
      </w:r>
      <w:r w:rsidR="007E2B28" w:rsidRPr="003A0C5C">
        <w:t xml:space="preserve">In addition, the </w:t>
      </w:r>
      <w:r w:rsidR="00137B17" w:rsidRPr="003A0C5C">
        <w:t xml:space="preserve">proposed </w:t>
      </w:r>
      <w:r w:rsidR="007E2B28" w:rsidRPr="003A0C5C">
        <w:t xml:space="preserve">project does not include residential uses which would require the construction or expansion of recreation facilities. </w:t>
      </w:r>
      <w:r w:rsidRPr="003A0C5C">
        <w:t>Therefore, no impact</w:t>
      </w:r>
      <w:r w:rsidR="007E2B28" w:rsidRPr="003A0C5C">
        <w:t>s</w:t>
      </w:r>
      <w:r w:rsidRPr="003A0C5C">
        <w:t xml:space="preserve"> </w:t>
      </w:r>
      <w:r w:rsidR="007E2B28" w:rsidRPr="003A0C5C">
        <w:t xml:space="preserve">related to the adverse physical effect on the environment due to the construction or expansion of recreation facilities </w:t>
      </w:r>
      <w:r w:rsidRPr="003A0C5C">
        <w:t>would occur.</w:t>
      </w:r>
    </w:p>
    <w:p w14:paraId="640A8A07" w14:textId="77777777" w:rsidR="00496C93" w:rsidRPr="003A0C5C" w:rsidRDefault="00496C93" w:rsidP="00496C93">
      <w:pPr>
        <w:pStyle w:val="12spaceindent"/>
        <w:keepNext/>
        <w:spacing w:after="120"/>
        <w:ind w:left="0" w:firstLine="0"/>
        <w:rPr>
          <w:highlight w:val="yellow"/>
        </w:rPr>
      </w:pPr>
    </w:p>
    <w:p w14:paraId="34FED823" w14:textId="77777777" w:rsidR="002B6967" w:rsidRPr="003A0C5C" w:rsidRDefault="002B6967" w:rsidP="002B6967">
      <w:pPr>
        <w:pStyle w:val="ImpactSectionEnd"/>
        <w:rPr>
          <w:highlight w:val="yellow"/>
        </w:rPr>
      </w:pPr>
    </w:p>
    <w:p w14:paraId="2FB689BD" w14:textId="77777777" w:rsidR="002B6967" w:rsidRPr="003A0C5C" w:rsidRDefault="002B6967" w:rsidP="002B6967">
      <w:pPr>
        <w:rPr>
          <w:highlight w:val="yellow"/>
        </w:rPr>
      </w:pPr>
      <w:r w:rsidRPr="003A0C5C">
        <w:rPr>
          <w:highlight w:val="yellow"/>
        </w:rPr>
        <w:br w:type="page"/>
      </w:r>
    </w:p>
    <w:p w14:paraId="57B2A189" w14:textId="322BE056" w:rsidR="004F426E" w:rsidRPr="003A0C5C" w:rsidRDefault="008B0DDC" w:rsidP="008B0DDC">
      <w:pPr>
        <w:pStyle w:val="Heading4"/>
      </w:pPr>
      <w:bookmarkStart w:id="114" w:name="_Toc101791996"/>
      <w:r w:rsidRPr="003A0C5C">
        <w:t>XVII.</w:t>
      </w:r>
      <w:r w:rsidRPr="003A0C5C">
        <w:tab/>
      </w:r>
      <w:r w:rsidR="004F426E" w:rsidRPr="003A0C5C">
        <w:t>Transportation</w:t>
      </w:r>
      <w:bookmarkEnd w:id="114"/>
    </w:p>
    <w:tbl>
      <w:tblPr>
        <w:tblW w:w="0" w:type="auto"/>
        <w:tblCellMar>
          <w:left w:w="86" w:type="dxa"/>
          <w:right w:w="86" w:type="dxa"/>
        </w:tblCellMar>
        <w:tblLook w:val="0000" w:firstRow="0" w:lastRow="0" w:firstColumn="0" w:lastColumn="0" w:noHBand="0" w:noVBand="0"/>
      </w:tblPr>
      <w:tblGrid>
        <w:gridCol w:w="5088"/>
        <w:gridCol w:w="888"/>
        <w:gridCol w:w="1152"/>
        <w:gridCol w:w="888"/>
        <w:gridCol w:w="624"/>
      </w:tblGrid>
      <w:tr w:rsidR="003A0C5C" w:rsidRPr="003A0C5C" w14:paraId="08DF16EB" w14:textId="77777777" w:rsidTr="00F07065">
        <w:trPr>
          <w:cantSplit/>
          <w:tblHeader/>
        </w:trPr>
        <w:tc>
          <w:tcPr>
            <w:tcW w:w="0" w:type="auto"/>
            <w:vAlign w:val="bottom"/>
          </w:tcPr>
          <w:p w14:paraId="16032E34" w14:textId="77777777" w:rsidR="00DA7FB4" w:rsidRPr="003A0C5C" w:rsidRDefault="00DA7FB4" w:rsidP="00F07065">
            <w:pPr>
              <w:keepNext/>
              <w:pBdr>
                <w:bottom w:val="single" w:sz="4" w:space="1" w:color="auto"/>
              </w:pBdr>
              <w:spacing w:before="60" w:after="60"/>
              <w:ind w:left="540" w:hanging="540"/>
              <w:rPr>
                <w:rFonts w:ascii="Arial" w:hAnsi="Arial" w:cs="Arial"/>
                <w:b/>
                <w:i/>
                <w:sz w:val="14"/>
                <w:szCs w:val="16"/>
              </w:rPr>
            </w:pPr>
            <w:r w:rsidRPr="003A0C5C">
              <w:rPr>
                <w:rFonts w:ascii="Arial" w:hAnsi="Arial" w:cs="Arial"/>
                <w:b/>
                <w:i/>
                <w:sz w:val="14"/>
                <w:szCs w:val="16"/>
              </w:rPr>
              <w:t>Issues (and Supporting Information Sources)</w:t>
            </w:r>
          </w:p>
        </w:tc>
        <w:tc>
          <w:tcPr>
            <w:tcW w:w="0" w:type="auto"/>
            <w:vAlign w:val="bottom"/>
          </w:tcPr>
          <w:p w14:paraId="131030D9" w14:textId="77777777" w:rsidR="00DA7FB4" w:rsidRPr="003A0C5C" w:rsidRDefault="00DA7FB4" w:rsidP="00F07065">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Potentially</w:t>
            </w:r>
            <w:r w:rsidRPr="003A0C5C">
              <w:rPr>
                <w:rFonts w:ascii="Arial" w:hAnsi="Arial" w:cs="Arial"/>
                <w:b/>
                <w:i/>
                <w:sz w:val="14"/>
                <w:szCs w:val="16"/>
              </w:rPr>
              <w:br/>
              <w:t>Significant</w:t>
            </w:r>
            <w:r w:rsidRPr="003A0C5C">
              <w:rPr>
                <w:rFonts w:ascii="Arial" w:hAnsi="Arial" w:cs="Arial"/>
                <w:b/>
                <w:i/>
                <w:sz w:val="14"/>
                <w:szCs w:val="16"/>
              </w:rPr>
              <w:br/>
              <w:t>Impact</w:t>
            </w:r>
          </w:p>
        </w:tc>
        <w:tc>
          <w:tcPr>
            <w:tcW w:w="0" w:type="auto"/>
            <w:vAlign w:val="bottom"/>
          </w:tcPr>
          <w:p w14:paraId="6F2EB1E5" w14:textId="77777777" w:rsidR="00DA7FB4" w:rsidRPr="003A0C5C" w:rsidRDefault="00DA7FB4" w:rsidP="00F07065">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Less than</w:t>
            </w:r>
            <w:r w:rsidRPr="003A0C5C">
              <w:rPr>
                <w:rFonts w:ascii="Arial" w:hAnsi="Arial" w:cs="Arial"/>
                <w:b/>
                <w:i/>
                <w:sz w:val="14"/>
                <w:szCs w:val="16"/>
              </w:rPr>
              <w:br/>
              <w:t>Significant</w:t>
            </w:r>
            <w:r w:rsidRPr="003A0C5C">
              <w:rPr>
                <w:rFonts w:ascii="Arial" w:hAnsi="Arial" w:cs="Arial"/>
                <w:b/>
                <w:i/>
                <w:sz w:val="14"/>
                <w:szCs w:val="16"/>
              </w:rPr>
              <w:br/>
              <w:t>with Mitigation</w:t>
            </w:r>
            <w:r w:rsidRPr="003A0C5C">
              <w:rPr>
                <w:rFonts w:ascii="Arial" w:hAnsi="Arial" w:cs="Arial"/>
                <w:b/>
                <w:i/>
                <w:sz w:val="14"/>
                <w:szCs w:val="16"/>
              </w:rPr>
              <w:br/>
              <w:t>Incorporated</w:t>
            </w:r>
          </w:p>
        </w:tc>
        <w:tc>
          <w:tcPr>
            <w:tcW w:w="0" w:type="auto"/>
            <w:vAlign w:val="bottom"/>
          </w:tcPr>
          <w:p w14:paraId="6D6B9FD1" w14:textId="77777777" w:rsidR="00DA7FB4" w:rsidRPr="003A0C5C" w:rsidRDefault="00DA7FB4" w:rsidP="00F07065">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Less-than-</w:t>
            </w:r>
            <w:r w:rsidRPr="003A0C5C">
              <w:rPr>
                <w:rFonts w:ascii="Arial" w:hAnsi="Arial" w:cs="Arial"/>
                <w:b/>
                <w:i/>
                <w:sz w:val="14"/>
                <w:szCs w:val="16"/>
              </w:rPr>
              <w:br/>
              <w:t>Significant</w:t>
            </w:r>
            <w:r w:rsidRPr="003A0C5C">
              <w:rPr>
                <w:rFonts w:ascii="Arial" w:hAnsi="Arial" w:cs="Arial"/>
                <w:b/>
                <w:i/>
                <w:sz w:val="14"/>
                <w:szCs w:val="16"/>
              </w:rPr>
              <w:br/>
              <w:t>Impact</w:t>
            </w:r>
          </w:p>
        </w:tc>
        <w:tc>
          <w:tcPr>
            <w:tcW w:w="0" w:type="auto"/>
            <w:vAlign w:val="bottom"/>
          </w:tcPr>
          <w:p w14:paraId="54DEF80E" w14:textId="77777777" w:rsidR="00DA7FB4" w:rsidRPr="003A0C5C" w:rsidRDefault="00DA7FB4" w:rsidP="00F07065">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No</w:t>
            </w:r>
            <w:r w:rsidRPr="003A0C5C">
              <w:rPr>
                <w:rFonts w:ascii="Arial" w:hAnsi="Arial" w:cs="Arial"/>
                <w:b/>
                <w:i/>
                <w:sz w:val="14"/>
                <w:szCs w:val="16"/>
              </w:rPr>
              <w:br/>
              <w:t>Impact</w:t>
            </w:r>
          </w:p>
        </w:tc>
      </w:tr>
      <w:tr w:rsidR="003A0C5C" w:rsidRPr="003A0C5C" w14:paraId="3BE1124E" w14:textId="77777777" w:rsidTr="00F07065">
        <w:trPr>
          <w:cantSplit/>
        </w:trPr>
        <w:tc>
          <w:tcPr>
            <w:tcW w:w="0" w:type="auto"/>
          </w:tcPr>
          <w:p w14:paraId="717EE313" w14:textId="1DEEAFC4" w:rsidR="00DA7FB4" w:rsidRPr="003A0C5C" w:rsidRDefault="00DA7FB4" w:rsidP="00DA7FB4">
            <w:pPr>
              <w:pStyle w:val="Tabletextnumber"/>
              <w:keepNext/>
              <w:ind w:left="504" w:hanging="504"/>
              <w:rPr>
                <w:rStyle w:val="Bold"/>
              </w:rPr>
            </w:pPr>
            <w:r w:rsidRPr="003A0C5C">
              <w:rPr>
                <w:rStyle w:val="Bold"/>
              </w:rPr>
              <w:t>XVII.</w:t>
            </w:r>
            <w:r w:rsidRPr="003A0C5C">
              <w:rPr>
                <w:rStyle w:val="Bold"/>
              </w:rPr>
              <w:tab/>
              <w:t>TRANSPORTATION</w:t>
            </w:r>
            <w:r w:rsidRPr="003A0C5C">
              <w:t>—Would the project:</w:t>
            </w:r>
          </w:p>
        </w:tc>
        <w:tc>
          <w:tcPr>
            <w:tcW w:w="0" w:type="auto"/>
          </w:tcPr>
          <w:p w14:paraId="2BDA4877" w14:textId="77777777" w:rsidR="00DA7FB4" w:rsidRPr="003A0C5C" w:rsidRDefault="00DA7FB4" w:rsidP="00F07065">
            <w:pPr>
              <w:pStyle w:val="Checklist"/>
            </w:pPr>
          </w:p>
        </w:tc>
        <w:tc>
          <w:tcPr>
            <w:tcW w:w="0" w:type="auto"/>
          </w:tcPr>
          <w:p w14:paraId="701ABABE" w14:textId="77777777" w:rsidR="00DA7FB4" w:rsidRPr="003A0C5C" w:rsidRDefault="00DA7FB4" w:rsidP="00F07065">
            <w:pPr>
              <w:pStyle w:val="Checklist"/>
            </w:pPr>
          </w:p>
        </w:tc>
        <w:tc>
          <w:tcPr>
            <w:tcW w:w="0" w:type="auto"/>
          </w:tcPr>
          <w:p w14:paraId="4C7B1018" w14:textId="77777777" w:rsidR="00DA7FB4" w:rsidRPr="003A0C5C" w:rsidRDefault="00DA7FB4" w:rsidP="00F07065">
            <w:pPr>
              <w:pStyle w:val="Checklist"/>
            </w:pPr>
          </w:p>
        </w:tc>
        <w:tc>
          <w:tcPr>
            <w:tcW w:w="0" w:type="auto"/>
          </w:tcPr>
          <w:p w14:paraId="28255956" w14:textId="77777777" w:rsidR="00DA7FB4" w:rsidRPr="003A0C5C" w:rsidRDefault="00DA7FB4" w:rsidP="00F07065">
            <w:pPr>
              <w:pStyle w:val="Checklist"/>
            </w:pPr>
          </w:p>
        </w:tc>
      </w:tr>
      <w:tr w:rsidR="003A0C5C" w:rsidRPr="003A0C5C" w14:paraId="75A61CC2" w14:textId="77777777" w:rsidTr="00F07065">
        <w:trPr>
          <w:cantSplit/>
        </w:trPr>
        <w:tc>
          <w:tcPr>
            <w:tcW w:w="0" w:type="auto"/>
          </w:tcPr>
          <w:p w14:paraId="448820EA" w14:textId="128C93E3" w:rsidR="00DA7FB4" w:rsidRPr="003A0C5C" w:rsidRDefault="00DA7FB4" w:rsidP="00DA7FB4">
            <w:pPr>
              <w:pStyle w:val="Tabletextnumber"/>
            </w:pPr>
            <w:r w:rsidRPr="003A0C5C">
              <w:rPr>
                <w:rFonts w:cs="Arial"/>
                <w:szCs w:val="16"/>
              </w:rPr>
              <w:t>a)</w:t>
            </w:r>
            <w:r w:rsidRPr="003A0C5C">
              <w:rPr>
                <w:rFonts w:cs="Arial"/>
                <w:szCs w:val="16"/>
              </w:rPr>
              <w:tab/>
              <w:t>Conflict with a program plan, ordinance or policy addressing the circulation system, including transit, roadway, bicycle and pedestrian facilities?</w:t>
            </w:r>
          </w:p>
        </w:tc>
        <w:tc>
          <w:tcPr>
            <w:tcW w:w="0" w:type="auto"/>
          </w:tcPr>
          <w:p w14:paraId="35637E09" w14:textId="77777777" w:rsidR="00DA7FB4" w:rsidRPr="003A0C5C" w:rsidRDefault="002348BC" w:rsidP="00DA7FB4">
            <w:pPr>
              <w:pStyle w:val="Checklist"/>
            </w:pPr>
            <w:sdt>
              <w:sdtPr>
                <w:id w:val="-2110421229"/>
                <w14:checkbox>
                  <w14:checked w14:val="0"/>
                  <w14:checkedState w14:val="2612" w14:font="MS Gothic"/>
                  <w14:uncheckedState w14:val="2610" w14:font="MS Gothic"/>
                </w14:checkbox>
              </w:sdtPr>
              <w:sdtEndPr/>
              <w:sdtContent>
                <w:r w:rsidR="00DA7FB4" w:rsidRPr="003A0C5C">
                  <w:t>☐</w:t>
                </w:r>
              </w:sdtContent>
            </w:sdt>
          </w:p>
        </w:tc>
        <w:tc>
          <w:tcPr>
            <w:tcW w:w="0" w:type="auto"/>
          </w:tcPr>
          <w:p w14:paraId="44E6EE9E" w14:textId="77777777" w:rsidR="00DA7FB4" w:rsidRPr="003A0C5C" w:rsidRDefault="002348BC" w:rsidP="00DA7FB4">
            <w:pPr>
              <w:pStyle w:val="Checklist"/>
              <w:rPr>
                <w:sz w:val="20"/>
              </w:rPr>
            </w:pPr>
            <w:sdt>
              <w:sdtPr>
                <w:id w:val="843596815"/>
                <w14:checkbox>
                  <w14:checked w14:val="0"/>
                  <w14:checkedState w14:val="2612" w14:font="MS Gothic"/>
                  <w14:uncheckedState w14:val="2610" w14:font="MS Gothic"/>
                </w14:checkbox>
              </w:sdtPr>
              <w:sdtEndPr/>
              <w:sdtContent>
                <w:r w:rsidR="00DA7FB4" w:rsidRPr="003A0C5C">
                  <w:t>☐</w:t>
                </w:r>
              </w:sdtContent>
            </w:sdt>
          </w:p>
        </w:tc>
        <w:tc>
          <w:tcPr>
            <w:tcW w:w="0" w:type="auto"/>
          </w:tcPr>
          <w:p w14:paraId="6A5D0AF2" w14:textId="27205BE4" w:rsidR="00DA7FB4" w:rsidRPr="003A0C5C" w:rsidRDefault="002348BC" w:rsidP="00DA7FB4">
            <w:pPr>
              <w:pStyle w:val="Checklist"/>
              <w:rPr>
                <w:sz w:val="20"/>
              </w:rPr>
            </w:pPr>
            <w:sdt>
              <w:sdtPr>
                <w:id w:val="1343275207"/>
                <w14:checkbox>
                  <w14:checked w14:val="1"/>
                  <w14:checkedState w14:val="2612" w14:font="MS Gothic"/>
                  <w14:uncheckedState w14:val="2610" w14:font="MS Gothic"/>
                </w14:checkbox>
              </w:sdtPr>
              <w:sdtEndPr/>
              <w:sdtContent>
                <w:r w:rsidR="00DA7FB4" w:rsidRPr="003A0C5C">
                  <w:rPr>
                    <w:rFonts w:hint="eastAsia"/>
                  </w:rPr>
                  <w:t>☒</w:t>
                </w:r>
              </w:sdtContent>
            </w:sdt>
          </w:p>
        </w:tc>
        <w:tc>
          <w:tcPr>
            <w:tcW w:w="0" w:type="auto"/>
          </w:tcPr>
          <w:p w14:paraId="0E79E72B" w14:textId="6C5D02AA" w:rsidR="00DA7FB4" w:rsidRPr="003A0C5C" w:rsidRDefault="002348BC" w:rsidP="00DA7FB4">
            <w:pPr>
              <w:pStyle w:val="Checklist"/>
              <w:rPr>
                <w:sz w:val="20"/>
              </w:rPr>
            </w:pPr>
            <w:sdt>
              <w:sdtPr>
                <w:id w:val="-161168180"/>
                <w14:checkbox>
                  <w14:checked w14:val="0"/>
                  <w14:checkedState w14:val="2612" w14:font="MS Gothic"/>
                  <w14:uncheckedState w14:val="2610" w14:font="MS Gothic"/>
                </w14:checkbox>
              </w:sdtPr>
              <w:sdtEndPr/>
              <w:sdtContent>
                <w:r w:rsidR="00DA7FB4" w:rsidRPr="003A0C5C">
                  <w:rPr>
                    <w:rFonts w:hint="eastAsia"/>
                  </w:rPr>
                  <w:t>☐</w:t>
                </w:r>
              </w:sdtContent>
            </w:sdt>
          </w:p>
        </w:tc>
      </w:tr>
      <w:tr w:rsidR="003A0C5C" w:rsidRPr="003A0C5C" w14:paraId="45AC6A2F" w14:textId="77777777" w:rsidTr="00F07065">
        <w:trPr>
          <w:cantSplit/>
        </w:trPr>
        <w:tc>
          <w:tcPr>
            <w:tcW w:w="0" w:type="auto"/>
          </w:tcPr>
          <w:p w14:paraId="00AA2AE7" w14:textId="2E7267EA" w:rsidR="00DA7FB4" w:rsidRPr="003A0C5C" w:rsidRDefault="00DA7FB4" w:rsidP="00DA7FB4">
            <w:pPr>
              <w:pStyle w:val="Tabletextnumber"/>
            </w:pPr>
            <w:r w:rsidRPr="003A0C5C">
              <w:rPr>
                <w:rFonts w:cs="Arial"/>
                <w:szCs w:val="16"/>
              </w:rPr>
              <w:t>b)</w:t>
            </w:r>
            <w:r w:rsidRPr="003A0C5C">
              <w:rPr>
                <w:rFonts w:cs="Arial"/>
                <w:szCs w:val="16"/>
              </w:rPr>
              <w:tab/>
              <w:t xml:space="preserve">Would the project conflict or be inconsistent with CEQA Guidelines </w:t>
            </w:r>
            <w:r w:rsidR="00356D58" w:rsidRPr="003A0C5C">
              <w:rPr>
                <w:rFonts w:cs="Arial"/>
                <w:szCs w:val="16"/>
              </w:rPr>
              <w:t>Section </w:t>
            </w:r>
            <w:r w:rsidRPr="003A0C5C">
              <w:rPr>
                <w:rFonts w:cs="Arial"/>
                <w:szCs w:val="16"/>
              </w:rPr>
              <w:t xml:space="preserve">15064.3, </w:t>
            </w:r>
            <w:r w:rsidR="00CD2E2E" w:rsidRPr="003A0C5C">
              <w:rPr>
                <w:rFonts w:cs="Arial"/>
                <w:szCs w:val="16"/>
              </w:rPr>
              <w:t>subdivision </w:t>
            </w:r>
            <w:r w:rsidRPr="003A0C5C">
              <w:rPr>
                <w:rFonts w:cs="Arial"/>
                <w:szCs w:val="16"/>
              </w:rPr>
              <w:t>(b)?</w:t>
            </w:r>
          </w:p>
        </w:tc>
        <w:tc>
          <w:tcPr>
            <w:tcW w:w="0" w:type="auto"/>
          </w:tcPr>
          <w:p w14:paraId="1B3C8D1A" w14:textId="77777777" w:rsidR="00DA7FB4" w:rsidRPr="003A0C5C" w:rsidRDefault="002348BC" w:rsidP="00DA7FB4">
            <w:pPr>
              <w:pStyle w:val="Checklist"/>
              <w:rPr>
                <w:sz w:val="20"/>
              </w:rPr>
            </w:pPr>
            <w:sdt>
              <w:sdtPr>
                <w:id w:val="756864937"/>
                <w14:checkbox>
                  <w14:checked w14:val="0"/>
                  <w14:checkedState w14:val="2612" w14:font="MS Gothic"/>
                  <w14:uncheckedState w14:val="2610" w14:font="MS Gothic"/>
                </w14:checkbox>
              </w:sdtPr>
              <w:sdtEndPr/>
              <w:sdtContent>
                <w:r w:rsidR="00DA7FB4" w:rsidRPr="003A0C5C">
                  <w:t>☐</w:t>
                </w:r>
              </w:sdtContent>
            </w:sdt>
          </w:p>
        </w:tc>
        <w:tc>
          <w:tcPr>
            <w:tcW w:w="0" w:type="auto"/>
          </w:tcPr>
          <w:p w14:paraId="7CFDE639" w14:textId="77777777" w:rsidR="00DA7FB4" w:rsidRPr="003A0C5C" w:rsidRDefault="002348BC" w:rsidP="00DA7FB4">
            <w:pPr>
              <w:pStyle w:val="Checklist"/>
              <w:rPr>
                <w:sz w:val="20"/>
              </w:rPr>
            </w:pPr>
            <w:sdt>
              <w:sdtPr>
                <w:id w:val="-757125963"/>
                <w14:checkbox>
                  <w14:checked w14:val="0"/>
                  <w14:checkedState w14:val="2612" w14:font="MS Gothic"/>
                  <w14:uncheckedState w14:val="2610" w14:font="MS Gothic"/>
                </w14:checkbox>
              </w:sdtPr>
              <w:sdtEndPr/>
              <w:sdtContent>
                <w:r w:rsidR="00DA7FB4" w:rsidRPr="003A0C5C">
                  <w:t>☐</w:t>
                </w:r>
              </w:sdtContent>
            </w:sdt>
          </w:p>
        </w:tc>
        <w:tc>
          <w:tcPr>
            <w:tcW w:w="0" w:type="auto"/>
          </w:tcPr>
          <w:p w14:paraId="337624DD" w14:textId="431C05C9" w:rsidR="00DA7FB4" w:rsidRPr="003A0C5C" w:rsidRDefault="002348BC" w:rsidP="00DA7FB4">
            <w:pPr>
              <w:pStyle w:val="Checklist"/>
              <w:rPr>
                <w:sz w:val="20"/>
              </w:rPr>
            </w:pPr>
            <w:sdt>
              <w:sdtPr>
                <w:id w:val="1861622978"/>
                <w14:checkbox>
                  <w14:checked w14:val="1"/>
                  <w14:checkedState w14:val="2612" w14:font="MS Gothic"/>
                  <w14:uncheckedState w14:val="2610" w14:font="MS Gothic"/>
                </w14:checkbox>
              </w:sdtPr>
              <w:sdtEndPr/>
              <w:sdtContent>
                <w:r w:rsidR="00E20D57" w:rsidRPr="003A0C5C">
                  <w:rPr>
                    <w:rFonts w:hint="eastAsia"/>
                  </w:rPr>
                  <w:t>☒</w:t>
                </w:r>
              </w:sdtContent>
            </w:sdt>
          </w:p>
        </w:tc>
        <w:tc>
          <w:tcPr>
            <w:tcW w:w="0" w:type="auto"/>
          </w:tcPr>
          <w:p w14:paraId="5670EFCD" w14:textId="01FFA5AF" w:rsidR="00DA7FB4" w:rsidRPr="003A0C5C" w:rsidRDefault="002348BC" w:rsidP="00DA7FB4">
            <w:pPr>
              <w:pStyle w:val="Checklist"/>
              <w:rPr>
                <w:sz w:val="20"/>
              </w:rPr>
            </w:pPr>
            <w:sdt>
              <w:sdtPr>
                <w:id w:val="-1877843990"/>
                <w14:checkbox>
                  <w14:checked w14:val="0"/>
                  <w14:checkedState w14:val="2612" w14:font="MS Gothic"/>
                  <w14:uncheckedState w14:val="2610" w14:font="MS Gothic"/>
                </w14:checkbox>
              </w:sdtPr>
              <w:sdtEndPr/>
              <w:sdtContent>
                <w:r w:rsidR="00E20D57" w:rsidRPr="003A0C5C">
                  <w:rPr>
                    <w:rFonts w:hint="eastAsia"/>
                  </w:rPr>
                  <w:t>☐</w:t>
                </w:r>
              </w:sdtContent>
            </w:sdt>
          </w:p>
        </w:tc>
      </w:tr>
      <w:tr w:rsidR="003A0C5C" w:rsidRPr="003A0C5C" w14:paraId="6D429366" w14:textId="77777777" w:rsidTr="00F07065">
        <w:trPr>
          <w:cantSplit/>
        </w:trPr>
        <w:tc>
          <w:tcPr>
            <w:tcW w:w="0" w:type="auto"/>
          </w:tcPr>
          <w:p w14:paraId="02725755" w14:textId="79B2086C" w:rsidR="00DA7FB4" w:rsidRPr="003A0C5C" w:rsidRDefault="00DA7FB4" w:rsidP="00DA7FB4">
            <w:pPr>
              <w:pStyle w:val="Tabletextnumber"/>
            </w:pPr>
            <w:r w:rsidRPr="003A0C5C">
              <w:rPr>
                <w:rFonts w:cs="Arial"/>
                <w:szCs w:val="16"/>
              </w:rPr>
              <w:t>c)</w:t>
            </w:r>
            <w:r w:rsidRPr="003A0C5C">
              <w:rPr>
                <w:rFonts w:cs="Arial"/>
                <w:szCs w:val="16"/>
              </w:rPr>
              <w:tab/>
              <w:t>Substantially increase hazards due to a geometric design feature (e.g., sharp curves or dangerous intersections) or incompatible uses (e.g., farm equipment)?</w:t>
            </w:r>
          </w:p>
        </w:tc>
        <w:tc>
          <w:tcPr>
            <w:tcW w:w="0" w:type="auto"/>
          </w:tcPr>
          <w:p w14:paraId="778D0B94" w14:textId="77777777" w:rsidR="00DA7FB4" w:rsidRPr="003A0C5C" w:rsidRDefault="002348BC" w:rsidP="00DA7FB4">
            <w:pPr>
              <w:pStyle w:val="Checklist"/>
              <w:rPr>
                <w:sz w:val="20"/>
              </w:rPr>
            </w:pPr>
            <w:sdt>
              <w:sdtPr>
                <w:id w:val="-161703412"/>
                <w14:checkbox>
                  <w14:checked w14:val="0"/>
                  <w14:checkedState w14:val="2612" w14:font="MS Gothic"/>
                  <w14:uncheckedState w14:val="2610" w14:font="MS Gothic"/>
                </w14:checkbox>
              </w:sdtPr>
              <w:sdtEndPr/>
              <w:sdtContent>
                <w:r w:rsidR="00DA7FB4" w:rsidRPr="003A0C5C">
                  <w:t>☐</w:t>
                </w:r>
              </w:sdtContent>
            </w:sdt>
          </w:p>
        </w:tc>
        <w:tc>
          <w:tcPr>
            <w:tcW w:w="0" w:type="auto"/>
          </w:tcPr>
          <w:p w14:paraId="79021357" w14:textId="77777777" w:rsidR="00DA7FB4" w:rsidRPr="003A0C5C" w:rsidRDefault="002348BC" w:rsidP="00DA7FB4">
            <w:pPr>
              <w:pStyle w:val="Checklist"/>
              <w:rPr>
                <w:sz w:val="20"/>
              </w:rPr>
            </w:pPr>
            <w:sdt>
              <w:sdtPr>
                <w:id w:val="564377648"/>
                <w14:checkbox>
                  <w14:checked w14:val="0"/>
                  <w14:checkedState w14:val="2612" w14:font="MS Gothic"/>
                  <w14:uncheckedState w14:val="2610" w14:font="MS Gothic"/>
                </w14:checkbox>
              </w:sdtPr>
              <w:sdtEndPr/>
              <w:sdtContent>
                <w:r w:rsidR="00DA7FB4" w:rsidRPr="003A0C5C">
                  <w:t>☐</w:t>
                </w:r>
              </w:sdtContent>
            </w:sdt>
          </w:p>
        </w:tc>
        <w:tc>
          <w:tcPr>
            <w:tcW w:w="0" w:type="auto"/>
          </w:tcPr>
          <w:p w14:paraId="5FACFAFF" w14:textId="40168FFE" w:rsidR="00DA7FB4" w:rsidRPr="003A0C5C" w:rsidRDefault="002348BC" w:rsidP="00DA7FB4">
            <w:pPr>
              <w:pStyle w:val="Checklist"/>
              <w:rPr>
                <w:sz w:val="20"/>
              </w:rPr>
            </w:pPr>
            <w:sdt>
              <w:sdtPr>
                <w:id w:val="1719780777"/>
                <w14:checkbox>
                  <w14:checked w14:val="1"/>
                  <w14:checkedState w14:val="2612" w14:font="MS Gothic"/>
                  <w14:uncheckedState w14:val="2610" w14:font="MS Gothic"/>
                </w14:checkbox>
              </w:sdtPr>
              <w:sdtEndPr/>
              <w:sdtContent>
                <w:r w:rsidR="00DA7FB4" w:rsidRPr="003A0C5C">
                  <w:rPr>
                    <w:rFonts w:hint="eastAsia"/>
                  </w:rPr>
                  <w:t>☒</w:t>
                </w:r>
              </w:sdtContent>
            </w:sdt>
          </w:p>
        </w:tc>
        <w:tc>
          <w:tcPr>
            <w:tcW w:w="0" w:type="auto"/>
          </w:tcPr>
          <w:p w14:paraId="0A25F55C" w14:textId="6DB1D0D1" w:rsidR="00DA7FB4" w:rsidRPr="003A0C5C" w:rsidRDefault="002348BC" w:rsidP="00DA7FB4">
            <w:pPr>
              <w:pStyle w:val="Checklist"/>
              <w:rPr>
                <w:sz w:val="20"/>
              </w:rPr>
            </w:pPr>
            <w:sdt>
              <w:sdtPr>
                <w:id w:val="1031152540"/>
                <w14:checkbox>
                  <w14:checked w14:val="0"/>
                  <w14:checkedState w14:val="2612" w14:font="MS Gothic"/>
                  <w14:uncheckedState w14:val="2610" w14:font="MS Gothic"/>
                </w14:checkbox>
              </w:sdtPr>
              <w:sdtEndPr/>
              <w:sdtContent>
                <w:r w:rsidR="00DA7FB4" w:rsidRPr="003A0C5C">
                  <w:rPr>
                    <w:rFonts w:hint="eastAsia"/>
                  </w:rPr>
                  <w:t>☐</w:t>
                </w:r>
              </w:sdtContent>
            </w:sdt>
          </w:p>
        </w:tc>
      </w:tr>
      <w:tr w:rsidR="00DA7FB4" w:rsidRPr="003A0C5C" w14:paraId="10FE7768" w14:textId="77777777" w:rsidTr="00F07065">
        <w:trPr>
          <w:cantSplit/>
        </w:trPr>
        <w:tc>
          <w:tcPr>
            <w:tcW w:w="0" w:type="auto"/>
          </w:tcPr>
          <w:p w14:paraId="2E1DAD1D" w14:textId="4016E1C7" w:rsidR="00DA7FB4" w:rsidRPr="003A0C5C" w:rsidRDefault="00DA7FB4" w:rsidP="00DA7FB4">
            <w:pPr>
              <w:pStyle w:val="Tabletextnumber"/>
            </w:pPr>
            <w:r w:rsidRPr="003A0C5C">
              <w:rPr>
                <w:rFonts w:cs="Arial"/>
                <w:szCs w:val="16"/>
              </w:rPr>
              <w:t>d)</w:t>
            </w:r>
            <w:r w:rsidRPr="003A0C5C">
              <w:rPr>
                <w:rFonts w:cs="Arial"/>
                <w:szCs w:val="16"/>
              </w:rPr>
              <w:tab/>
              <w:t>Result in inadequate emergency access?</w:t>
            </w:r>
          </w:p>
        </w:tc>
        <w:tc>
          <w:tcPr>
            <w:tcW w:w="0" w:type="auto"/>
          </w:tcPr>
          <w:p w14:paraId="4386EB28" w14:textId="77777777" w:rsidR="00DA7FB4" w:rsidRPr="003A0C5C" w:rsidRDefault="002348BC" w:rsidP="00DA7FB4">
            <w:pPr>
              <w:pStyle w:val="Checklist"/>
              <w:rPr>
                <w:sz w:val="20"/>
              </w:rPr>
            </w:pPr>
            <w:sdt>
              <w:sdtPr>
                <w:id w:val="1863399999"/>
                <w14:checkbox>
                  <w14:checked w14:val="0"/>
                  <w14:checkedState w14:val="2612" w14:font="MS Gothic"/>
                  <w14:uncheckedState w14:val="2610" w14:font="MS Gothic"/>
                </w14:checkbox>
              </w:sdtPr>
              <w:sdtEndPr/>
              <w:sdtContent>
                <w:r w:rsidR="00DA7FB4" w:rsidRPr="003A0C5C">
                  <w:t>☐</w:t>
                </w:r>
              </w:sdtContent>
            </w:sdt>
          </w:p>
        </w:tc>
        <w:tc>
          <w:tcPr>
            <w:tcW w:w="0" w:type="auto"/>
          </w:tcPr>
          <w:p w14:paraId="29F82B29" w14:textId="77777777" w:rsidR="00DA7FB4" w:rsidRPr="003A0C5C" w:rsidRDefault="002348BC" w:rsidP="00DA7FB4">
            <w:pPr>
              <w:pStyle w:val="Checklist"/>
              <w:rPr>
                <w:sz w:val="20"/>
              </w:rPr>
            </w:pPr>
            <w:sdt>
              <w:sdtPr>
                <w:id w:val="-931193299"/>
                <w14:checkbox>
                  <w14:checked w14:val="0"/>
                  <w14:checkedState w14:val="2612" w14:font="MS Gothic"/>
                  <w14:uncheckedState w14:val="2610" w14:font="MS Gothic"/>
                </w14:checkbox>
              </w:sdtPr>
              <w:sdtEndPr/>
              <w:sdtContent>
                <w:r w:rsidR="00DA7FB4" w:rsidRPr="003A0C5C">
                  <w:t>☐</w:t>
                </w:r>
              </w:sdtContent>
            </w:sdt>
          </w:p>
        </w:tc>
        <w:tc>
          <w:tcPr>
            <w:tcW w:w="0" w:type="auto"/>
          </w:tcPr>
          <w:p w14:paraId="309C7E44" w14:textId="77777777" w:rsidR="00DA7FB4" w:rsidRPr="003A0C5C" w:rsidRDefault="002348BC" w:rsidP="00DA7FB4">
            <w:pPr>
              <w:pStyle w:val="Checklist"/>
              <w:rPr>
                <w:sz w:val="20"/>
              </w:rPr>
            </w:pPr>
            <w:sdt>
              <w:sdtPr>
                <w:id w:val="-303318494"/>
                <w14:checkbox>
                  <w14:checked w14:val="1"/>
                  <w14:checkedState w14:val="2612" w14:font="MS Gothic"/>
                  <w14:uncheckedState w14:val="2610" w14:font="MS Gothic"/>
                </w14:checkbox>
              </w:sdtPr>
              <w:sdtEndPr/>
              <w:sdtContent>
                <w:r w:rsidR="00DA7FB4" w:rsidRPr="003A0C5C">
                  <w:rPr>
                    <w:rFonts w:hint="eastAsia"/>
                  </w:rPr>
                  <w:t>☒</w:t>
                </w:r>
              </w:sdtContent>
            </w:sdt>
          </w:p>
        </w:tc>
        <w:tc>
          <w:tcPr>
            <w:tcW w:w="0" w:type="auto"/>
          </w:tcPr>
          <w:p w14:paraId="7EA4BD48" w14:textId="77777777" w:rsidR="00DA7FB4" w:rsidRPr="003A0C5C" w:rsidRDefault="002348BC" w:rsidP="00DA7FB4">
            <w:pPr>
              <w:pStyle w:val="Checklist"/>
              <w:rPr>
                <w:sz w:val="20"/>
              </w:rPr>
            </w:pPr>
            <w:sdt>
              <w:sdtPr>
                <w:id w:val="140550956"/>
                <w14:checkbox>
                  <w14:checked w14:val="0"/>
                  <w14:checkedState w14:val="2612" w14:font="MS Gothic"/>
                  <w14:uncheckedState w14:val="2610" w14:font="MS Gothic"/>
                </w14:checkbox>
              </w:sdtPr>
              <w:sdtEndPr/>
              <w:sdtContent>
                <w:r w:rsidR="00DA7FB4" w:rsidRPr="003A0C5C">
                  <w:t>☐</w:t>
                </w:r>
              </w:sdtContent>
            </w:sdt>
          </w:p>
        </w:tc>
      </w:tr>
    </w:tbl>
    <w:p w14:paraId="3F2F4028" w14:textId="77777777" w:rsidR="00957C8B" w:rsidRPr="003A0C5C" w:rsidRDefault="00957C8B" w:rsidP="00957C8B">
      <w:pPr>
        <w:pStyle w:val="TableNotes"/>
        <w:rPr>
          <w:highlight w:val="yellow"/>
        </w:rPr>
      </w:pPr>
    </w:p>
    <w:p w14:paraId="3936FCD7" w14:textId="77777777" w:rsidR="004F426E" w:rsidRPr="003A0C5C" w:rsidRDefault="004F426E" w:rsidP="00957C8B">
      <w:pPr>
        <w:pStyle w:val="Heading5"/>
      </w:pPr>
      <w:r w:rsidRPr="003A0C5C">
        <w:t>Background</w:t>
      </w:r>
    </w:p>
    <w:p w14:paraId="0D8E9029" w14:textId="5B85774C" w:rsidR="004F426E" w:rsidRPr="003A0C5C" w:rsidRDefault="004F426E" w:rsidP="0020432B">
      <w:pPr>
        <w:pStyle w:val="12space"/>
      </w:pPr>
      <w:r w:rsidRPr="003A0C5C">
        <w:t xml:space="preserve">This </w:t>
      </w:r>
      <w:r w:rsidR="00367132" w:rsidRPr="003A0C5C">
        <w:t xml:space="preserve">impact analysis presented in this </w:t>
      </w:r>
      <w:r w:rsidRPr="003A0C5C">
        <w:t xml:space="preserve">section is </w:t>
      </w:r>
      <w:r w:rsidR="00367132" w:rsidRPr="003A0C5C">
        <w:t>informed, in part, by</w:t>
      </w:r>
      <w:r w:rsidRPr="003A0C5C">
        <w:t xml:space="preserve"> the </w:t>
      </w:r>
      <w:r w:rsidR="00926C68" w:rsidRPr="003A0C5C">
        <w:t xml:space="preserve">21611 South Perry Street </w:t>
      </w:r>
      <w:r w:rsidR="006E53E2" w:rsidRPr="003A0C5C">
        <w:t>Local Transportation Assessment</w:t>
      </w:r>
      <w:r w:rsidRPr="003A0C5C">
        <w:t xml:space="preserve"> </w:t>
      </w:r>
      <w:r w:rsidR="00CE12E2" w:rsidRPr="003A0C5C">
        <w:t>(</w:t>
      </w:r>
      <w:r w:rsidR="006E53E2" w:rsidRPr="003A0C5C">
        <w:t>LTA</w:t>
      </w:r>
      <w:r w:rsidR="00CE12E2" w:rsidRPr="003A0C5C">
        <w:t xml:space="preserve">) </w:t>
      </w:r>
      <w:r w:rsidRPr="003A0C5C">
        <w:t xml:space="preserve">for the </w:t>
      </w:r>
      <w:r w:rsidR="00926C68" w:rsidRPr="003A0C5C">
        <w:t xml:space="preserve">proposed </w:t>
      </w:r>
      <w:r w:rsidRPr="003A0C5C">
        <w:t xml:space="preserve">project prepared by </w:t>
      </w:r>
      <w:r w:rsidR="006E53E2" w:rsidRPr="003A0C5C">
        <w:t>Fehr &amp; Peers on January 18, 2022</w:t>
      </w:r>
      <w:r w:rsidRPr="003A0C5C">
        <w:t xml:space="preserve">, which is included </w:t>
      </w:r>
      <w:r w:rsidR="006E53E2" w:rsidRPr="003A0C5C">
        <w:t xml:space="preserve">as </w:t>
      </w:r>
      <w:r w:rsidR="00CD2E2E" w:rsidRPr="003A0C5C">
        <w:rPr>
          <w:b/>
          <w:bCs/>
        </w:rPr>
        <w:t>Appendix </w:t>
      </w:r>
      <w:r w:rsidR="0050211E" w:rsidRPr="003A0C5C">
        <w:rPr>
          <w:b/>
          <w:bCs/>
        </w:rPr>
        <w:t>L</w:t>
      </w:r>
      <w:r w:rsidR="0050211E" w:rsidRPr="003A0C5C">
        <w:t xml:space="preserve"> </w:t>
      </w:r>
      <w:r w:rsidR="006E53E2" w:rsidRPr="003A0C5C">
        <w:t>of this IS/MND</w:t>
      </w:r>
      <w:r w:rsidR="00CE12E2" w:rsidRPr="003A0C5C">
        <w:t xml:space="preserve">. The </w:t>
      </w:r>
      <w:r w:rsidR="006E53E2" w:rsidRPr="003A0C5C">
        <w:t xml:space="preserve">LTA </w:t>
      </w:r>
      <w:r w:rsidRPr="003A0C5C">
        <w:t xml:space="preserve">addresses the </w:t>
      </w:r>
      <w:r w:rsidR="00926C68" w:rsidRPr="003A0C5C">
        <w:t xml:space="preserve">proposed </w:t>
      </w:r>
      <w:r w:rsidR="006E53E2" w:rsidRPr="003A0C5C">
        <w:t xml:space="preserve">project’s operational impacts on </w:t>
      </w:r>
      <w:r w:rsidRPr="003A0C5C">
        <w:t xml:space="preserve">traffic </w:t>
      </w:r>
      <w:r w:rsidR="006E53E2" w:rsidRPr="003A0C5C">
        <w:t xml:space="preserve">operations </w:t>
      </w:r>
      <w:r w:rsidR="00BB1436" w:rsidRPr="003A0C5C">
        <w:t>at</w:t>
      </w:r>
      <w:r w:rsidR="006E53E2" w:rsidRPr="003A0C5C">
        <w:t xml:space="preserve"> nearby </w:t>
      </w:r>
      <w:r w:rsidR="00BB1436" w:rsidRPr="003A0C5C">
        <w:t>intersections as well as site access (i.e., driveway queuing, parking supply/demand)</w:t>
      </w:r>
      <w:r w:rsidRPr="003A0C5C">
        <w:t xml:space="preserve">. Parking is not an environmental impact requiring evaluation under CEQA, and therefore is not discussed in the </w:t>
      </w:r>
      <w:r w:rsidR="00391874" w:rsidRPr="003A0C5C">
        <w:t>analysis</w:t>
      </w:r>
      <w:r w:rsidRPr="003A0C5C">
        <w:t xml:space="preserve"> below.</w:t>
      </w:r>
    </w:p>
    <w:p w14:paraId="313D3662" w14:textId="77777777" w:rsidR="004F426E" w:rsidRPr="003A0C5C" w:rsidRDefault="004F426E" w:rsidP="00957C8B">
      <w:pPr>
        <w:pStyle w:val="Heading5"/>
      </w:pPr>
      <w:r w:rsidRPr="003A0C5C">
        <w:t>Discussion</w:t>
      </w:r>
    </w:p>
    <w:p w14:paraId="37B4D396" w14:textId="07C23B58" w:rsidR="00C40B48" w:rsidRPr="003A0C5C" w:rsidRDefault="004F426E" w:rsidP="00926C68">
      <w:pPr>
        <w:pStyle w:val="12spaceindent"/>
      </w:pPr>
      <w:r w:rsidRPr="003A0C5C">
        <w:t>a)</w:t>
      </w:r>
      <w:r w:rsidRPr="003A0C5C">
        <w:tab/>
      </w:r>
      <w:r w:rsidR="00C40B48" w:rsidRPr="003A0C5C">
        <w:t xml:space="preserve">The project site is </w:t>
      </w:r>
      <w:r w:rsidR="00D40A7B" w:rsidRPr="003A0C5C">
        <w:t xml:space="preserve">two </w:t>
      </w:r>
      <w:r w:rsidR="00C40B48" w:rsidRPr="003A0C5C">
        <w:t xml:space="preserve">vacant </w:t>
      </w:r>
      <w:r w:rsidR="00994ACD" w:rsidRPr="003A0C5C">
        <w:t>parcel</w:t>
      </w:r>
      <w:r w:rsidR="00D40A7B" w:rsidRPr="003A0C5C">
        <w:t>s</w:t>
      </w:r>
      <w:r w:rsidR="00C40B48" w:rsidRPr="003A0C5C">
        <w:t xml:space="preserve"> that </w:t>
      </w:r>
      <w:r w:rsidR="00141B0D" w:rsidRPr="003A0C5C">
        <w:t>consist</w:t>
      </w:r>
      <w:r w:rsidR="00C40B48" w:rsidRPr="003A0C5C">
        <w:t xml:space="preserve"> of approximately 2.8 acres located to the east of the I-405 interchange with East Carson Street. The project site is bounded by a single-family residential neighborhood to the north, a mix of residential and commercial uses to the east, a truck dealership to the south, and the Dominguez Channel to the west. Access to the project site would be provided by a new driveway on South Perry Street between</w:t>
      </w:r>
      <w:r w:rsidR="00B47915" w:rsidRPr="003A0C5C">
        <w:t xml:space="preserve"> East</w:t>
      </w:r>
      <w:r w:rsidR="00C40B48" w:rsidRPr="003A0C5C">
        <w:t xml:space="preserve"> 216th Street and East Carson Street.</w:t>
      </w:r>
    </w:p>
    <w:p w14:paraId="0A0BC45E" w14:textId="5D7BB76C" w:rsidR="002B3325" w:rsidRPr="003A0C5C" w:rsidRDefault="00367132" w:rsidP="00511F26">
      <w:pPr>
        <w:pStyle w:val="12spaceindentcontinue"/>
      </w:pPr>
      <w:r w:rsidRPr="003A0C5C">
        <w:t>The project site is located adjacent to a variety of existing transportation facilities.</w:t>
      </w:r>
      <w:r w:rsidR="009438D0" w:rsidRPr="003A0C5C">
        <w:t xml:space="preserve"> I-405 provides the primary regional access to the project site; major arterials that would be used for local access to the project site include </w:t>
      </w:r>
      <w:r w:rsidR="00AE79EE" w:rsidRPr="003A0C5C">
        <w:t xml:space="preserve">East </w:t>
      </w:r>
      <w:r w:rsidR="009438D0" w:rsidRPr="003A0C5C">
        <w:t xml:space="preserve">Carson Street in the east/west direction and Avalon Boulevard and Wilmington Avenue in the north/south direction. </w:t>
      </w:r>
      <w:r w:rsidR="00511F26" w:rsidRPr="003A0C5C">
        <w:t>With respect to roadways, t</w:t>
      </w:r>
      <w:r w:rsidR="002B3325" w:rsidRPr="003A0C5C">
        <w:t xml:space="preserve">he Transportation and Infrastructure Element of the </w:t>
      </w:r>
      <w:r w:rsidR="002B3325" w:rsidRPr="003A0C5C">
        <w:rPr>
          <w:iCs/>
        </w:rPr>
        <w:t xml:space="preserve">City of Carson General Plan </w:t>
      </w:r>
      <w:r w:rsidR="00511F26" w:rsidRPr="003A0C5C">
        <w:t>mainly considers roadway classifications as defined in the Carson Master Plan of Streets (e.g., local streets, collector streets), designated truck facilities, and traffic operations standards based on the concept of level of service (LOS). The proposed project does not propose to change any roadway classifications or established truck routes. Furthermore, the LOS measure used to govern roadway operations in the General Plan is no longer used in CEQA to determine the significance of a transportation impact. CEQA Guidelines Section 15064.3(b), which was adopted in December 2018 by the California Natural Resources Agency, require lead agencies to evaluate transportation impacts based on VMT.</w:t>
      </w:r>
      <w:r w:rsidR="00C40B48" w:rsidRPr="003A0C5C">
        <w:t xml:space="preserve"> Project consistency with CEQA Guidelines Section 15074.3(b) is discussed below under Issue b).</w:t>
      </w:r>
    </w:p>
    <w:p w14:paraId="17034F00" w14:textId="6E3892D5" w:rsidR="002B3325" w:rsidRPr="003A0C5C" w:rsidRDefault="009438D0" w:rsidP="008755DE">
      <w:pPr>
        <w:pStyle w:val="12spaceindentcontinue"/>
        <w:rPr>
          <w:highlight w:val="yellow"/>
        </w:rPr>
      </w:pPr>
      <w:r w:rsidRPr="003A0C5C">
        <w:t>The project site is served by one public transit route, Long Beach Transit Route 4, which provides connections to the Los Angeles</w:t>
      </w:r>
      <w:r w:rsidR="00AE79EE" w:rsidRPr="003A0C5C">
        <w:t xml:space="preserve"> Metropolitan Transportation Authority (Metro) </w:t>
      </w:r>
      <w:r w:rsidRPr="003A0C5C">
        <w:t>J</w:t>
      </w:r>
      <w:r w:rsidR="003226C5" w:rsidRPr="003A0C5C">
        <w:t> </w:t>
      </w:r>
      <w:r w:rsidRPr="003A0C5C">
        <w:t>Line bus rapid transit at Carson Station and the Metro A Line light rail at Del Amo Station.</w:t>
      </w:r>
      <w:r w:rsidR="00367132" w:rsidRPr="003A0C5C">
        <w:t xml:space="preserve"> </w:t>
      </w:r>
      <w:r w:rsidRPr="003A0C5C">
        <w:t xml:space="preserve">There are limited bicycle facilities located near the project site; </w:t>
      </w:r>
      <w:r w:rsidR="00AE79EE" w:rsidRPr="003A0C5C">
        <w:t xml:space="preserve">East </w:t>
      </w:r>
      <w:r w:rsidRPr="003A0C5C">
        <w:t xml:space="preserve">Carson Street is designated as a Class III bike route west of I-405. </w:t>
      </w:r>
      <w:r w:rsidR="00C40B48" w:rsidRPr="003A0C5C">
        <w:t>Roadways adjacent to the project site</w:t>
      </w:r>
      <w:r w:rsidRPr="003A0C5C">
        <w:t xml:space="preserve"> generally </w:t>
      </w:r>
      <w:r w:rsidR="00C40B48" w:rsidRPr="003A0C5C">
        <w:t>have</w:t>
      </w:r>
      <w:r w:rsidRPr="003A0C5C">
        <w:t xml:space="preserve"> of 4- to 8-foot-wide sidewalks</w:t>
      </w:r>
      <w:r w:rsidR="00C40B48" w:rsidRPr="003A0C5C">
        <w:t>,</w:t>
      </w:r>
      <w:r w:rsidRPr="003A0C5C">
        <w:t xml:space="preserve"> but </w:t>
      </w:r>
      <w:r w:rsidR="00C40B48" w:rsidRPr="003A0C5C">
        <w:t xml:space="preserve">there are no marked </w:t>
      </w:r>
      <w:r w:rsidRPr="003A0C5C">
        <w:t xml:space="preserve">crosswalks </w:t>
      </w:r>
      <w:r w:rsidR="00C40B48" w:rsidRPr="003A0C5C">
        <w:t>or</w:t>
      </w:r>
      <w:r w:rsidRPr="003A0C5C">
        <w:t xml:space="preserve"> pedestrian signals. </w:t>
      </w:r>
      <w:r w:rsidR="00AE79EE" w:rsidRPr="003A0C5C">
        <w:t xml:space="preserve">As detailed in the </w:t>
      </w:r>
      <w:r w:rsidR="00AE79EE" w:rsidRPr="003A0C5C">
        <w:rPr>
          <w:iCs/>
        </w:rPr>
        <w:t>City of Carson Master Plan of Bikeways</w:t>
      </w:r>
      <w:r w:rsidR="00AE79EE" w:rsidRPr="003A0C5C">
        <w:t xml:space="preserve"> and Metro’s </w:t>
      </w:r>
      <w:r w:rsidR="00AE79EE" w:rsidRPr="003A0C5C">
        <w:rPr>
          <w:iCs/>
        </w:rPr>
        <w:t>Active Transportation Strategic Plan</w:t>
      </w:r>
      <w:r w:rsidR="00AE79EE" w:rsidRPr="003A0C5C">
        <w:t>, th</w:t>
      </w:r>
      <w:r w:rsidRPr="003A0C5C">
        <w:t xml:space="preserve">ere are several bike lanes and bike routes planned </w:t>
      </w:r>
      <w:r w:rsidR="002B3325" w:rsidRPr="003A0C5C">
        <w:t>near the project site</w:t>
      </w:r>
      <w:r w:rsidRPr="003A0C5C">
        <w:t xml:space="preserve"> as well as a planned extension of the bike path along </w:t>
      </w:r>
      <w:r w:rsidR="00AC4333" w:rsidRPr="003A0C5C">
        <w:t xml:space="preserve">both sides of </w:t>
      </w:r>
      <w:r w:rsidRPr="003A0C5C">
        <w:t xml:space="preserve">the Dominguez Channel, east of I-405. </w:t>
      </w:r>
      <w:r w:rsidR="00281942" w:rsidRPr="003A0C5C">
        <w:t>The</w:t>
      </w:r>
      <w:r w:rsidR="009E11AB" w:rsidRPr="003A0C5C">
        <w:t>re is an</w:t>
      </w:r>
      <w:r w:rsidR="00281942" w:rsidRPr="003A0C5C">
        <w:t xml:space="preserve"> existing flood control easement that separates the Dominguez Channel from the project site </w:t>
      </w:r>
      <w:r w:rsidR="009E11AB" w:rsidRPr="003A0C5C">
        <w:t>where the bike path could be located.</w:t>
      </w:r>
      <w:r w:rsidR="00281942" w:rsidRPr="003A0C5C">
        <w:t xml:space="preserve"> </w:t>
      </w:r>
      <w:r w:rsidR="00367132" w:rsidRPr="003A0C5C">
        <w:t xml:space="preserve">Implementation of the proposed </w:t>
      </w:r>
      <w:r w:rsidR="002B3325" w:rsidRPr="003A0C5C">
        <w:t>project</w:t>
      </w:r>
      <w:r w:rsidR="00367132" w:rsidRPr="003A0C5C">
        <w:t xml:space="preserve"> would not </w:t>
      </w:r>
      <w:r w:rsidR="002B3325" w:rsidRPr="003A0C5C">
        <w:t>remove or impede access to</w:t>
      </w:r>
      <w:r w:rsidR="00367132" w:rsidRPr="003A0C5C">
        <w:t xml:space="preserve"> existing </w:t>
      </w:r>
      <w:r w:rsidR="002B3325" w:rsidRPr="003A0C5C">
        <w:t>bicycle facilities,</w:t>
      </w:r>
      <w:r w:rsidR="00367132" w:rsidRPr="003A0C5C">
        <w:t xml:space="preserve"> sidewalks</w:t>
      </w:r>
      <w:r w:rsidR="002B3325" w:rsidRPr="003A0C5C">
        <w:t xml:space="preserve">, or </w:t>
      </w:r>
      <w:r w:rsidR="00367132" w:rsidRPr="003A0C5C">
        <w:t>transit services</w:t>
      </w:r>
      <w:r w:rsidR="002B3325" w:rsidRPr="003A0C5C">
        <w:t xml:space="preserve"> adjacent to the project site, nor would it affect </w:t>
      </w:r>
      <w:r w:rsidR="00367132" w:rsidRPr="003A0C5C">
        <w:t xml:space="preserve">future planned bicycle facility improvements along </w:t>
      </w:r>
      <w:r w:rsidR="002B3325" w:rsidRPr="003A0C5C">
        <w:t>other nearby roadways or the Dominguez Channel</w:t>
      </w:r>
      <w:r w:rsidR="00367132" w:rsidRPr="003A0C5C">
        <w:t xml:space="preserve">. </w:t>
      </w:r>
    </w:p>
    <w:p w14:paraId="23BC2153" w14:textId="4C9130A6" w:rsidR="00367132" w:rsidRPr="003A0C5C" w:rsidRDefault="00367132" w:rsidP="00367132">
      <w:pPr>
        <w:pStyle w:val="12spaceindentcontinue"/>
      </w:pPr>
      <w:r w:rsidRPr="003A0C5C">
        <w:t xml:space="preserve">Therefore, </w:t>
      </w:r>
      <w:r w:rsidR="002B3325" w:rsidRPr="003A0C5C">
        <w:t xml:space="preserve">based on the above, </w:t>
      </w:r>
      <w:r w:rsidRPr="003A0C5C">
        <w:t xml:space="preserve">impacts </w:t>
      </w:r>
      <w:r w:rsidR="002B3325" w:rsidRPr="003A0C5C">
        <w:t>to program plans, ordinances</w:t>
      </w:r>
      <w:r w:rsidR="008627A3" w:rsidRPr="003A0C5C">
        <w:t>,</w:t>
      </w:r>
      <w:r w:rsidR="002B3325" w:rsidRPr="003A0C5C">
        <w:t xml:space="preserve"> or policies addressing the circulation system </w:t>
      </w:r>
      <w:r w:rsidRPr="003A0C5C">
        <w:t>would be less than significant.</w:t>
      </w:r>
    </w:p>
    <w:p w14:paraId="1B0309CD" w14:textId="0B65E51A" w:rsidR="00887DD6" w:rsidRPr="003A0C5C" w:rsidRDefault="00AA47C5" w:rsidP="00307A6E">
      <w:pPr>
        <w:pStyle w:val="12spaceindent"/>
        <w:numPr>
          <w:ilvl w:val="0"/>
          <w:numId w:val="9"/>
        </w:numPr>
        <w:ind w:hanging="720"/>
      </w:pPr>
      <w:r w:rsidRPr="003A0C5C">
        <w:t xml:space="preserve">The </w:t>
      </w:r>
      <w:r w:rsidRPr="003A0C5C">
        <w:rPr>
          <w:iCs/>
        </w:rPr>
        <w:t>Technical Advisory on Evaluating Transportation Impacts in CEQA</w:t>
      </w:r>
      <w:r w:rsidRPr="003A0C5C">
        <w:t xml:space="preserve"> (Office of Planning and Research 2018) was used to conduct the VMT analysis pursuant to CEQA Guidelines Section 15064.3, Subdivision (b). </w:t>
      </w:r>
      <w:r w:rsidR="00887DD6" w:rsidRPr="003A0C5C">
        <w:t xml:space="preserve">Based on the proposed project characteristics, it </w:t>
      </w:r>
      <w:r w:rsidR="00367132" w:rsidRPr="003A0C5C">
        <w:t>can be classified as local-serving retail</w:t>
      </w:r>
      <w:r w:rsidR="00887DD6" w:rsidRPr="003A0C5C">
        <w:t xml:space="preserve">. As described in the Technical Advisory, local-serving retail </w:t>
      </w:r>
      <w:r w:rsidRPr="003A0C5C">
        <w:t>can</w:t>
      </w:r>
      <w:r w:rsidR="00887DD6" w:rsidRPr="003A0C5C">
        <w:t xml:space="preserve"> be</w:t>
      </w:r>
      <w:r w:rsidR="00367132" w:rsidRPr="003A0C5C">
        <w:t xml:space="preserve"> screen</w:t>
      </w:r>
      <w:r w:rsidR="00887DD6" w:rsidRPr="003A0C5C">
        <w:t>ed</w:t>
      </w:r>
      <w:r w:rsidR="00367132" w:rsidRPr="003A0C5C">
        <w:t xml:space="preserve"> </w:t>
      </w:r>
      <w:r w:rsidR="00887DD6" w:rsidRPr="003A0C5C">
        <w:t>from a quantitative</w:t>
      </w:r>
      <w:r w:rsidR="00367132" w:rsidRPr="003A0C5C">
        <w:t xml:space="preserve"> VMT analysis for CEQA purposes</w:t>
      </w:r>
      <w:r w:rsidR="00887DD6" w:rsidRPr="003A0C5C">
        <w:t>:</w:t>
      </w:r>
      <w:r w:rsidR="00367132" w:rsidRPr="003A0C5C">
        <w:t xml:space="preserve"> </w:t>
      </w:r>
    </w:p>
    <w:p w14:paraId="5AF7340F" w14:textId="77777777" w:rsidR="00887DD6" w:rsidRPr="003A0C5C" w:rsidRDefault="00367132" w:rsidP="00B8267E">
      <w:pPr>
        <w:pStyle w:val="Quote"/>
        <w:ind w:left="1440"/>
      </w:pPr>
      <w:r w:rsidRPr="003A0C5C">
        <w:t xml:space="preserve">“By adding retail opportunities into the urban fabric and thereby improving retail destination proximity, local-serving retail development tends to shorten trips and reduce VMT.” </w:t>
      </w:r>
    </w:p>
    <w:p w14:paraId="05C47FC0" w14:textId="783FC886" w:rsidR="0039633C" w:rsidRPr="003A0C5C" w:rsidRDefault="00887DD6" w:rsidP="00307A6E">
      <w:pPr>
        <w:pStyle w:val="12spaceindent"/>
        <w:ind w:firstLine="0"/>
      </w:pPr>
      <w:r w:rsidRPr="003A0C5C">
        <w:t>Based on the above, the proposed project would not conflict with CEQA Guidelines Section 15064.3, Subdivision (b), and the impact would be less than significant</w:t>
      </w:r>
      <w:r w:rsidR="00367132" w:rsidRPr="003A0C5C">
        <w:t>.</w:t>
      </w:r>
    </w:p>
    <w:p w14:paraId="12F12107" w14:textId="6DDC3FC9" w:rsidR="00367132" w:rsidRPr="003A0C5C" w:rsidRDefault="004F426E" w:rsidP="0028704B">
      <w:pPr>
        <w:pStyle w:val="12spaceindent"/>
      </w:pPr>
      <w:r w:rsidRPr="003A0C5C">
        <w:t>c)</w:t>
      </w:r>
      <w:r w:rsidRPr="003A0C5C">
        <w:tab/>
        <w:t xml:space="preserve">An impact would occur if the </w:t>
      </w:r>
      <w:r w:rsidR="005F23E3" w:rsidRPr="003A0C5C">
        <w:t xml:space="preserve">proposed </w:t>
      </w:r>
      <w:r w:rsidRPr="003A0C5C">
        <w:t xml:space="preserve">project substantially </w:t>
      </w:r>
      <w:r w:rsidR="00D40A7B" w:rsidRPr="003A0C5C">
        <w:t>increased</w:t>
      </w:r>
      <w:r w:rsidRPr="003A0C5C">
        <w:t xml:space="preserve"> hazards due to a design feature. A review of existing site conditions and nearby roadways determined that there are no existing hazardous design features, such as sharp curves</w:t>
      </w:r>
      <w:r w:rsidR="00773B2B" w:rsidRPr="003A0C5C">
        <w:t>, non-standard driveways,</w:t>
      </w:r>
      <w:r w:rsidRPr="003A0C5C">
        <w:t xml:space="preserve"> or dangerous intersections, on</w:t>
      </w:r>
      <w:r w:rsidR="00FD5F91" w:rsidRPr="003A0C5C">
        <w:t>–</w:t>
      </w:r>
      <w:r w:rsidRPr="003A0C5C">
        <w:t>site or within the vicinity o</w:t>
      </w:r>
      <w:r w:rsidR="00391874" w:rsidRPr="003A0C5C">
        <w:t xml:space="preserve">f the project site. The site was previously </w:t>
      </w:r>
      <w:r w:rsidRPr="003A0C5C">
        <w:t xml:space="preserve">developed </w:t>
      </w:r>
      <w:r w:rsidR="00D620B4" w:rsidRPr="003A0C5C">
        <w:t>with commercial/industrial uses</w:t>
      </w:r>
      <w:r w:rsidR="007C574C" w:rsidRPr="003A0C5C">
        <w:t>,</w:t>
      </w:r>
      <w:r w:rsidR="00D620B4" w:rsidRPr="003A0C5C">
        <w:t xml:space="preserve"> </w:t>
      </w:r>
      <w:r w:rsidRPr="003A0C5C">
        <w:t xml:space="preserve">and </w:t>
      </w:r>
      <w:r w:rsidR="00773B2B" w:rsidRPr="003A0C5C">
        <w:t xml:space="preserve">the proposed project would </w:t>
      </w:r>
      <w:r w:rsidRPr="003A0C5C">
        <w:t xml:space="preserve">not </w:t>
      </w:r>
      <w:r w:rsidR="00773B2B" w:rsidRPr="003A0C5C">
        <w:t>introduce</w:t>
      </w:r>
      <w:r w:rsidRPr="003A0C5C">
        <w:t xml:space="preserve"> any such design hazards or include any uses </w:t>
      </w:r>
      <w:r w:rsidR="007C574C" w:rsidRPr="003A0C5C">
        <w:t xml:space="preserve">that </w:t>
      </w:r>
      <w:r w:rsidRPr="003A0C5C">
        <w:t xml:space="preserve">are incompatible with normal traffic operations. </w:t>
      </w:r>
      <w:r w:rsidR="00367132" w:rsidRPr="003A0C5C">
        <w:t xml:space="preserve">The proposed project would provide direct access to and from </w:t>
      </w:r>
      <w:r w:rsidR="00C40B48" w:rsidRPr="003A0C5C">
        <w:t xml:space="preserve">South </w:t>
      </w:r>
      <w:r w:rsidR="00367132" w:rsidRPr="003A0C5C">
        <w:t xml:space="preserve">Perry Street from a new driveway between </w:t>
      </w:r>
      <w:r w:rsidR="00B47915" w:rsidRPr="003A0C5C">
        <w:t xml:space="preserve">East </w:t>
      </w:r>
      <w:r w:rsidR="00367132" w:rsidRPr="003A0C5C">
        <w:t xml:space="preserve">216th Street and </w:t>
      </w:r>
      <w:r w:rsidR="00C40B48" w:rsidRPr="003A0C5C">
        <w:t xml:space="preserve">East </w:t>
      </w:r>
      <w:r w:rsidR="00367132" w:rsidRPr="003A0C5C">
        <w:t>Carson Street. The project driveway approach would be stop-controlled (i.e., not signalized).</w:t>
      </w:r>
      <w:r w:rsidR="0028704B" w:rsidRPr="003A0C5C">
        <w:t xml:space="preserve"> The LTA prepared for the proposed project (</w:t>
      </w:r>
      <w:r w:rsidR="001D1298" w:rsidRPr="003A0C5C">
        <w:t>refer to</w:t>
      </w:r>
      <w:r w:rsidR="0028704B" w:rsidRPr="003A0C5C">
        <w:t xml:space="preserve"> </w:t>
      </w:r>
      <w:r w:rsidR="0028704B" w:rsidRPr="003A0C5C">
        <w:rPr>
          <w:b/>
          <w:bCs/>
        </w:rPr>
        <w:t xml:space="preserve">Appendix </w:t>
      </w:r>
      <w:r w:rsidR="0050211E" w:rsidRPr="003A0C5C">
        <w:rPr>
          <w:b/>
          <w:bCs/>
        </w:rPr>
        <w:t>L</w:t>
      </w:r>
      <w:r w:rsidR="00B55462" w:rsidRPr="003A0C5C">
        <w:t xml:space="preserve"> of this IS/MND</w:t>
      </w:r>
      <w:r w:rsidR="0028704B" w:rsidRPr="003A0C5C">
        <w:t>) evaluated operating conditions for the proposed project driveway, and concluded that no potential safety issues would result from queueing at the driveway.</w:t>
      </w:r>
    </w:p>
    <w:p w14:paraId="4C7D8B08" w14:textId="59E074E3" w:rsidR="004F426E" w:rsidRPr="003A0C5C" w:rsidRDefault="004F426E" w:rsidP="00C40B48">
      <w:pPr>
        <w:pStyle w:val="12spaceindent"/>
        <w:ind w:firstLine="0"/>
      </w:pPr>
      <w:r w:rsidRPr="003A0C5C">
        <w:t>Impacts related to traffic hazards or incompatible uses would be expected to be similar and as such, would be less than significant.</w:t>
      </w:r>
    </w:p>
    <w:p w14:paraId="63082F93" w14:textId="3587ECCB" w:rsidR="00C337B4" w:rsidRPr="003A0C5C" w:rsidRDefault="00391874" w:rsidP="00C337B4">
      <w:pPr>
        <w:pStyle w:val="12spaceindent"/>
      </w:pPr>
      <w:r w:rsidRPr="003A0C5C">
        <w:t xml:space="preserve"> </w:t>
      </w:r>
      <w:r w:rsidR="004F426E" w:rsidRPr="003A0C5C">
        <w:t>d)</w:t>
      </w:r>
      <w:r w:rsidR="004F426E" w:rsidRPr="003A0C5C">
        <w:tab/>
        <w:t xml:space="preserve">A significant impact would occur if the design of the proposed project would not satisfy local emergency access requirements. </w:t>
      </w:r>
      <w:r w:rsidRPr="003A0C5C">
        <w:t xml:space="preserve">As analyzed </w:t>
      </w:r>
      <w:r w:rsidRPr="003A0C5C">
        <w:rPr>
          <w:lang w:eastAsia="ko-KR"/>
        </w:rPr>
        <w:t>in Section </w:t>
      </w:r>
      <w:r w:rsidRPr="003A0C5C">
        <w:t xml:space="preserve">IX, </w:t>
      </w:r>
      <w:r w:rsidRPr="003A0C5C">
        <w:rPr>
          <w:i/>
        </w:rPr>
        <w:t>Hazards and Hazardous Materials</w:t>
      </w:r>
      <w:r w:rsidRPr="003A0C5C">
        <w:t xml:space="preserve">, </w:t>
      </w:r>
      <w:r w:rsidR="003C2FE6" w:rsidRPr="003A0C5C">
        <w:t xml:space="preserve">above, while primary access to the project site would be provided from </w:t>
      </w:r>
      <w:r w:rsidR="0030445A" w:rsidRPr="003A0C5C">
        <w:t xml:space="preserve">South </w:t>
      </w:r>
      <w:r w:rsidR="003C2FE6" w:rsidRPr="003A0C5C">
        <w:t xml:space="preserve">Perry Street, vehicles travelling to the project site during construction or operation would do so via </w:t>
      </w:r>
      <w:r w:rsidR="005F23E3" w:rsidRPr="003A0C5C">
        <w:t xml:space="preserve">East </w:t>
      </w:r>
      <w:r w:rsidR="003C2FE6" w:rsidRPr="003A0C5C">
        <w:t xml:space="preserve">Carson Street, a City designated </w:t>
      </w:r>
      <w:r w:rsidR="00C009E2" w:rsidRPr="003A0C5C">
        <w:t xml:space="preserve">evacuation route as identified in the Multi-Hazard Functional Plan for emergency response within the </w:t>
      </w:r>
      <w:proofErr w:type="gramStart"/>
      <w:r w:rsidR="00E51793" w:rsidRPr="003A0C5C">
        <w:t>City</w:t>
      </w:r>
      <w:proofErr w:type="gramEnd"/>
      <w:r w:rsidR="00C009E2" w:rsidRPr="003A0C5C">
        <w:t xml:space="preserve"> (City of Carson 2004). During construction, </w:t>
      </w:r>
      <w:r w:rsidR="005F23E3" w:rsidRPr="003A0C5C">
        <w:t xml:space="preserve">East </w:t>
      </w:r>
      <w:r w:rsidR="00C009E2" w:rsidRPr="003A0C5C">
        <w:t xml:space="preserve">Carson Street may require temporary partial lane closures. </w:t>
      </w:r>
      <w:r w:rsidR="00AA47C5" w:rsidRPr="003A0C5C">
        <w:t>As part of the project entitlement process, t</w:t>
      </w:r>
      <w:r w:rsidR="00C009E2" w:rsidRPr="003A0C5C">
        <w:t>he Applicant would be required to implement a traffic management plan</w:t>
      </w:r>
      <w:r w:rsidR="007C574C" w:rsidRPr="003A0C5C">
        <w:t>,</w:t>
      </w:r>
      <w:r w:rsidR="00C009E2" w:rsidRPr="003A0C5C">
        <w:t xml:space="preserve"> which would ensure that at least one lane remains open and emergency access is maintained during construction. In addition, </w:t>
      </w:r>
      <w:r w:rsidR="0028704B" w:rsidRPr="003A0C5C">
        <w:t>based on the operational analysis conducted in the LTA (</w:t>
      </w:r>
      <w:r w:rsidR="0076416C" w:rsidRPr="003A0C5C">
        <w:t>refer to</w:t>
      </w:r>
      <w:r w:rsidR="0028704B" w:rsidRPr="003A0C5C">
        <w:t xml:space="preserve"> </w:t>
      </w:r>
      <w:r w:rsidR="0028704B" w:rsidRPr="003A0C5C">
        <w:rPr>
          <w:b/>
          <w:bCs/>
        </w:rPr>
        <w:t xml:space="preserve">Appendix </w:t>
      </w:r>
      <w:r w:rsidR="0050211E" w:rsidRPr="003A0C5C">
        <w:rPr>
          <w:b/>
          <w:bCs/>
        </w:rPr>
        <w:t>L</w:t>
      </w:r>
      <w:r w:rsidR="00B55462" w:rsidRPr="003A0C5C">
        <w:t xml:space="preserve"> of this IS/MND</w:t>
      </w:r>
      <w:r w:rsidR="0028704B" w:rsidRPr="003A0C5C">
        <w:t>), additional traffic</w:t>
      </w:r>
      <w:r w:rsidR="00C009E2" w:rsidRPr="003A0C5C">
        <w:t xml:space="preserve"> generated</w:t>
      </w:r>
      <w:r w:rsidR="0028704B" w:rsidRPr="003A0C5C">
        <w:t xml:space="preserve"> by the proposed project</w:t>
      </w:r>
      <w:r w:rsidR="00C009E2" w:rsidRPr="003A0C5C">
        <w:t xml:space="preserve"> is not anticipated to </w:t>
      </w:r>
      <w:r w:rsidR="0028704B" w:rsidRPr="003A0C5C">
        <w:t xml:space="preserve">result in a noticeable increase in roadway congestion that would affect </w:t>
      </w:r>
      <w:r w:rsidR="00C009E2" w:rsidRPr="003A0C5C">
        <w:t xml:space="preserve">emergency access provided from </w:t>
      </w:r>
      <w:r w:rsidR="005F23E3" w:rsidRPr="003A0C5C">
        <w:t xml:space="preserve">East </w:t>
      </w:r>
      <w:r w:rsidR="00C009E2" w:rsidRPr="003A0C5C">
        <w:t>Carson Street, and operations are not likely to interfere with an adopted emergency response plan or emergency evacuation plan. Therefore</w:t>
      </w:r>
      <w:r w:rsidR="004F426E" w:rsidRPr="003A0C5C">
        <w:t>, impacts related to emergency access would be less than significant.</w:t>
      </w:r>
    </w:p>
    <w:p w14:paraId="4C15F4FE" w14:textId="77777777" w:rsidR="00C337B4" w:rsidRPr="003A0C5C" w:rsidRDefault="00C337B4" w:rsidP="00C337B4">
      <w:pPr>
        <w:pStyle w:val="12spaceindent"/>
        <w:keepNext/>
        <w:spacing w:after="120"/>
        <w:ind w:left="0" w:firstLine="0"/>
        <w:rPr>
          <w:highlight w:val="yellow"/>
        </w:rPr>
      </w:pPr>
    </w:p>
    <w:p w14:paraId="74D50D39" w14:textId="77777777" w:rsidR="002B6967" w:rsidRPr="003A0C5C" w:rsidRDefault="002B6967" w:rsidP="002B6967">
      <w:pPr>
        <w:pStyle w:val="ImpactSectionEnd"/>
        <w:rPr>
          <w:highlight w:val="yellow"/>
        </w:rPr>
      </w:pPr>
    </w:p>
    <w:p w14:paraId="2C6945B6" w14:textId="77777777" w:rsidR="002B6967" w:rsidRPr="003A0C5C" w:rsidRDefault="002B6967" w:rsidP="002B6967">
      <w:pPr>
        <w:rPr>
          <w:highlight w:val="yellow"/>
        </w:rPr>
      </w:pPr>
      <w:r w:rsidRPr="003A0C5C">
        <w:rPr>
          <w:highlight w:val="yellow"/>
        </w:rPr>
        <w:br w:type="page"/>
      </w:r>
    </w:p>
    <w:p w14:paraId="0DB24B39" w14:textId="0B8523A5" w:rsidR="004F426E" w:rsidRPr="003A0C5C" w:rsidRDefault="008B0DDC" w:rsidP="008B0DDC">
      <w:pPr>
        <w:pStyle w:val="Heading4"/>
      </w:pPr>
      <w:bookmarkStart w:id="115" w:name="_Toc101791997"/>
      <w:r w:rsidRPr="003A0C5C">
        <w:t>XVIII.</w:t>
      </w:r>
      <w:r w:rsidRPr="003A0C5C">
        <w:tab/>
      </w:r>
      <w:r w:rsidR="004F426E" w:rsidRPr="003A0C5C">
        <w:t>Tribal Cultural Resources</w:t>
      </w:r>
      <w:bookmarkEnd w:id="115"/>
    </w:p>
    <w:tbl>
      <w:tblPr>
        <w:tblW w:w="0" w:type="auto"/>
        <w:tblCellMar>
          <w:left w:w="86" w:type="dxa"/>
          <w:right w:w="86" w:type="dxa"/>
        </w:tblCellMar>
        <w:tblLook w:val="0000" w:firstRow="0" w:lastRow="0" w:firstColumn="0" w:lastColumn="0" w:noHBand="0" w:noVBand="0"/>
      </w:tblPr>
      <w:tblGrid>
        <w:gridCol w:w="5088"/>
        <w:gridCol w:w="888"/>
        <w:gridCol w:w="1152"/>
        <w:gridCol w:w="888"/>
        <w:gridCol w:w="624"/>
      </w:tblGrid>
      <w:tr w:rsidR="003A0C5C" w:rsidRPr="003A0C5C" w14:paraId="4FB3D590" w14:textId="77777777" w:rsidTr="00F07065">
        <w:trPr>
          <w:cantSplit/>
          <w:tblHeader/>
        </w:trPr>
        <w:tc>
          <w:tcPr>
            <w:tcW w:w="0" w:type="auto"/>
            <w:vAlign w:val="bottom"/>
          </w:tcPr>
          <w:p w14:paraId="39C6B024" w14:textId="77777777" w:rsidR="00DA7FB4" w:rsidRPr="003A0C5C" w:rsidRDefault="00DA7FB4" w:rsidP="00F07065">
            <w:pPr>
              <w:keepNext/>
              <w:pBdr>
                <w:bottom w:val="single" w:sz="4" w:space="1" w:color="auto"/>
              </w:pBdr>
              <w:spacing w:before="60" w:after="60"/>
              <w:ind w:left="540" w:hanging="540"/>
              <w:rPr>
                <w:rFonts w:ascii="Arial" w:hAnsi="Arial" w:cs="Arial"/>
                <w:b/>
                <w:i/>
                <w:sz w:val="14"/>
                <w:szCs w:val="16"/>
              </w:rPr>
            </w:pPr>
            <w:r w:rsidRPr="003A0C5C">
              <w:rPr>
                <w:rFonts w:ascii="Arial" w:hAnsi="Arial" w:cs="Arial"/>
                <w:b/>
                <w:i/>
                <w:sz w:val="14"/>
                <w:szCs w:val="16"/>
              </w:rPr>
              <w:t>Issues (and Supporting Information Sources)</w:t>
            </w:r>
          </w:p>
        </w:tc>
        <w:tc>
          <w:tcPr>
            <w:tcW w:w="0" w:type="auto"/>
            <w:vAlign w:val="bottom"/>
          </w:tcPr>
          <w:p w14:paraId="16601D29" w14:textId="77777777" w:rsidR="00DA7FB4" w:rsidRPr="003A0C5C" w:rsidRDefault="00DA7FB4" w:rsidP="00F07065">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Potentially</w:t>
            </w:r>
            <w:r w:rsidRPr="003A0C5C">
              <w:rPr>
                <w:rFonts w:ascii="Arial" w:hAnsi="Arial" w:cs="Arial"/>
                <w:b/>
                <w:i/>
                <w:sz w:val="14"/>
                <w:szCs w:val="16"/>
              </w:rPr>
              <w:br/>
              <w:t>Significant</w:t>
            </w:r>
            <w:r w:rsidRPr="003A0C5C">
              <w:rPr>
                <w:rFonts w:ascii="Arial" w:hAnsi="Arial" w:cs="Arial"/>
                <w:b/>
                <w:i/>
                <w:sz w:val="14"/>
                <w:szCs w:val="16"/>
              </w:rPr>
              <w:br/>
              <w:t>Impact</w:t>
            </w:r>
          </w:p>
        </w:tc>
        <w:tc>
          <w:tcPr>
            <w:tcW w:w="0" w:type="auto"/>
            <w:vAlign w:val="bottom"/>
          </w:tcPr>
          <w:p w14:paraId="004B7DB3" w14:textId="77777777" w:rsidR="00DA7FB4" w:rsidRPr="003A0C5C" w:rsidRDefault="00DA7FB4" w:rsidP="00F07065">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Less than</w:t>
            </w:r>
            <w:r w:rsidRPr="003A0C5C">
              <w:rPr>
                <w:rFonts w:ascii="Arial" w:hAnsi="Arial" w:cs="Arial"/>
                <w:b/>
                <w:i/>
                <w:sz w:val="14"/>
                <w:szCs w:val="16"/>
              </w:rPr>
              <w:br/>
              <w:t>Significant</w:t>
            </w:r>
            <w:r w:rsidRPr="003A0C5C">
              <w:rPr>
                <w:rFonts w:ascii="Arial" w:hAnsi="Arial" w:cs="Arial"/>
                <w:b/>
                <w:i/>
                <w:sz w:val="14"/>
                <w:szCs w:val="16"/>
              </w:rPr>
              <w:br/>
              <w:t>with Mitigation</w:t>
            </w:r>
            <w:r w:rsidRPr="003A0C5C">
              <w:rPr>
                <w:rFonts w:ascii="Arial" w:hAnsi="Arial" w:cs="Arial"/>
                <w:b/>
                <w:i/>
                <w:sz w:val="14"/>
                <w:szCs w:val="16"/>
              </w:rPr>
              <w:br/>
              <w:t>Incorporated</w:t>
            </w:r>
          </w:p>
        </w:tc>
        <w:tc>
          <w:tcPr>
            <w:tcW w:w="0" w:type="auto"/>
            <w:vAlign w:val="bottom"/>
          </w:tcPr>
          <w:p w14:paraId="6B21DA4C" w14:textId="77777777" w:rsidR="00DA7FB4" w:rsidRPr="003A0C5C" w:rsidRDefault="00DA7FB4" w:rsidP="00F07065">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Less-than-</w:t>
            </w:r>
            <w:r w:rsidRPr="003A0C5C">
              <w:rPr>
                <w:rFonts w:ascii="Arial" w:hAnsi="Arial" w:cs="Arial"/>
                <w:b/>
                <w:i/>
                <w:sz w:val="14"/>
                <w:szCs w:val="16"/>
              </w:rPr>
              <w:br/>
              <w:t>Significant</w:t>
            </w:r>
            <w:r w:rsidRPr="003A0C5C">
              <w:rPr>
                <w:rFonts w:ascii="Arial" w:hAnsi="Arial" w:cs="Arial"/>
                <w:b/>
                <w:i/>
                <w:sz w:val="14"/>
                <w:szCs w:val="16"/>
              </w:rPr>
              <w:br/>
              <w:t>Impact</w:t>
            </w:r>
          </w:p>
        </w:tc>
        <w:tc>
          <w:tcPr>
            <w:tcW w:w="0" w:type="auto"/>
            <w:vAlign w:val="bottom"/>
          </w:tcPr>
          <w:p w14:paraId="0CC07E24" w14:textId="77777777" w:rsidR="00DA7FB4" w:rsidRPr="003A0C5C" w:rsidRDefault="00DA7FB4" w:rsidP="00F07065">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No</w:t>
            </w:r>
            <w:r w:rsidRPr="003A0C5C">
              <w:rPr>
                <w:rFonts w:ascii="Arial" w:hAnsi="Arial" w:cs="Arial"/>
                <w:b/>
                <w:i/>
                <w:sz w:val="14"/>
                <w:szCs w:val="16"/>
              </w:rPr>
              <w:br/>
              <w:t>Impact</w:t>
            </w:r>
          </w:p>
        </w:tc>
      </w:tr>
      <w:tr w:rsidR="003A0C5C" w:rsidRPr="003A0C5C" w14:paraId="2F45F173" w14:textId="77777777" w:rsidTr="00F07065">
        <w:trPr>
          <w:cantSplit/>
        </w:trPr>
        <w:tc>
          <w:tcPr>
            <w:tcW w:w="0" w:type="auto"/>
          </w:tcPr>
          <w:p w14:paraId="4114CEC7" w14:textId="5AE96872" w:rsidR="00DA7FB4" w:rsidRPr="003A0C5C" w:rsidRDefault="00DA7FB4" w:rsidP="00F07065">
            <w:pPr>
              <w:pStyle w:val="Tabletextnumber"/>
              <w:keepNext/>
              <w:ind w:left="504" w:hanging="504"/>
              <w:rPr>
                <w:rStyle w:val="Bold"/>
              </w:rPr>
            </w:pPr>
            <w:r w:rsidRPr="003A0C5C">
              <w:rPr>
                <w:rStyle w:val="Bold"/>
              </w:rPr>
              <w:t>XVIII.</w:t>
            </w:r>
            <w:r w:rsidRPr="003A0C5C">
              <w:rPr>
                <w:rStyle w:val="Bold"/>
              </w:rPr>
              <w:tab/>
              <w:t>TRIBAL CULTURAL RESOURCES</w:t>
            </w:r>
            <w:r w:rsidRPr="003A0C5C">
              <w:t>—Would the project:</w:t>
            </w:r>
          </w:p>
        </w:tc>
        <w:tc>
          <w:tcPr>
            <w:tcW w:w="0" w:type="auto"/>
          </w:tcPr>
          <w:p w14:paraId="564D7D7C" w14:textId="77777777" w:rsidR="00DA7FB4" w:rsidRPr="003A0C5C" w:rsidRDefault="00DA7FB4" w:rsidP="00F07065">
            <w:pPr>
              <w:pStyle w:val="Checklist"/>
              <w:rPr>
                <w:highlight w:val="yellow"/>
              </w:rPr>
            </w:pPr>
          </w:p>
        </w:tc>
        <w:tc>
          <w:tcPr>
            <w:tcW w:w="0" w:type="auto"/>
          </w:tcPr>
          <w:p w14:paraId="75D3EC0A" w14:textId="77777777" w:rsidR="00DA7FB4" w:rsidRPr="003A0C5C" w:rsidRDefault="00DA7FB4" w:rsidP="00F07065">
            <w:pPr>
              <w:pStyle w:val="Checklist"/>
              <w:rPr>
                <w:highlight w:val="yellow"/>
              </w:rPr>
            </w:pPr>
          </w:p>
        </w:tc>
        <w:tc>
          <w:tcPr>
            <w:tcW w:w="0" w:type="auto"/>
          </w:tcPr>
          <w:p w14:paraId="5E132E59" w14:textId="77777777" w:rsidR="00DA7FB4" w:rsidRPr="003A0C5C" w:rsidRDefault="00DA7FB4" w:rsidP="00F07065">
            <w:pPr>
              <w:pStyle w:val="Checklist"/>
              <w:rPr>
                <w:highlight w:val="yellow"/>
              </w:rPr>
            </w:pPr>
          </w:p>
        </w:tc>
        <w:tc>
          <w:tcPr>
            <w:tcW w:w="0" w:type="auto"/>
          </w:tcPr>
          <w:p w14:paraId="20E5E9C5" w14:textId="77777777" w:rsidR="00DA7FB4" w:rsidRPr="003A0C5C" w:rsidRDefault="00DA7FB4" w:rsidP="00F07065">
            <w:pPr>
              <w:pStyle w:val="Checklist"/>
              <w:rPr>
                <w:highlight w:val="yellow"/>
              </w:rPr>
            </w:pPr>
          </w:p>
        </w:tc>
      </w:tr>
      <w:tr w:rsidR="003A0C5C" w:rsidRPr="003A0C5C" w14:paraId="220A7938" w14:textId="77777777" w:rsidTr="00F07065">
        <w:trPr>
          <w:cantSplit/>
        </w:trPr>
        <w:tc>
          <w:tcPr>
            <w:tcW w:w="0" w:type="auto"/>
          </w:tcPr>
          <w:p w14:paraId="294C9C2D" w14:textId="3A93FB71" w:rsidR="00DA7FB4" w:rsidRPr="003A0C5C" w:rsidRDefault="00DA7FB4" w:rsidP="00DA7FB4">
            <w:pPr>
              <w:pStyle w:val="Tabletextnumber"/>
              <w:keepNext/>
            </w:pPr>
            <w:r w:rsidRPr="003A0C5C">
              <w:rPr>
                <w:rFonts w:cs="Arial"/>
                <w:szCs w:val="16"/>
              </w:rPr>
              <w:t>a)</w:t>
            </w:r>
            <w:r w:rsidRPr="003A0C5C">
              <w:rPr>
                <w:rFonts w:cs="Arial"/>
                <w:szCs w:val="16"/>
              </w:rPr>
              <w:tab/>
              <w:t xml:space="preserve">Cause a substantial adverse change in the significance of a tribal cultural resource, defined in Public </w:t>
            </w:r>
            <w:r w:rsidRPr="003A0C5C">
              <w:t>Resources</w:t>
            </w:r>
            <w:r w:rsidRPr="003A0C5C">
              <w:rPr>
                <w:rFonts w:cs="Arial"/>
                <w:szCs w:val="16"/>
              </w:rPr>
              <w:t xml:space="preserve"> Code </w:t>
            </w:r>
            <w:r w:rsidR="00356D58" w:rsidRPr="003A0C5C">
              <w:rPr>
                <w:rFonts w:cs="Arial"/>
                <w:szCs w:val="16"/>
              </w:rPr>
              <w:t>Section </w:t>
            </w:r>
            <w:r w:rsidRPr="003A0C5C">
              <w:rPr>
                <w:rFonts w:cs="Arial"/>
                <w:szCs w:val="16"/>
              </w:rPr>
              <w:t>21074 as either a site, feature, place, cultural landscape that is geographically defined in terms of the size and scope of the landscape, sacred place, or object with cultural value to a California Native American tribe, and that is:</w:t>
            </w:r>
          </w:p>
        </w:tc>
        <w:tc>
          <w:tcPr>
            <w:tcW w:w="0" w:type="auto"/>
          </w:tcPr>
          <w:p w14:paraId="7B102430" w14:textId="77777777" w:rsidR="00DA7FB4" w:rsidRPr="003A0C5C" w:rsidRDefault="00DA7FB4" w:rsidP="00DA7FB4">
            <w:pPr>
              <w:pStyle w:val="Checklist"/>
            </w:pPr>
          </w:p>
        </w:tc>
        <w:tc>
          <w:tcPr>
            <w:tcW w:w="0" w:type="auto"/>
          </w:tcPr>
          <w:p w14:paraId="35494E55" w14:textId="77777777" w:rsidR="00DA7FB4" w:rsidRPr="003A0C5C" w:rsidRDefault="00DA7FB4" w:rsidP="00DA7FB4">
            <w:pPr>
              <w:pStyle w:val="Checklist"/>
            </w:pPr>
          </w:p>
        </w:tc>
        <w:tc>
          <w:tcPr>
            <w:tcW w:w="0" w:type="auto"/>
          </w:tcPr>
          <w:p w14:paraId="584EE752" w14:textId="77777777" w:rsidR="00DA7FB4" w:rsidRPr="003A0C5C" w:rsidRDefault="00DA7FB4" w:rsidP="00DA7FB4">
            <w:pPr>
              <w:pStyle w:val="Checklist"/>
            </w:pPr>
          </w:p>
        </w:tc>
        <w:tc>
          <w:tcPr>
            <w:tcW w:w="0" w:type="auto"/>
          </w:tcPr>
          <w:p w14:paraId="660D29D3" w14:textId="77777777" w:rsidR="00DA7FB4" w:rsidRPr="003A0C5C" w:rsidRDefault="00DA7FB4" w:rsidP="00DA7FB4">
            <w:pPr>
              <w:pStyle w:val="Checklist"/>
            </w:pPr>
          </w:p>
        </w:tc>
      </w:tr>
      <w:tr w:rsidR="003A0C5C" w:rsidRPr="003A0C5C" w14:paraId="494042B3" w14:textId="77777777" w:rsidTr="00F07065">
        <w:trPr>
          <w:cantSplit/>
        </w:trPr>
        <w:tc>
          <w:tcPr>
            <w:tcW w:w="0" w:type="auto"/>
          </w:tcPr>
          <w:p w14:paraId="06D90C99" w14:textId="5A21F3C4" w:rsidR="00DA7FB4" w:rsidRPr="003A0C5C" w:rsidRDefault="00DA7FB4" w:rsidP="00DA7FB4">
            <w:pPr>
              <w:pStyle w:val="Tabletextnumber2"/>
            </w:pPr>
            <w:proofErr w:type="spellStart"/>
            <w:r w:rsidRPr="003A0C5C">
              <w:rPr>
                <w:spacing w:val="-2"/>
              </w:rPr>
              <w:t>i</w:t>
            </w:r>
            <w:proofErr w:type="spellEnd"/>
            <w:r w:rsidRPr="003A0C5C">
              <w:rPr>
                <w:spacing w:val="-2"/>
              </w:rPr>
              <w:t>)</w:t>
            </w:r>
            <w:r w:rsidRPr="003A0C5C">
              <w:rPr>
                <w:spacing w:val="-2"/>
              </w:rPr>
              <w:tab/>
              <w:t xml:space="preserve">Listed or eligible for listing in the California Register of Historical Resources, or in a local register of historical resources as defined in Public Resources Code </w:t>
            </w:r>
            <w:r w:rsidR="00CC791E" w:rsidRPr="003A0C5C">
              <w:rPr>
                <w:spacing w:val="-2"/>
              </w:rPr>
              <w:t>Section </w:t>
            </w:r>
            <w:r w:rsidRPr="003A0C5C">
              <w:rPr>
                <w:spacing w:val="-2"/>
              </w:rPr>
              <w:t>5020.1(k), or</w:t>
            </w:r>
          </w:p>
        </w:tc>
        <w:tc>
          <w:tcPr>
            <w:tcW w:w="0" w:type="auto"/>
          </w:tcPr>
          <w:p w14:paraId="4FC50659" w14:textId="205F0D26" w:rsidR="00DA7FB4" w:rsidRPr="003A0C5C" w:rsidRDefault="002348BC" w:rsidP="00DA7FB4">
            <w:pPr>
              <w:pStyle w:val="Checklist"/>
            </w:pPr>
            <w:sdt>
              <w:sdtPr>
                <w:id w:val="117117383"/>
                <w14:checkbox>
                  <w14:checked w14:val="0"/>
                  <w14:checkedState w14:val="2612" w14:font="MS Gothic"/>
                  <w14:uncheckedState w14:val="2610" w14:font="MS Gothic"/>
                </w14:checkbox>
              </w:sdtPr>
              <w:sdtEndPr/>
              <w:sdtContent>
                <w:r w:rsidR="00A96EEA" w:rsidRPr="003A0C5C">
                  <w:rPr>
                    <w:rFonts w:hint="eastAsia"/>
                  </w:rPr>
                  <w:t>☐</w:t>
                </w:r>
              </w:sdtContent>
            </w:sdt>
          </w:p>
        </w:tc>
        <w:tc>
          <w:tcPr>
            <w:tcW w:w="0" w:type="auto"/>
          </w:tcPr>
          <w:p w14:paraId="54916A15" w14:textId="133614F5" w:rsidR="00DA7FB4" w:rsidRPr="003A0C5C" w:rsidRDefault="002348BC" w:rsidP="00DA7FB4">
            <w:pPr>
              <w:pStyle w:val="Checklist"/>
              <w:rPr>
                <w:sz w:val="20"/>
              </w:rPr>
            </w:pPr>
            <w:sdt>
              <w:sdtPr>
                <w:id w:val="1542406072"/>
                <w14:checkbox>
                  <w14:checked w14:val="1"/>
                  <w14:checkedState w14:val="2612" w14:font="MS Gothic"/>
                  <w14:uncheckedState w14:val="2610" w14:font="MS Gothic"/>
                </w14:checkbox>
              </w:sdtPr>
              <w:sdtEndPr/>
              <w:sdtContent>
                <w:r w:rsidR="00F273F9" w:rsidRPr="003A0C5C">
                  <w:rPr>
                    <w:rFonts w:hint="eastAsia"/>
                  </w:rPr>
                  <w:t>☒</w:t>
                </w:r>
              </w:sdtContent>
            </w:sdt>
          </w:p>
        </w:tc>
        <w:tc>
          <w:tcPr>
            <w:tcW w:w="0" w:type="auto"/>
          </w:tcPr>
          <w:p w14:paraId="699F9B17" w14:textId="69D63382" w:rsidR="00DA7FB4" w:rsidRPr="003A0C5C" w:rsidRDefault="002348BC" w:rsidP="00DA7FB4">
            <w:pPr>
              <w:pStyle w:val="Checklist"/>
              <w:rPr>
                <w:sz w:val="20"/>
              </w:rPr>
            </w:pPr>
            <w:sdt>
              <w:sdtPr>
                <w:id w:val="-975380223"/>
                <w14:checkbox>
                  <w14:checked w14:val="0"/>
                  <w14:checkedState w14:val="2612" w14:font="MS Gothic"/>
                  <w14:uncheckedState w14:val="2610" w14:font="MS Gothic"/>
                </w14:checkbox>
              </w:sdtPr>
              <w:sdtEndPr/>
              <w:sdtContent>
                <w:r w:rsidR="00DA7FB4" w:rsidRPr="003A0C5C">
                  <w:rPr>
                    <w:rFonts w:hint="eastAsia"/>
                  </w:rPr>
                  <w:t>☐</w:t>
                </w:r>
              </w:sdtContent>
            </w:sdt>
          </w:p>
        </w:tc>
        <w:tc>
          <w:tcPr>
            <w:tcW w:w="0" w:type="auto"/>
          </w:tcPr>
          <w:p w14:paraId="2B0DBE0A" w14:textId="77777777" w:rsidR="00DA7FB4" w:rsidRPr="003A0C5C" w:rsidRDefault="002348BC" w:rsidP="00DA7FB4">
            <w:pPr>
              <w:pStyle w:val="Checklist"/>
              <w:rPr>
                <w:sz w:val="20"/>
              </w:rPr>
            </w:pPr>
            <w:sdt>
              <w:sdtPr>
                <w:id w:val="1034700960"/>
                <w14:checkbox>
                  <w14:checked w14:val="0"/>
                  <w14:checkedState w14:val="2612" w14:font="MS Gothic"/>
                  <w14:uncheckedState w14:val="2610" w14:font="MS Gothic"/>
                </w14:checkbox>
              </w:sdtPr>
              <w:sdtEndPr/>
              <w:sdtContent>
                <w:r w:rsidR="00DA7FB4" w:rsidRPr="003A0C5C">
                  <w:rPr>
                    <w:rFonts w:hint="eastAsia"/>
                  </w:rPr>
                  <w:t>☐</w:t>
                </w:r>
              </w:sdtContent>
            </w:sdt>
          </w:p>
        </w:tc>
      </w:tr>
      <w:tr w:rsidR="003A0C5C" w:rsidRPr="003A0C5C" w14:paraId="076E4FA0" w14:textId="77777777" w:rsidTr="00F07065">
        <w:trPr>
          <w:cantSplit/>
        </w:trPr>
        <w:tc>
          <w:tcPr>
            <w:tcW w:w="0" w:type="auto"/>
          </w:tcPr>
          <w:p w14:paraId="414BA84A" w14:textId="6CD6D517" w:rsidR="00DA7FB4" w:rsidRPr="003A0C5C" w:rsidRDefault="00DA7FB4" w:rsidP="00DA7FB4">
            <w:pPr>
              <w:pStyle w:val="Tabletextnumber2"/>
            </w:pPr>
            <w:r w:rsidRPr="003A0C5C">
              <w:rPr>
                <w:spacing w:val="-2"/>
              </w:rPr>
              <w:t>ii)</w:t>
            </w:r>
            <w:r w:rsidRPr="003A0C5C">
              <w:rPr>
                <w:spacing w:val="-2"/>
              </w:rPr>
              <w:tab/>
              <w:t xml:space="preserve">A resource determined by the lead agency, in its discretion and supported by substantial evidence, to be significant pursuant to criteria set forth in </w:t>
            </w:r>
            <w:r w:rsidR="00CD2E2E" w:rsidRPr="003A0C5C">
              <w:rPr>
                <w:spacing w:val="-2"/>
              </w:rPr>
              <w:t>subdivision </w:t>
            </w:r>
            <w:r w:rsidR="0060361D" w:rsidRPr="003A0C5C">
              <w:rPr>
                <w:spacing w:val="-2"/>
              </w:rPr>
              <w:t xml:space="preserve">c) </w:t>
            </w:r>
            <w:r w:rsidRPr="003A0C5C">
              <w:rPr>
                <w:spacing w:val="-2"/>
              </w:rPr>
              <w:t xml:space="preserve">of Public Resources Code </w:t>
            </w:r>
            <w:r w:rsidR="00CC791E" w:rsidRPr="003A0C5C">
              <w:rPr>
                <w:spacing w:val="-2"/>
              </w:rPr>
              <w:t>Section </w:t>
            </w:r>
            <w:r w:rsidRPr="003A0C5C">
              <w:rPr>
                <w:spacing w:val="-2"/>
              </w:rPr>
              <w:t xml:space="preserve">5024.1. In applying the criteria set forth in </w:t>
            </w:r>
            <w:r w:rsidR="00CD2E2E" w:rsidRPr="003A0C5C">
              <w:rPr>
                <w:spacing w:val="-2"/>
              </w:rPr>
              <w:t>subdivisi</w:t>
            </w:r>
            <w:r w:rsidR="008F53EF" w:rsidRPr="003A0C5C">
              <w:rPr>
                <w:spacing w:val="-2"/>
              </w:rPr>
              <w:t xml:space="preserve">on </w:t>
            </w:r>
            <w:r w:rsidRPr="003A0C5C">
              <w:rPr>
                <w:spacing w:val="-2"/>
              </w:rPr>
              <w:t xml:space="preserve">c) of Public Resources Code </w:t>
            </w:r>
            <w:r w:rsidR="00CC791E" w:rsidRPr="003A0C5C">
              <w:rPr>
                <w:spacing w:val="-2"/>
              </w:rPr>
              <w:t>Section </w:t>
            </w:r>
            <w:r w:rsidRPr="003A0C5C">
              <w:rPr>
                <w:spacing w:val="-2"/>
              </w:rPr>
              <w:t>5024.1, the lead agency shall consider the significance of the resource to a California Native American tribe.</w:t>
            </w:r>
          </w:p>
        </w:tc>
        <w:tc>
          <w:tcPr>
            <w:tcW w:w="0" w:type="auto"/>
          </w:tcPr>
          <w:p w14:paraId="0E8401DE" w14:textId="77777777" w:rsidR="00DA7FB4" w:rsidRPr="003A0C5C" w:rsidRDefault="002348BC" w:rsidP="00DA7FB4">
            <w:pPr>
              <w:pStyle w:val="Checklist"/>
            </w:pPr>
            <w:sdt>
              <w:sdtPr>
                <w:id w:val="1737130842"/>
                <w14:checkbox>
                  <w14:checked w14:val="0"/>
                  <w14:checkedState w14:val="2612" w14:font="MS Gothic"/>
                  <w14:uncheckedState w14:val="2610" w14:font="MS Gothic"/>
                </w14:checkbox>
              </w:sdtPr>
              <w:sdtEndPr/>
              <w:sdtContent>
                <w:r w:rsidR="00DA7FB4" w:rsidRPr="003A0C5C">
                  <w:t>☐</w:t>
                </w:r>
              </w:sdtContent>
            </w:sdt>
          </w:p>
        </w:tc>
        <w:tc>
          <w:tcPr>
            <w:tcW w:w="0" w:type="auto"/>
          </w:tcPr>
          <w:p w14:paraId="79485319" w14:textId="1C0D8F8D" w:rsidR="00DA7FB4" w:rsidRPr="003A0C5C" w:rsidRDefault="002348BC" w:rsidP="00DA7FB4">
            <w:pPr>
              <w:pStyle w:val="Checklist"/>
              <w:rPr>
                <w:sz w:val="20"/>
              </w:rPr>
            </w:pPr>
            <w:sdt>
              <w:sdtPr>
                <w:id w:val="2029143745"/>
                <w14:checkbox>
                  <w14:checked w14:val="1"/>
                  <w14:checkedState w14:val="2612" w14:font="MS Gothic"/>
                  <w14:uncheckedState w14:val="2610" w14:font="MS Gothic"/>
                </w14:checkbox>
              </w:sdtPr>
              <w:sdtEndPr/>
              <w:sdtContent>
                <w:r w:rsidR="00F273F9" w:rsidRPr="003A0C5C">
                  <w:rPr>
                    <w:rFonts w:hint="eastAsia"/>
                  </w:rPr>
                  <w:t>☒</w:t>
                </w:r>
              </w:sdtContent>
            </w:sdt>
          </w:p>
        </w:tc>
        <w:tc>
          <w:tcPr>
            <w:tcW w:w="0" w:type="auto"/>
          </w:tcPr>
          <w:p w14:paraId="66A8E1C9" w14:textId="10C59D2C" w:rsidR="00DA7FB4" w:rsidRPr="003A0C5C" w:rsidRDefault="002348BC" w:rsidP="00DA7FB4">
            <w:pPr>
              <w:pStyle w:val="Checklist"/>
              <w:rPr>
                <w:sz w:val="20"/>
              </w:rPr>
            </w:pPr>
            <w:sdt>
              <w:sdtPr>
                <w:id w:val="-1335217319"/>
                <w14:checkbox>
                  <w14:checked w14:val="0"/>
                  <w14:checkedState w14:val="2612" w14:font="MS Gothic"/>
                  <w14:uncheckedState w14:val="2610" w14:font="MS Gothic"/>
                </w14:checkbox>
              </w:sdtPr>
              <w:sdtEndPr/>
              <w:sdtContent>
                <w:r w:rsidR="00DA7FB4" w:rsidRPr="003A0C5C">
                  <w:rPr>
                    <w:rFonts w:hint="eastAsia"/>
                  </w:rPr>
                  <w:t>☐</w:t>
                </w:r>
              </w:sdtContent>
            </w:sdt>
          </w:p>
        </w:tc>
        <w:tc>
          <w:tcPr>
            <w:tcW w:w="0" w:type="auto"/>
          </w:tcPr>
          <w:p w14:paraId="77EAD806" w14:textId="77777777" w:rsidR="00DA7FB4" w:rsidRPr="003A0C5C" w:rsidRDefault="002348BC" w:rsidP="00DA7FB4">
            <w:pPr>
              <w:pStyle w:val="Checklist"/>
              <w:rPr>
                <w:sz w:val="20"/>
              </w:rPr>
            </w:pPr>
            <w:sdt>
              <w:sdtPr>
                <w:id w:val="1081254396"/>
                <w14:checkbox>
                  <w14:checked w14:val="0"/>
                  <w14:checkedState w14:val="2612" w14:font="MS Gothic"/>
                  <w14:uncheckedState w14:val="2610" w14:font="MS Gothic"/>
                </w14:checkbox>
              </w:sdtPr>
              <w:sdtEndPr/>
              <w:sdtContent>
                <w:r w:rsidR="00DA7FB4" w:rsidRPr="003A0C5C">
                  <w:rPr>
                    <w:rFonts w:hint="eastAsia"/>
                  </w:rPr>
                  <w:t>☐</w:t>
                </w:r>
              </w:sdtContent>
            </w:sdt>
          </w:p>
        </w:tc>
      </w:tr>
    </w:tbl>
    <w:p w14:paraId="504C8391" w14:textId="77777777" w:rsidR="002863E0" w:rsidRPr="003A0C5C" w:rsidRDefault="002863E0" w:rsidP="002863E0">
      <w:pPr>
        <w:pStyle w:val="Heading5"/>
      </w:pPr>
      <w:r w:rsidRPr="003A0C5C">
        <w:t>Discussion</w:t>
      </w:r>
    </w:p>
    <w:p w14:paraId="22602FB7" w14:textId="1936574D" w:rsidR="002863E0" w:rsidRPr="003A0C5C" w:rsidRDefault="002863E0" w:rsidP="000B40BA">
      <w:pPr>
        <w:pStyle w:val="12space"/>
      </w:pPr>
      <w:r w:rsidRPr="003A0C5C">
        <w:t xml:space="preserve">The following </w:t>
      </w:r>
      <w:r w:rsidR="00CC67F3" w:rsidRPr="003A0C5C">
        <w:t xml:space="preserve">discussion </w:t>
      </w:r>
      <w:r w:rsidRPr="003A0C5C">
        <w:t xml:space="preserve">is based on the </w:t>
      </w:r>
      <w:r w:rsidR="00CC67F3" w:rsidRPr="003A0C5C">
        <w:rPr>
          <w:rStyle w:val="Italic"/>
          <w:i w:val="0"/>
        </w:rPr>
        <w:t>21611 Perry Street Self-Storage Project</w:t>
      </w:r>
      <w:r w:rsidRPr="003A0C5C">
        <w:rPr>
          <w:rStyle w:val="Italic"/>
          <w:i w:val="0"/>
        </w:rPr>
        <w:t>, Cultural Resources Assessment Report</w:t>
      </w:r>
      <w:r w:rsidRPr="003A0C5C">
        <w:t xml:space="preserve">, located in </w:t>
      </w:r>
      <w:r w:rsidR="00CC67F3" w:rsidRPr="003A0C5C">
        <w:rPr>
          <w:b/>
          <w:bCs/>
        </w:rPr>
        <w:t xml:space="preserve">Appendix </w:t>
      </w:r>
      <w:r w:rsidR="0050211E" w:rsidRPr="003A0C5C">
        <w:rPr>
          <w:b/>
          <w:bCs/>
        </w:rPr>
        <w:t>C</w:t>
      </w:r>
      <w:r w:rsidRPr="003A0C5C">
        <w:t xml:space="preserve"> of this IS/MND</w:t>
      </w:r>
      <w:r w:rsidR="00CC67F3" w:rsidRPr="003A0C5C">
        <w:t>, as well as consultation conducted between tribes requesting consultation and the City</w:t>
      </w:r>
      <w:r w:rsidR="00036CCF" w:rsidRPr="003A0C5C">
        <w:t xml:space="preserve">, as </w:t>
      </w:r>
      <w:r w:rsidR="0076416C" w:rsidRPr="003A0C5C">
        <w:t xml:space="preserve">provided in </w:t>
      </w:r>
      <w:r w:rsidR="0076416C" w:rsidRPr="003A0C5C">
        <w:rPr>
          <w:b/>
          <w:bCs/>
        </w:rPr>
        <w:t>Appendix M</w:t>
      </w:r>
      <w:r w:rsidR="0076416C" w:rsidRPr="003A0C5C">
        <w:t xml:space="preserve"> of this IS/MND. </w:t>
      </w:r>
      <w:r w:rsidR="0076416C" w:rsidRPr="003A0C5C">
        <w:rPr>
          <w:b/>
          <w:bCs/>
        </w:rPr>
        <w:t>Appendix C</w:t>
      </w:r>
      <w:r w:rsidR="0076416C" w:rsidRPr="003A0C5C">
        <w:t xml:space="preserve"> </w:t>
      </w:r>
      <w:r w:rsidR="00036CCF" w:rsidRPr="003A0C5C">
        <w:t>is</w:t>
      </w:r>
      <w:r w:rsidRPr="003A0C5C">
        <w:t xml:space="preserve"> confidential and not for public distribution.</w:t>
      </w:r>
    </w:p>
    <w:p w14:paraId="33C174BD" w14:textId="07A66ED2" w:rsidR="00285C9A" w:rsidRPr="003A0C5C" w:rsidRDefault="00CC67F3" w:rsidP="000B40BA">
      <w:pPr>
        <w:pStyle w:val="12spaceindent"/>
      </w:pPr>
      <w:proofErr w:type="spellStart"/>
      <w:proofErr w:type="gramStart"/>
      <w:r w:rsidRPr="003A0C5C">
        <w:t>a.i</w:t>
      </w:r>
      <w:proofErr w:type="spellEnd"/>
      <w:proofErr w:type="gramEnd"/>
      <w:r w:rsidRPr="003A0C5C">
        <w:t xml:space="preserve">, </w:t>
      </w:r>
      <w:proofErr w:type="spellStart"/>
      <w:r w:rsidRPr="003A0C5C">
        <w:t>a.ii</w:t>
      </w:r>
      <w:proofErr w:type="spellEnd"/>
      <w:r w:rsidRPr="003A0C5C">
        <w:t>)</w:t>
      </w:r>
      <w:r w:rsidRPr="003A0C5C">
        <w:tab/>
        <w:t xml:space="preserve">The NAHC maintains a confidential SLF, which contains records of sites of traditional, cultural, or religious value to the Native American community. </w:t>
      </w:r>
      <w:r w:rsidR="00285C9A" w:rsidRPr="003A0C5C">
        <w:t>The NAHC was contacted on November 2, 2021, to request a search of the SLF. The NAHC responded to the request in a letter dated December 16, 2021, with the results of the SLF search conducted by the NAHC, which indicated a negative search result. The NAHC provided a list of tribes who could be contacted for information regarding known and recorded sites.</w:t>
      </w:r>
    </w:p>
    <w:p w14:paraId="169AA818" w14:textId="66F9C2A6" w:rsidR="00CC67F3" w:rsidRPr="003A0C5C" w:rsidRDefault="00CC67F3" w:rsidP="000B40BA">
      <w:pPr>
        <w:pStyle w:val="12spaceindent"/>
        <w:ind w:firstLine="0"/>
      </w:pPr>
      <w:r w:rsidRPr="003A0C5C">
        <w:t xml:space="preserve">Additionally, a records search was </w:t>
      </w:r>
      <w:r w:rsidR="00285C9A" w:rsidRPr="003A0C5C">
        <w:t>received</w:t>
      </w:r>
      <w:r w:rsidRPr="003A0C5C">
        <w:t xml:space="preserve"> from the SCCIC on </w:t>
      </w:r>
      <w:r w:rsidR="00285C9A" w:rsidRPr="003A0C5C">
        <w:t>December 7</w:t>
      </w:r>
      <w:r w:rsidRPr="003A0C5C">
        <w:t>, 202</w:t>
      </w:r>
      <w:r w:rsidR="00285C9A" w:rsidRPr="003A0C5C">
        <w:t>1</w:t>
      </w:r>
      <w:r w:rsidRPr="003A0C5C">
        <w:t>, and archival research was done in house to determine whether the study area contains any recorded cultural resources that have been previously identified or evaluated. This includes data on prehistoric sites, historic sites, multicomponent sites, prehistoric isolates, historic period isolates, and historic built resources within the project site and a 0.5-mile radius around it.</w:t>
      </w:r>
    </w:p>
    <w:p w14:paraId="35EFB12A" w14:textId="626BDC95" w:rsidR="00285C9A" w:rsidRPr="003A0C5C" w:rsidRDefault="00285C9A" w:rsidP="000B40BA">
      <w:pPr>
        <w:pStyle w:val="12spaceindentcontinue"/>
      </w:pPr>
      <w:r w:rsidRPr="003A0C5C">
        <w:t>The records search included a review of all recorded archaeological resources and previous studies within a 0.5-mile radius of the project site. The records search results indicate five cultural resources studies have been conducted within the records search radius. The entirety of the 0.5-mile records search radius has been included in previous cultural resources studies. Of the five previous studies, one (LA-04512) overlaps the entirety of the project site. This study is a cultural resources inventory of the City conducted in 1977 and included extensive archival research and field survey of accessible parcels within the City. In reviewing the report, it is difficult to discern if the project site was included as part of the inventory’s field survey. The records search revealed that one cultural resource (P-19-188395) has been previously recorded within the 0.5-mile radius of the project site. This resource is a historic-period built environment resource consisting of the Shell Oil Refinery complex located approximately 0.20</w:t>
      </w:r>
      <w:r w:rsidR="00830A49" w:rsidRPr="003A0C5C">
        <w:t xml:space="preserve"> </w:t>
      </w:r>
      <w:r w:rsidRPr="003A0C5C">
        <w:t xml:space="preserve">miles north of the project site. No resources have been recorded within the project site. A survey of the project site further did not result in the recordation of any additional resources. </w:t>
      </w:r>
    </w:p>
    <w:p w14:paraId="7B7BBC1A" w14:textId="6BF7C7CA" w:rsidR="009F7043" w:rsidRPr="003A0C5C" w:rsidRDefault="00CC67F3" w:rsidP="00470914">
      <w:pPr>
        <w:pStyle w:val="12spaceindentcontinue"/>
      </w:pPr>
      <w:r w:rsidRPr="003A0C5C">
        <w:t xml:space="preserve">Pursuant to the requirements of AB 52 requiring government-to-government consultation, the City, as the lead agency, sent consultation notification letters via </w:t>
      </w:r>
      <w:r w:rsidR="00BE5749" w:rsidRPr="003A0C5C">
        <w:t xml:space="preserve">e-mail and </w:t>
      </w:r>
      <w:r w:rsidRPr="003A0C5C">
        <w:t xml:space="preserve">certified </w:t>
      </w:r>
      <w:r w:rsidR="00BE5749" w:rsidRPr="003A0C5C">
        <w:t xml:space="preserve">U.S. </w:t>
      </w:r>
      <w:r w:rsidRPr="003A0C5C">
        <w:t>mail to Native American groups geographically and culturally affiliated with the project site on</w:t>
      </w:r>
      <w:r w:rsidR="00116F4E" w:rsidRPr="003A0C5C">
        <w:t xml:space="preserve"> October 28, 2021</w:t>
      </w:r>
      <w:r w:rsidRPr="003A0C5C">
        <w:t xml:space="preserve">. The letters included a description of the </w:t>
      </w:r>
      <w:r w:rsidR="00433408" w:rsidRPr="003A0C5C">
        <w:t xml:space="preserve">proposed </w:t>
      </w:r>
      <w:r w:rsidRPr="003A0C5C">
        <w:t xml:space="preserve">project, the description of the project location, and a notification of the type of consultation being initiated. </w:t>
      </w:r>
      <w:r w:rsidR="0062367B" w:rsidRPr="003A0C5C">
        <w:t>To date, the City has received one response from the Native American groups regarding consultation, the details of which are provided below.</w:t>
      </w:r>
      <w:r w:rsidR="009F7043" w:rsidRPr="003A0C5C">
        <w:t xml:space="preserve"> </w:t>
      </w:r>
    </w:p>
    <w:p w14:paraId="476C7EAD" w14:textId="3C024DEC" w:rsidR="0062367B" w:rsidRPr="003A0C5C" w:rsidRDefault="009F7043" w:rsidP="00470914">
      <w:pPr>
        <w:pStyle w:val="12spaceindentcontinue"/>
      </w:pPr>
      <w:r w:rsidRPr="003A0C5C">
        <w:t>Pursuant to SB</w:t>
      </w:r>
      <w:r w:rsidR="003C05F3" w:rsidRPr="003A0C5C">
        <w:t xml:space="preserve"> </w:t>
      </w:r>
      <w:r w:rsidRPr="003A0C5C">
        <w:t>18</w:t>
      </w:r>
      <w:r w:rsidR="003C05F3" w:rsidRPr="003A0C5C">
        <w:t>,</w:t>
      </w:r>
      <w:r w:rsidRPr="003A0C5C">
        <w:t xml:space="preserve"> the City contacted the NAHC to request the list of tribes who should be consulted regarding the proposed projects. The City has reached out to the list of tribes and is engaging in consultation with </w:t>
      </w:r>
      <w:r w:rsidR="00CE232F" w:rsidRPr="003A0C5C">
        <w:t xml:space="preserve">any tribes requesting SB 18 consultation. </w:t>
      </w:r>
    </w:p>
    <w:p w14:paraId="28449275" w14:textId="567218F2" w:rsidR="0062367B" w:rsidRPr="003A0C5C" w:rsidRDefault="0062367B" w:rsidP="00470914">
      <w:pPr>
        <w:pStyle w:val="12spaceindentcontinue"/>
        <w:rPr>
          <w:spacing w:val="-2"/>
        </w:rPr>
      </w:pPr>
      <w:r w:rsidRPr="003A0C5C">
        <w:rPr>
          <w:spacing w:val="-2"/>
        </w:rPr>
        <w:t xml:space="preserve">As indicated above, only one response was received. The </w:t>
      </w:r>
      <w:proofErr w:type="spellStart"/>
      <w:r w:rsidR="000136FB" w:rsidRPr="003A0C5C">
        <w:t>Gabriele</w:t>
      </w:r>
      <w:r w:rsidR="000136FB" w:rsidRPr="003A0C5C">
        <w:rPr>
          <w:rFonts w:cs="Times New Roman"/>
        </w:rPr>
        <w:t>ño</w:t>
      </w:r>
      <w:proofErr w:type="spellEnd"/>
      <w:r w:rsidR="000136FB" w:rsidRPr="003A0C5C" w:rsidDel="000136FB">
        <w:rPr>
          <w:rFonts w:cs="Times"/>
          <w:spacing w:val="-2"/>
        </w:rPr>
        <w:t xml:space="preserve"> </w:t>
      </w:r>
      <w:r w:rsidRPr="003A0C5C">
        <w:rPr>
          <w:spacing w:val="-2"/>
        </w:rPr>
        <w:t>Band of Mission Indians-</w:t>
      </w:r>
      <w:proofErr w:type="spellStart"/>
      <w:r w:rsidRPr="003A0C5C">
        <w:rPr>
          <w:spacing w:val="-2"/>
        </w:rPr>
        <w:t>Kizh</w:t>
      </w:r>
      <w:proofErr w:type="spellEnd"/>
      <w:r w:rsidRPr="003A0C5C">
        <w:rPr>
          <w:spacing w:val="-2"/>
        </w:rPr>
        <w:t xml:space="preserve"> Nation responded on </w:t>
      </w:r>
      <w:r w:rsidR="00783DA4" w:rsidRPr="003A0C5C">
        <w:rPr>
          <w:spacing w:val="-2"/>
        </w:rPr>
        <w:t>November 10, 2021</w:t>
      </w:r>
      <w:r w:rsidRPr="003A0C5C">
        <w:rPr>
          <w:spacing w:val="-2"/>
        </w:rPr>
        <w:t xml:space="preserve">, stating that the project site is located within the tribe’s traditional ancestral territory and requested formal government-to-government consultation. The </w:t>
      </w:r>
      <w:proofErr w:type="spellStart"/>
      <w:r w:rsidR="000136FB" w:rsidRPr="003A0C5C">
        <w:t>Gabriele</w:t>
      </w:r>
      <w:r w:rsidR="000136FB" w:rsidRPr="003A0C5C">
        <w:rPr>
          <w:rFonts w:cs="Times New Roman"/>
        </w:rPr>
        <w:t>ño</w:t>
      </w:r>
      <w:proofErr w:type="spellEnd"/>
      <w:r w:rsidR="000136FB" w:rsidRPr="003A0C5C" w:rsidDel="000136FB">
        <w:rPr>
          <w:rFonts w:cs="Times"/>
          <w:spacing w:val="-2"/>
        </w:rPr>
        <w:t xml:space="preserve"> </w:t>
      </w:r>
      <w:r w:rsidRPr="003A0C5C">
        <w:rPr>
          <w:spacing w:val="-2"/>
        </w:rPr>
        <w:t>Band of Mission Indians-</w:t>
      </w:r>
      <w:proofErr w:type="spellStart"/>
      <w:r w:rsidRPr="003A0C5C">
        <w:rPr>
          <w:spacing w:val="-2"/>
        </w:rPr>
        <w:t>Kizh</w:t>
      </w:r>
      <w:proofErr w:type="spellEnd"/>
      <w:r w:rsidRPr="003A0C5C">
        <w:rPr>
          <w:spacing w:val="-2"/>
        </w:rPr>
        <w:t xml:space="preserve"> Nation</w:t>
      </w:r>
      <w:r w:rsidRPr="003A0C5C" w:rsidDel="00D073F5">
        <w:rPr>
          <w:spacing w:val="-2"/>
        </w:rPr>
        <w:t xml:space="preserve"> </w:t>
      </w:r>
      <w:r w:rsidRPr="003A0C5C">
        <w:rPr>
          <w:spacing w:val="-2"/>
        </w:rPr>
        <w:t xml:space="preserve">provided </w:t>
      </w:r>
      <w:r w:rsidR="00CB67A5" w:rsidRPr="003A0C5C">
        <w:rPr>
          <w:spacing w:val="-2"/>
        </w:rPr>
        <w:t xml:space="preserve">in a subsequent email and during phone call consultations historic topo maps of the project site as well as information regarding the Rancho San Pedro, local Native American villages, </w:t>
      </w:r>
      <w:r w:rsidR="00A10733" w:rsidRPr="003A0C5C">
        <w:rPr>
          <w:spacing w:val="-2"/>
        </w:rPr>
        <w:t xml:space="preserve">and information regarding the Dominguez Wash. </w:t>
      </w:r>
      <w:r w:rsidRPr="003A0C5C">
        <w:rPr>
          <w:spacing w:val="-2"/>
        </w:rPr>
        <w:t xml:space="preserve">The </w:t>
      </w:r>
      <w:proofErr w:type="spellStart"/>
      <w:r w:rsidR="000136FB" w:rsidRPr="003A0C5C">
        <w:t>Gabriele</w:t>
      </w:r>
      <w:r w:rsidR="000136FB" w:rsidRPr="003A0C5C">
        <w:rPr>
          <w:rFonts w:cs="Times New Roman"/>
        </w:rPr>
        <w:t>ño</w:t>
      </w:r>
      <w:proofErr w:type="spellEnd"/>
      <w:r w:rsidR="000136FB" w:rsidRPr="003A0C5C" w:rsidDel="000136FB">
        <w:rPr>
          <w:spacing w:val="-2"/>
        </w:rPr>
        <w:t xml:space="preserve"> </w:t>
      </w:r>
      <w:r w:rsidRPr="003A0C5C">
        <w:rPr>
          <w:spacing w:val="-2"/>
        </w:rPr>
        <w:t>Band of Mission Indians-</w:t>
      </w:r>
      <w:proofErr w:type="spellStart"/>
      <w:r w:rsidRPr="003A0C5C">
        <w:rPr>
          <w:spacing w:val="-2"/>
        </w:rPr>
        <w:t>Kizh</w:t>
      </w:r>
      <w:proofErr w:type="spellEnd"/>
      <w:r w:rsidRPr="003A0C5C">
        <w:rPr>
          <w:spacing w:val="-2"/>
        </w:rPr>
        <w:t xml:space="preserve"> Nation indicated that the project site is archaeologically sensitive, but did not identify any known tribal cultural resources (as defined in Public Resources Code </w:t>
      </w:r>
      <w:r w:rsidR="00CC791E" w:rsidRPr="003A0C5C">
        <w:rPr>
          <w:spacing w:val="-2"/>
        </w:rPr>
        <w:t>Section </w:t>
      </w:r>
      <w:r w:rsidRPr="003A0C5C">
        <w:rPr>
          <w:spacing w:val="-2"/>
        </w:rPr>
        <w:t xml:space="preserve">21074) within the project site. The Tribe recommended monitoring during construction and the City agreed with this recommendation and the Tribe and the City agreed to </w:t>
      </w:r>
      <w:r w:rsidR="00A10733" w:rsidRPr="003A0C5C">
        <w:rPr>
          <w:spacing w:val="-2"/>
        </w:rPr>
        <w:t>monitoring mitigation</w:t>
      </w:r>
      <w:r w:rsidRPr="003A0C5C">
        <w:rPr>
          <w:spacing w:val="-2"/>
        </w:rPr>
        <w:t xml:space="preserve">. The Tribe </w:t>
      </w:r>
      <w:r w:rsidR="00A10733" w:rsidRPr="003A0C5C">
        <w:rPr>
          <w:spacing w:val="-2"/>
        </w:rPr>
        <w:t>provided</w:t>
      </w:r>
      <w:r w:rsidRPr="003A0C5C">
        <w:rPr>
          <w:spacing w:val="-2"/>
        </w:rPr>
        <w:t xml:space="preserve"> mitigation measures </w:t>
      </w:r>
      <w:r w:rsidR="00A10733" w:rsidRPr="003A0C5C">
        <w:rPr>
          <w:spacing w:val="-2"/>
        </w:rPr>
        <w:t xml:space="preserve">for tribal cultural resources as well as human remains </w:t>
      </w:r>
      <w:r w:rsidRPr="003A0C5C">
        <w:rPr>
          <w:spacing w:val="-2"/>
        </w:rPr>
        <w:t>they would like used for the project</w:t>
      </w:r>
      <w:r w:rsidR="00A10733" w:rsidRPr="003A0C5C">
        <w:rPr>
          <w:spacing w:val="-2"/>
        </w:rPr>
        <w:t xml:space="preserve"> and the City adapted for the project. Upon approval from the </w:t>
      </w:r>
      <w:r w:rsidR="008627A3" w:rsidRPr="003A0C5C">
        <w:rPr>
          <w:spacing w:val="-2"/>
        </w:rPr>
        <w:t>T</w:t>
      </w:r>
      <w:r w:rsidR="00A10733" w:rsidRPr="003A0C5C">
        <w:rPr>
          <w:spacing w:val="-2"/>
        </w:rPr>
        <w:t xml:space="preserve">ribe of the mitigation measures, the City closed consultation on </w:t>
      </w:r>
      <w:r w:rsidR="0006406A" w:rsidRPr="003A0C5C">
        <w:rPr>
          <w:spacing w:val="-2"/>
        </w:rPr>
        <w:t>Monday</w:t>
      </w:r>
      <w:r w:rsidR="00036CCF" w:rsidRPr="003A0C5C">
        <w:rPr>
          <w:spacing w:val="-2"/>
        </w:rPr>
        <w:t>,</w:t>
      </w:r>
      <w:r w:rsidR="0006406A" w:rsidRPr="003A0C5C">
        <w:rPr>
          <w:spacing w:val="-2"/>
        </w:rPr>
        <w:t xml:space="preserve"> March 28, 2022</w:t>
      </w:r>
      <w:r w:rsidR="00A10733" w:rsidRPr="003A0C5C">
        <w:rPr>
          <w:spacing w:val="-2"/>
        </w:rPr>
        <w:t xml:space="preserve">. </w:t>
      </w:r>
    </w:p>
    <w:p w14:paraId="69B363A6" w14:textId="6FAF6310" w:rsidR="0062367B" w:rsidRPr="003A0C5C" w:rsidRDefault="0062367B" w:rsidP="00470914">
      <w:pPr>
        <w:pStyle w:val="12spaceindentcontinue"/>
      </w:pPr>
      <w:r w:rsidRPr="003A0C5C">
        <w:t xml:space="preserve">Although no substantial evidence was provided to support the </w:t>
      </w:r>
      <w:proofErr w:type="spellStart"/>
      <w:r w:rsidRPr="003A0C5C">
        <w:t>Kizh</w:t>
      </w:r>
      <w:proofErr w:type="spellEnd"/>
      <w:r w:rsidRPr="003A0C5C">
        <w:t xml:space="preserve"> Tribal claim that any known sacred lands or tribal cultural resources overlap with or occur within the project site</w:t>
      </w:r>
      <w:r w:rsidR="00A10733" w:rsidRPr="003A0C5C">
        <w:t xml:space="preserve"> outside of the previously remediated areas</w:t>
      </w:r>
      <w:r w:rsidRPr="003A0C5C">
        <w:t xml:space="preserve">, the City’s review of the </w:t>
      </w:r>
      <w:proofErr w:type="spellStart"/>
      <w:r w:rsidRPr="003A0C5C">
        <w:t>Kizh</w:t>
      </w:r>
      <w:proofErr w:type="spellEnd"/>
      <w:r w:rsidRPr="003A0C5C">
        <w:t xml:space="preserve"> Tribal information concludes that the project site has potentially high sensitivity for buried archaeological resources</w:t>
      </w:r>
      <w:r w:rsidR="00A10733" w:rsidRPr="003A0C5C">
        <w:t xml:space="preserve"> (outside or below the previous remediation areas)</w:t>
      </w:r>
      <w:r w:rsidRPr="003A0C5C">
        <w:t xml:space="preserve"> that, once encountered, could potentially be considered a tribal cultural resource as defined in </w:t>
      </w:r>
      <w:r w:rsidR="007E2308" w:rsidRPr="003A0C5C">
        <w:t>Public Resources Code</w:t>
      </w:r>
      <w:r w:rsidR="007E2308" w:rsidRPr="003A0C5C" w:rsidDel="007E2308">
        <w:t xml:space="preserve"> </w:t>
      </w:r>
      <w:r w:rsidR="00CC791E" w:rsidRPr="003A0C5C">
        <w:t>Sections </w:t>
      </w:r>
      <w:r w:rsidRPr="003A0C5C">
        <w:t>21074, 5020.1(k), or 5024.1.</w:t>
      </w:r>
    </w:p>
    <w:p w14:paraId="56998CDD" w14:textId="53A8B6ED" w:rsidR="007F3F0F" w:rsidRPr="003A0C5C" w:rsidRDefault="0062367B" w:rsidP="00470914">
      <w:pPr>
        <w:pStyle w:val="12spaceindentcontinue"/>
      </w:pPr>
      <w:r w:rsidRPr="003A0C5C">
        <w:rPr>
          <w:spacing w:val="-2"/>
        </w:rPr>
        <w:t xml:space="preserve">Should any unanticipated prehistoric archaeological resources be determined during consultation between the Tribes and the City to potentially be tribal cultural resources, </w:t>
      </w:r>
      <w:r w:rsidR="007E2308" w:rsidRPr="003A0C5C">
        <w:rPr>
          <w:spacing w:val="-2"/>
        </w:rPr>
        <w:t>Public Resources Code</w:t>
      </w:r>
      <w:r w:rsidRPr="003A0C5C">
        <w:rPr>
          <w:spacing w:val="-2"/>
        </w:rPr>
        <w:t xml:space="preserve"> </w:t>
      </w:r>
      <w:r w:rsidR="00CC791E" w:rsidRPr="003A0C5C">
        <w:rPr>
          <w:spacing w:val="-2"/>
        </w:rPr>
        <w:t>Section </w:t>
      </w:r>
      <w:r w:rsidRPr="003A0C5C">
        <w:rPr>
          <w:spacing w:val="-2"/>
        </w:rPr>
        <w:t xml:space="preserve">21084.3 would apply. Should the lead agency (City) determine that the project may cause a substantial adverse change to a tribal cultural resource, the agency will need to consider avoidance and preservation of the resources as well as mitigation measures outlined in </w:t>
      </w:r>
      <w:r w:rsidR="007E2308" w:rsidRPr="003A0C5C">
        <w:rPr>
          <w:spacing w:val="-2"/>
        </w:rPr>
        <w:t>Public Resources Code</w:t>
      </w:r>
      <w:r w:rsidR="007E2308" w:rsidRPr="003A0C5C" w:rsidDel="007E2308">
        <w:rPr>
          <w:spacing w:val="-2"/>
        </w:rPr>
        <w:t xml:space="preserve"> </w:t>
      </w:r>
      <w:r w:rsidR="00196699" w:rsidRPr="003A0C5C">
        <w:rPr>
          <w:spacing w:val="-2"/>
        </w:rPr>
        <w:t>S</w:t>
      </w:r>
      <w:r w:rsidRPr="003A0C5C">
        <w:rPr>
          <w:spacing w:val="-2"/>
        </w:rPr>
        <w:t>ection 21084.3(b)(1)</w:t>
      </w:r>
      <w:proofErr w:type="gramStart"/>
      <w:r w:rsidRPr="003A0C5C">
        <w:rPr>
          <w:spacing w:val="-2"/>
        </w:rPr>
        <w:t>–(</w:t>
      </w:r>
      <w:proofErr w:type="gramEnd"/>
      <w:r w:rsidRPr="003A0C5C">
        <w:rPr>
          <w:spacing w:val="-2"/>
        </w:rPr>
        <w:t xml:space="preserve">4), which can be considered to avoid or minimize the significant adverse impacts. As stated above, as required by AB 52, consultation between the City and the </w:t>
      </w:r>
      <w:proofErr w:type="spellStart"/>
      <w:r w:rsidR="004D558B" w:rsidRPr="003A0C5C">
        <w:t>Gabriele</w:t>
      </w:r>
      <w:r w:rsidR="004D558B" w:rsidRPr="003A0C5C">
        <w:rPr>
          <w:rFonts w:cs="Times New Roman"/>
        </w:rPr>
        <w:t>ño</w:t>
      </w:r>
      <w:proofErr w:type="spellEnd"/>
      <w:r w:rsidR="004D558B" w:rsidRPr="003A0C5C" w:rsidDel="004D558B">
        <w:rPr>
          <w:rFonts w:cs="Times"/>
          <w:spacing w:val="-2"/>
        </w:rPr>
        <w:t xml:space="preserve"> </w:t>
      </w:r>
      <w:r w:rsidRPr="003A0C5C">
        <w:rPr>
          <w:spacing w:val="-2"/>
        </w:rPr>
        <w:t>Band of Mission Indians-</w:t>
      </w:r>
      <w:proofErr w:type="spellStart"/>
      <w:r w:rsidRPr="003A0C5C">
        <w:rPr>
          <w:spacing w:val="-2"/>
        </w:rPr>
        <w:t>Kizh</w:t>
      </w:r>
      <w:proofErr w:type="spellEnd"/>
      <w:r w:rsidRPr="003A0C5C">
        <w:rPr>
          <w:spacing w:val="-2"/>
        </w:rPr>
        <w:t xml:space="preserve"> Nation</w:t>
      </w:r>
      <w:r w:rsidRPr="003A0C5C" w:rsidDel="00D073F5">
        <w:rPr>
          <w:spacing w:val="-2"/>
        </w:rPr>
        <w:t xml:space="preserve"> </w:t>
      </w:r>
      <w:r w:rsidRPr="003A0C5C">
        <w:rPr>
          <w:spacing w:val="-2"/>
        </w:rPr>
        <w:t xml:space="preserve">was conducted. No identified tribal cultural resources as defined in </w:t>
      </w:r>
      <w:r w:rsidR="007E2308" w:rsidRPr="003A0C5C">
        <w:rPr>
          <w:spacing w:val="-2"/>
        </w:rPr>
        <w:t>Public Resources Code</w:t>
      </w:r>
      <w:r w:rsidR="007E2308" w:rsidRPr="003A0C5C" w:rsidDel="007E2308">
        <w:rPr>
          <w:spacing w:val="-2"/>
        </w:rPr>
        <w:t xml:space="preserve"> </w:t>
      </w:r>
      <w:r w:rsidR="00CC791E" w:rsidRPr="003A0C5C">
        <w:rPr>
          <w:spacing w:val="-2"/>
        </w:rPr>
        <w:t>Section </w:t>
      </w:r>
      <w:r w:rsidRPr="003A0C5C">
        <w:rPr>
          <w:spacing w:val="-2"/>
        </w:rPr>
        <w:t xml:space="preserve">21074(a)(1) that are listed or eligible for listing in the California Register of Historical Resources, or in a local </w:t>
      </w:r>
      <w:r w:rsidRPr="003A0C5C">
        <w:rPr>
          <w:spacing w:val="-2"/>
          <w:szCs w:val="24"/>
        </w:rPr>
        <w:t>register</w:t>
      </w:r>
      <w:r w:rsidRPr="003A0C5C">
        <w:rPr>
          <w:spacing w:val="-2"/>
        </w:rPr>
        <w:t xml:space="preserve"> of historical resources as defined in Public Resources Code </w:t>
      </w:r>
      <w:r w:rsidR="00CC791E" w:rsidRPr="003A0C5C">
        <w:rPr>
          <w:spacing w:val="-2"/>
        </w:rPr>
        <w:t>Section </w:t>
      </w:r>
      <w:r w:rsidRPr="003A0C5C">
        <w:rPr>
          <w:spacing w:val="-2"/>
        </w:rPr>
        <w:t>5020.1 (k) have been identified within the project site. However, implementation of Mitigation Measure MM-TCR-1</w:t>
      </w:r>
      <w:r w:rsidR="007E2308" w:rsidRPr="003A0C5C">
        <w:rPr>
          <w:spacing w:val="-2"/>
        </w:rPr>
        <w:t xml:space="preserve"> </w:t>
      </w:r>
      <w:r w:rsidRPr="003A0C5C">
        <w:rPr>
          <w:spacing w:val="-2"/>
        </w:rPr>
        <w:t>would avoid and/or substantially lessen</w:t>
      </w:r>
      <w:r w:rsidR="007E2308" w:rsidRPr="003A0C5C">
        <w:rPr>
          <w:spacing w:val="-2"/>
        </w:rPr>
        <w:t> </w:t>
      </w:r>
      <w:r w:rsidRPr="003A0C5C">
        <w:rPr>
          <w:spacing w:val="-2"/>
        </w:rPr>
        <w:t>the above impact by ensuring that any unanticipated tribal cultural resources are appropriately identified, documented, evaluated, and treated promptl</w:t>
      </w:r>
      <w:r w:rsidR="007E2308" w:rsidRPr="003A0C5C">
        <w:rPr>
          <w:spacing w:val="-2"/>
        </w:rPr>
        <w:t>y</w:t>
      </w:r>
      <w:r w:rsidRPr="003A0C5C">
        <w:rPr>
          <w:spacing w:val="-2"/>
        </w:rPr>
        <w:t>, so they are not</w:t>
      </w:r>
      <w:r w:rsidR="007E2308" w:rsidRPr="003A0C5C">
        <w:rPr>
          <w:spacing w:val="-2"/>
        </w:rPr>
        <w:t> </w:t>
      </w:r>
      <w:r w:rsidRPr="003A0C5C">
        <w:rPr>
          <w:spacing w:val="-2"/>
        </w:rPr>
        <w:t>inadvertently damaged or destroyed. With implementation of Mitigation Measure MM</w:t>
      </w:r>
      <w:r w:rsidR="007E2308" w:rsidRPr="003A0C5C">
        <w:rPr>
          <w:spacing w:val="-2"/>
        </w:rPr>
        <w:t> </w:t>
      </w:r>
      <w:r w:rsidRPr="003A0C5C">
        <w:rPr>
          <w:spacing w:val="-2"/>
        </w:rPr>
        <w:t>TCR</w:t>
      </w:r>
      <w:r w:rsidR="007E2308" w:rsidRPr="003A0C5C">
        <w:rPr>
          <w:spacing w:val="-2"/>
        </w:rPr>
        <w:noBreakHyphen/>
      </w:r>
      <w:r w:rsidRPr="003A0C5C">
        <w:rPr>
          <w:spacing w:val="-2"/>
        </w:rPr>
        <w:t xml:space="preserve">1, the impact to any unanticipated </w:t>
      </w:r>
      <w:r w:rsidR="00920915" w:rsidRPr="003A0C5C">
        <w:rPr>
          <w:spacing w:val="-2"/>
        </w:rPr>
        <w:t>t</w:t>
      </w:r>
      <w:r w:rsidRPr="003A0C5C">
        <w:rPr>
          <w:spacing w:val="-2"/>
        </w:rPr>
        <w:t>ribal cultural resources would be less than significant.</w:t>
      </w:r>
      <w:r w:rsidR="007F3F0F" w:rsidRPr="003A0C5C">
        <w:t xml:space="preserve"> </w:t>
      </w:r>
    </w:p>
    <w:p w14:paraId="2202CCA5" w14:textId="5BF16416" w:rsidR="0062367B" w:rsidRPr="003A0C5C" w:rsidRDefault="007F3F0F" w:rsidP="00307A6E">
      <w:pPr>
        <w:pStyle w:val="12spaceindentcontinue"/>
        <w:rPr>
          <w:spacing w:val="-2"/>
        </w:rPr>
      </w:pPr>
      <w:r w:rsidRPr="003A0C5C">
        <w:t>The following mitigation measures are also required to address potentially significant impacts to tribal cultural resources. </w:t>
      </w:r>
    </w:p>
    <w:p w14:paraId="60719AA6" w14:textId="58B9BEF3" w:rsidR="0062367B" w:rsidRPr="003A0C5C" w:rsidRDefault="0062367B" w:rsidP="0062367B">
      <w:pPr>
        <w:pStyle w:val="Heading6"/>
        <w:ind w:left="720"/>
      </w:pPr>
      <w:r w:rsidRPr="003A0C5C">
        <w:t>Mitigation Measure</w:t>
      </w:r>
    </w:p>
    <w:p w14:paraId="5173A517" w14:textId="6A17C809" w:rsidR="007F3F0F" w:rsidRPr="003A0C5C" w:rsidRDefault="0062367B" w:rsidP="006F57E3">
      <w:pPr>
        <w:pStyle w:val="Mitigation"/>
        <w:rPr>
          <w:b/>
        </w:rPr>
      </w:pPr>
      <w:r w:rsidRPr="003A0C5C">
        <w:rPr>
          <w:rStyle w:val="Bold"/>
        </w:rPr>
        <w:t>MM-TCR-1</w:t>
      </w:r>
      <w:r w:rsidR="00FD5F91" w:rsidRPr="003A0C5C">
        <w:rPr>
          <w:rStyle w:val="Bold"/>
        </w:rPr>
        <w:t>.</w:t>
      </w:r>
      <w:r w:rsidRPr="003A0C5C">
        <w:rPr>
          <w:rStyle w:val="Bold"/>
        </w:rPr>
        <w:t xml:space="preserve"> </w:t>
      </w:r>
      <w:r w:rsidR="007F3F0F" w:rsidRPr="003A0C5C">
        <w:t>Retain a Native American Monitor Prior to Commencement of Ground-Disturbing Activities</w:t>
      </w:r>
      <w:r w:rsidR="00E0797E" w:rsidRPr="003A0C5C">
        <w:t>.</w:t>
      </w:r>
      <w:r w:rsidR="007F3F0F" w:rsidRPr="003A0C5C">
        <w:t xml:space="preserve"> </w:t>
      </w:r>
    </w:p>
    <w:p w14:paraId="5C91431D" w14:textId="0A7E96B1" w:rsidR="007F3F0F" w:rsidRPr="003A0C5C" w:rsidRDefault="007F3F0F" w:rsidP="006F57E3">
      <w:pPr>
        <w:pStyle w:val="Mitigation"/>
      </w:pPr>
      <w:r w:rsidRPr="003A0C5C">
        <w:t xml:space="preserve">A. The project applicant/lead agency shall retain a Native American Monitor from or approved by the </w:t>
      </w:r>
      <w:bookmarkStart w:id="116" w:name="_Hlk98577513"/>
      <w:proofErr w:type="spellStart"/>
      <w:r w:rsidR="004D558B" w:rsidRPr="003A0C5C">
        <w:t>Gabriele</w:t>
      </w:r>
      <w:r w:rsidR="004D558B" w:rsidRPr="003A0C5C">
        <w:rPr>
          <w:rFonts w:cs="Times New Roman"/>
        </w:rPr>
        <w:t>ño</w:t>
      </w:r>
      <w:proofErr w:type="spellEnd"/>
      <w:r w:rsidR="004D558B" w:rsidRPr="003A0C5C" w:rsidDel="004D558B">
        <w:t xml:space="preserve"> </w:t>
      </w:r>
      <w:bookmarkEnd w:id="116"/>
      <w:r w:rsidRPr="003A0C5C">
        <w:t xml:space="preserve">Band of Mission Indians – </w:t>
      </w:r>
      <w:proofErr w:type="spellStart"/>
      <w:r w:rsidRPr="003A0C5C">
        <w:t>Kizh</w:t>
      </w:r>
      <w:proofErr w:type="spellEnd"/>
      <w:r w:rsidRPr="003A0C5C">
        <w:t xml:space="preserve"> Nation. The monitor shall be retained prior to the commencement of any “</w:t>
      </w:r>
      <w:r w:rsidRPr="003A0C5C">
        <w:rPr>
          <w:rStyle w:val="Bold"/>
          <w:b w:val="0"/>
          <w:bCs/>
        </w:rPr>
        <w:t>ground</w:t>
      </w:r>
      <w:r w:rsidRPr="003A0C5C">
        <w:t xml:space="preserve">-disturbing activity” for the subject project at all project locations (i.e., both on-site and any off-site locations that are included in the project description/definition and/or required in connection with the project, such as public improvement work) outside or below the previous remediation areas. “Ground disturbing activity” shall include, but is not limited to, demolition, pavement removal, potholing, auguring, grubbing, tree removal, boring, grading, excavation, drilling, and trenching. </w:t>
      </w:r>
    </w:p>
    <w:p w14:paraId="4BC88E9E" w14:textId="3567A9B1" w:rsidR="007F3F0F" w:rsidRPr="003A0C5C" w:rsidRDefault="007F3F0F" w:rsidP="006F57E3">
      <w:pPr>
        <w:pStyle w:val="Mitigation"/>
      </w:pPr>
      <w:r w:rsidRPr="003A0C5C">
        <w:t xml:space="preserve">B. A copy of the executed monitoring agreement shall be submitted to the lead agency prior to the commencement of any ground-disturbing activity, or the issuance of any permit necessary to commence a ground-disturbing activity. </w:t>
      </w:r>
    </w:p>
    <w:p w14:paraId="6814307E" w14:textId="49C1645E" w:rsidR="007F3F0F" w:rsidRPr="003A0C5C" w:rsidRDefault="007F3F0F" w:rsidP="006F57E3">
      <w:pPr>
        <w:pStyle w:val="Mitigation"/>
      </w:pPr>
      <w:r w:rsidRPr="003A0C5C">
        <w:t xml:space="preserve">C. The monitor will complete daily monitoring logs that will provide descriptions of the relevant ground-disturbing activities, the type of construction activities performed, locations of ground disturbing activities, soil types, cultural-related materials, and any other facts, conditions, materials, or discoveries of significance to the Tribe. Monitor logs will identify and describe any discovered </w:t>
      </w:r>
      <w:r w:rsidR="00F90D5B" w:rsidRPr="003A0C5C">
        <w:t>tribal cultural resources (</w:t>
      </w:r>
      <w:r w:rsidRPr="003A0C5C">
        <w:t>TCRs</w:t>
      </w:r>
      <w:r w:rsidR="00F90D5B" w:rsidRPr="003A0C5C">
        <w:t>)</w:t>
      </w:r>
      <w:r w:rsidRPr="003A0C5C">
        <w:t xml:space="preserve">, including but not limited to, Native American cultural and historical artifacts, remains, places of significance, etc., (collectively, tribal cultural resources, or “TCR”), as well as any discovered Native American (ancestral) human remains and burial goods. Copies of the monitor logs will be provided to the project applicant/lead </w:t>
      </w:r>
      <w:r w:rsidR="00D96A34" w:rsidRPr="003A0C5C">
        <w:t>agency</w:t>
      </w:r>
      <w:r w:rsidR="00D96A34" w:rsidRPr="003A0C5C">
        <w:rPr>
          <w:strike/>
        </w:rPr>
        <w:t>.</w:t>
      </w:r>
      <w:r w:rsidRPr="003A0C5C">
        <w:t xml:space="preserve"> </w:t>
      </w:r>
    </w:p>
    <w:p w14:paraId="69953D98" w14:textId="3DECF6C7" w:rsidR="007F3F0F" w:rsidRPr="003A0C5C" w:rsidRDefault="007F3F0F" w:rsidP="006F57E3">
      <w:pPr>
        <w:pStyle w:val="Mitigation"/>
      </w:pPr>
      <w:r w:rsidRPr="003A0C5C">
        <w:t xml:space="preserve">D. On-site tribal monitoring shall conclude upon the latter of the following (1) written confirmation to the </w:t>
      </w:r>
      <w:proofErr w:type="spellStart"/>
      <w:r w:rsidRPr="003A0C5C">
        <w:t>Kizh</w:t>
      </w:r>
      <w:proofErr w:type="spellEnd"/>
      <w:r w:rsidRPr="003A0C5C">
        <w:t xml:space="preserve"> </w:t>
      </w:r>
      <w:r w:rsidR="00A40480" w:rsidRPr="003A0C5C">
        <w:t xml:space="preserve">Nation </w:t>
      </w:r>
      <w:r w:rsidRPr="003A0C5C">
        <w:t xml:space="preserve">from a designated point of contact for the project applicant/lead agency that all ground-disturbing activities and phases that may involve ground-disturbing activities on the project site or in connection with the project are complete; or (2) a determination and written notification by the </w:t>
      </w:r>
      <w:proofErr w:type="spellStart"/>
      <w:r w:rsidRPr="003A0C5C">
        <w:t>Kizh</w:t>
      </w:r>
      <w:proofErr w:type="spellEnd"/>
      <w:r w:rsidRPr="003A0C5C">
        <w:t xml:space="preserve"> </w:t>
      </w:r>
      <w:r w:rsidR="00A40480" w:rsidRPr="003A0C5C">
        <w:t xml:space="preserve">Nation </w:t>
      </w:r>
      <w:r w:rsidRPr="003A0C5C">
        <w:t xml:space="preserve">to the project applicant/lead agency that no future, planned construction activity and/or development/construction phase at the project site possesses the potential to impact </w:t>
      </w:r>
      <w:proofErr w:type="spellStart"/>
      <w:r w:rsidRPr="003A0C5C">
        <w:t>Kizh</w:t>
      </w:r>
      <w:proofErr w:type="spellEnd"/>
      <w:r w:rsidRPr="003A0C5C">
        <w:t xml:space="preserve"> </w:t>
      </w:r>
      <w:r w:rsidR="00A40480" w:rsidRPr="003A0C5C">
        <w:t xml:space="preserve">Nation </w:t>
      </w:r>
      <w:r w:rsidRPr="003A0C5C">
        <w:t xml:space="preserve">TCRs. </w:t>
      </w:r>
    </w:p>
    <w:p w14:paraId="1D68D8AC" w14:textId="0B440F78" w:rsidR="007F3F0F" w:rsidRPr="003A0C5C" w:rsidRDefault="007F3F0F" w:rsidP="006F57E3">
      <w:pPr>
        <w:pStyle w:val="Mitigation"/>
        <w:rPr>
          <w:spacing w:val="2"/>
        </w:rPr>
      </w:pPr>
      <w:r w:rsidRPr="003A0C5C">
        <w:t xml:space="preserve">E. Upon discovery of any TCRs, all construction activities in the immediate vicinity of the discovery shall cease (i.e., not less than the surrounding 50 feet) and shall not resume until the discovered TCR has been fully assessed by the </w:t>
      </w:r>
      <w:proofErr w:type="spellStart"/>
      <w:r w:rsidRPr="003A0C5C">
        <w:t>Kizh</w:t>
      </w:r>
      <w:proofErr w:type="spellEnd"/>
      <w:r w:rsidRPr="003A0C5C">
        <w:t xml:space="preserve"> </w:t>
      </w:r>
      <w:r w:rsidR="00A40480" w:rsidRPr="003A0C5C">
        <w:t xml:space="preserve">Nation </w:t>
      </w:r>
      <w:r w:rsidRPr="003A0C5C">
        <w:t xml:space="preserve">monitor. </w:t>
      </w:r>
      <w:r w:rsidRPr="003A0C5C">
        <w:rPr>
          <w:spacing w:val="2"/>
        </w:rPr>
        <w:t xml:space="preserve">A meeting shall take place between the Applicant, the qualified Archaeologist, the </w:t>
      </w:r>
      <w:proofErr w:type="spellStart"/>
      <w:r w:rsidR="001E30C0" w:rsidRPr="003A0C5C">
        <w:t>Kizh</w:t>
      </w:r>
      <w:proofErr w:type="spellEnd"/>
      <w:r w:rsidR="001E30C0" w:rsidRPr="003A0C5C">
        <w:t xml:space="preserve"> Nation</w:t>
      </w:r>
      <w:r w:rsidRPr="003A0C5C">
        <w:rPr>
          <w:spacing w:val="2"/>
        </w:rPr>
        <w:t xml:space="preserve">, and the City to discuss the significance of the find and whether it qualifies as a tribal cultural resource pursuant to Public Resources Code Section 21074(a) and appropriate treatment under CEQA. The Project Archaeologist shall provide a treatment plan as recommended in Mitigation Measure CUL-MM-1, that shall incorporate the monitoring </w:t>
      </w:r>
      <w:proofErr w:type="spellStart"/>
      <w:r w:rsidR="001E30C0" w:rsidRPr="003A0C5C">
        <w:t>Kizh</w:t>
      </w:r>
      <w:proofErr w:type="spellEnd"/>
      <w:r w:rsidR="001E30C0" w:rsidRPr="003A0C5C">
        <w:t xml:space="preserve"> Nation</w:t>
      </w:r>
      <w:r w:rsidRPr="003A0C5C">
        <w:rPr>
          <w:spacing w:val="2"/>
        </w:rPr>
        <w:t xml:space="preserve">’s treatment and curation recommendations. The preferred treatment under CEQA is avoidance, but if not feasible, may include, but would not be limited to, capping in place, excavation and removal of the resource and follow-up laboratory processing and analysis, interpretive displays, sensitive area signage, or other mutually agreed upon measures. </w:t>
      </w:r>
      <w:r w:rsidRPr="003A0C5C">
        <w:t xml:space="preserve">The </w:t>
      </w:r>
      <w:proofErr w:type="spellStart"/>
      <w:r w:rsidRPr="003A0C5C">
        <w:t>Kizh</w:t>
      </w:r>
      <w:proofErr w:type="spellEnd"/>
      <w:r w:rsidRPr="003A0C5C">
        <w:t xml:space="preserve"> </w:t>
      </w:r>
      <w:r w:rsidR="00A40480" w:rsidRPr="003A0C5C">
        <w:t xml:space="preserve">Nation </w:t>
      </w:r>
      <w:r w:rsidRPr="003A0C5C">
        <w:t xml:space="preserve">will recover and retain all discovered TCRs in the form and/or manner the </w:t>
      </w:r>
      <w:proofErr w:type="spellStart"/>
      <w:r w:rsidR="001E30C0" w:rsidRPr="003A0C5C">
        <w:t>Kizh</w:t>
      </w:r>
      <w:proofErr w:type="spellEnd"/>
      <w:r w:rsidR="001E30C0" w:rsidRPr="003A0C5C">
        <w:t xml:space="preserve"> Nation</w:t>
      </w:r>
      <w:r w:rsidRPr="003A0C5C">
        <w:t xml:space="preserve"> deems appropriate, </w:t>
      </w:r>
      <w:r w:rsidR="00A40480" w:rsidRPr="003A0C5C">
        <w:t xml:space="preserve">at </w:t>
      </w:r>
      <w:r w:rsidRPr="003A0C5C">
        <w:t xml:space="preserve">the </w:t>
      </w:r>
      <w:proofErr w:type="spellStart"/>
      <w:r w:rsidR="001E30C0" w:rsidRPr="003A0C5C">
        <w:t>Kizh</w:t>
      </w:r>
      <w:proofErr w:type="spellEnd"/>
      <w:r w:rsidR="001E30C0" w:rsidRPr="003A0C5C">
        <w:t xml:space="preserve"> Nation</w:t>
      </w:r>
      <w:r w:rsidRPr="003A0C5C">
        <w:t xml:space="preserve">’s sole discretion, and for any purpose the </w:t>
      </w:r>
      <w:proofErr w:type="spellStart"/>
      <w:r w:rsidR="001E30C0" w:rsidRPr="003A0C5C">
        <w:t>Kizh</w:t>
      </w:r>
      <w:proofErr w:type="spellEnd"/>
      <w:r w:rsidR="001E30C0" w:rsidRPr="003A0C5C">
        <w:t xml:space="preserve"> Nation</w:t>
      </w:r>
      <w:r w:rsidRPr="003A0C5C">
        <w:t xml:space="preserve"> deems appropriate, including for educational, cultural</w:t>
      </w:r>
      <w:r w:rsidR="008627A3" w:rsidRPr="003A0C5C">
        <w:t>,</w:t>
      </w:r>
      <w:r w:rsidRPr="003A0C5C">
        <w:t xml:space="preserve"> and/or historic purposes.</w:t>
      </w:r>
    </w:p>
    <w:p w14:paraId="1174E6BB" w14:textId="77777777" w:rsidR="00C337B4" w:rsidRPr="003A0C5C" w:rsidRDefault="00C337B4" w:rsidP="00C337B4">
      <w:pPr>
        <w:pStyle w:val="12spaceindent"/>
        <w:keepNext/>
        <w:spacing w:after="120"/>
        <w:ind w:left="0" w:firstLine="0"/>
        <w:rPr>
          <w:highlight w:val="yellow"/>
        </w:rPr>
      </w:pPr>
    </w:p>
    <w:p w14:paraId="6D54170B" w14:textId="77777777" w:rsidR="00920915" w:rsidRPr="003A0C5C" w:rsidRDefault="00920915" w:rsidP="00920915">
      <w:pPr>
        <w:pStyle w:val="ImpactSectionEnd"/>
        <w:rPr>
          <w:highlight w:val="yellow"/>
        </w:rPr>
      </w:pPr>
    </w:p>
    <w:p w14:paraId="4E050445" w14:textId="77777777" w:rsidR="00920915" w:rsidRPr="003A0C5C" w:rsidRDefault="00920915" w:rsidP="00920915">
      <w:pPr>
        <w:rPr>
          <w:highlight w:val="yellow"/>
        </w:rPr>
      </w:pPr>
      <w:r w:rsidRPr="003A0C5C">
        <w:rPr>
          <w:highlight w:val="yellow"/>
        </w:rPr>
        <w:br w:type="page"/>
      </w:r>
    </w:p>
    <w:p w14:paraId="3C30BCD2" w14:textId="7A280984" w:rsidR="004F426E" w:rsidRPr="003A0C5C" w:rsidRDefault="008B0DDC" w:rsidP="008B0DDC">
      <w:pPr>
        <w:pStyle w:val="Heading4"/>
      </w:pPr>
      <w:bookmarkStart w:id="117" w:name="_Toc101791998"/>
      <w:r w:rsidRPr="003A0C5C">
        <w:t>XIX.</w:t>
      </w:r>
      <w:r w:rsidRPr="003A0C5C">
        <w:tab/>
      </w:r>
      <w:r w:rsidR="004F426E" w:rsidRPr="003A0C5C">
        <w:t>Utilities and Service Systems</w:t>
      </w:r>
      <w:bookmarkEnd w:id="117"/>
    </w:p>
    <w:tbl>
      <w:tblPr>
        <w:tblW w:w="0" w:type="auto"/>
        <w:tblCellMar>
          <w:left w:w="86" w:type="dxa"/>
          <w:right w:w="86" w:type="dxa"/>
        </w:tblCellMar>
        <w:tblLook w:val="0000" w:firstRow="0" w:lastRow="0" w:firstColumn="0" w:lastColumn="0" w:noHBand="0" w:noVBand="0"/>
      </w:tblPr>
      <w:tblGrid>
        <w:gridCol w:w="5088"/>
        <w:gridCol w:w="888"/>
        <w:gridCol w:w="1152"/>
        <w:gridCol w:w="888"/>
        <w:gridCol w:w="624"/>
      </w:tblGrid>
      <w:tr w:rsidR="003A0C5C" w:rsidRPr="003A0C5C" w14:paraId="2E3FBB62" w14:textId="77777777" w:rsidTr="00F07065">
        <w:trPr>
          <w:cantSplit/>
          <w:tblHeader/>
        </w:trPr>
        <w:tc>
          <w:tcPr>
            <w:tcW w:w="0" w:type="auto"/>
            <w:vAlign w:val="bottom"/>
          </w:tcPr>
          <w:p w14:paraId="6AD96443" w14:textId="77777777" w:rsidR="00DA7FB4" w:rsidRPr="003A0C5C" w:rsidRDefault="00DA7FB4" w:rsidP="00F07065">
            <w:pPr>
              <w:keepNext/>
              <w:pBdr>
                <w:bottom w:val="single" w:sz="4" w:space="1" w:color="auto"/>
              </w:pBdr>
              <w:spacing w:before="60" w:after="60"/>
              <w:ind w:left="540" w:hanging="540"/>
              <w:rPr>
                <w:rFonts w:ascii="Arial" w:hAnsi="Arial" w:cs="Arial"/>
                <w:b/>
                <w:i/>
                <w:sz w:val="14"/>
                <w:szCs w:val="16"/>
              </w:rPr>
            </w:pPr>
            <w:r w:rsidRPr="003A0C5C">
              <w:rPr>
                <w:rFonts w:ascii="Arial" w:hAnsi="Arial" w:cs="Arial"/>
                <w:b/>
                <w:i/>
                <w:sz w:val="14"/>
                <w:szCs w:val="16"/>
              </w:rPr>
              <w:t>Issues (and Supporting Information Sources)</w:t>
            </w:r>
          </w:p>
        </w:tc>
        <w:tc>
          <w:tcPr>
            <w:tcW w:w="0" w:type="auto"/>
            <w:vAlign w:val="bottom"/>
          </w:tcPr>
          <w:p w14:paraId="30E85E8B" w14:textId="77777777" w:rsidR="00DA7FB4" w:rsidRPr="003A0C5C" w:rsidRDefault="00DA7FB4" w:rsidP="00F07065">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Potentially</w:t>
            </w:r>
            <w:r w:rsidRPr="003A0C5C">
              <w:rPr>
                <w:rFonts w:ascii="Arial" w:hAnsi="Arial" w:cs="Arial"/>
                <w:b/>
                <w:i/>
                <w:sz w:val="14"/>
                <w:szCs w:val="16"/>
              </w:rPr>
              <w:br/>
              <w:t>Significant</w:t>
            </w:r>
            <w:r w:rsidRPr="003A0C5C">
              <w:rPr>
                <w:rFonts w:ascii="Arial" w:hAnsi="Arial" w:cs="Arial"/>
                <w:b/>
                <w:i/>
                <w:sz w:val="14"/>
                <w:szCs w:val="16"/>
              </w:rPr>
              <w:br/>
              <w:t>Impact</w:t>
            </w:r>
          </w:p>
        </w:tc>
        <w:tc>
          <w:tcPr>
            <w:tcW w:w="0" w:type="auto"/>
            <w:vAlign w:val="bottom"/>
          </w:tcPr>
          <w:p w14:paraId="5D7FCC3E" w14:textId="77777777" w:rsidR="00DA7FB4" w:rsidRPr="003A0C5C" w:rsidRDefault="00DA7FB4" w:rsidP="00F07065">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Less than</w:t>
            </w:r>
            <w:r w:rsidRPr="003A0C5C">
              <w:rPr>
                <w:rFonts w:ascii="Arial" w:hAnsi="Arial" w:cs="Arial"/>
                <w:b/>
                <w:i/>
                <w:sz w:val="14"/>
                <w:szCs w:val="16"/>
              </w:rPr>
              <w:br/>
              <w:t>Significant</w:t>
            </w:r>
            <w:r w:rsidRPr="003A0C5C">
              <w:rPr>
                <w:rFonts w:ascii="Arial" w:hAnsi="Arial" w:cs="Arial"/>
                <w:b/>
                <w:i/>
                <w:sz w:val="14"/>
                <w:szCs w:val="16"/>
              </w:rPr>
              <w:br/>
              <w:t>with Mitigation</w:t>
            </w:r>
            <w:r w:rsidRPr="003A0C5C">
              <w:rPr>
                <w:rFonts w:ascii="Arial" w:hAnsi="Arial" w:cs="Arial"/>
                <w:b/>
                <w:i/>
                <w:sz w:val="14"/>
                <w:szCs w:val="16"/>
              </w:rPr>
              <w:br/>
              <w:t>Incorporated</w:t>
            </w:r>
          </w:p>
        </w:tc>
        <w:tc>
          <w:tcPr>
            <w:tcW w:w="0" w:type="auto"/>
            <w:vAlign w:val="bottom"/>
          </w:tcPr>
          <w:p w14:paraId="0ACB46E3" w14:textId="77777777" w:rsidR="00DA7FB4" w:rsidRPr="003A0C5C" w:rsidRDefault="00DA7FB4" w:rsidP="00F07065">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Less-than-</w:t>
            </w:r>
            <w:r w:rsidRPr="003A0C5C">
              <w:rPr>
                <w:rFonts w:ascii="Arial" w:hAnsi="Arial" w:cs="Arial"/>
                <w:b/>
                <w:i/>
                <w:sz w:val="14"/>
                <w:szCs w:val="16"/>
              </w:rPr>
              <w:br/>
              <w:t>Significant</w:t>
            </w:r>
            <w:r w:rsidRPr="003A0C5C">
              <w:rPr>
                <w:rFonts w:ascii="Arial" w:hAnsi="Arial" w:cs="Arial"/>
                <w:b/>
                <w:i/>
                <w:sz w:val="14"/>
                <w:szCs w:val="16"/>
              </w:rPr>
              <w:br/>
              <w:t>Impact</w:t>
            </w:r>
          </w:p>
        </w:tc>
        <w:tc>
          <w:tcPr>
            <w:tcW w:w="0" w:type="auto"/>
            <w:vAlign w:val="bottom"/>
          </w:tcPr>
          <w:p w14:paraId="336B1635" w14:textId="77777777" w:rsidR="00DA7FB4" w:rsidRPr="003A0C5C" w:rsidRDefault="00DA7FB4" w:rsidP="00F07065">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No</w:t>
            </w:r>
            <w:r w:rsidRPr="003A0C5C">
              <w:rPr>
                <w:rFonts w:ascii="Arial" w:hAnsi="Arial" w:cs="Arial"/>
                <w:b/>
                <w:i/>
                <w:sz w:val="14"/>
                <w:szCs w:val="16"/>
              </w:rPr>
              <w:br/>
              <w:t>Impact</w:t>
            </w:r>
          </w:p>
        </w:tc>
      </w:tr>
      <w:tr w:rsidR="003A0C5C" w:rsidRPr="003A0C5C" w14:paraId="2113CF53" w14:textId="77777777" w:rsidTr="00F07065">
        <w:trPr>
          <w:cantSplit/>
        </w:trPr>
        <w:tc>
          <w:tcPr>
            <w:tcW w:w="0" w:type="auto"/>
          </w:tcPr>
          <w:p w14:paraId="5E04670E" w14:textId="067BA3B0" w:rsidR="00DA7FB4" w:rsidRPr="003A0C5C" w:rsidRDefault="00DA7FB4" w:rsidP="00F07065">
            <w:pPr>
              <w:pStyle w:val="Tabletextnumber"/>
              <w:keepNext/>
              <w:ind w:left="504" w:hanging="504"/>
              <w:rPr>
                <w:rStyle w:val="Bold"/>
              </w:rPr>
            </w:pPr>
            <w:r w:rsidRPr="003A0C5C">
              <w:rPr>
                <w:rStyle w:val="Bold"/>
              </w:rPr>
              <w:t>XIX.</w:t>
            </w:r>
            <w:r w:rsidRPr="003A0C5C">
              <w:rPr>
                <w:rStyle w:val="Bold"/>
              </w:rPr>
              <w:tab/>
              <w:t>UTILITIES AND SERVICE SYSTEMS</w:t>
            </w:r>
            <w:r w:rsidRPr="003A0C5C">
              <w:t>—Would the project:</w:t>
            </w:r>
          </w:p>
        </w:tc>
        <w:tc>
          <w:tcPr>
            <w:tcW w:w="0" w:type="auto"/>
          </w:tcPr>
          <w:p w14:paraId="69F276B9" w14:textId="77777777" w:rsidR="00DA7FB4" w:rsidRPr="003A0C5C" w:rsidRDefault="00DA7FB4" w:rsidP="00F07065">
            <w:pPr>
              <w:pStyle w:val="Checklist"/>
              <w:rPr>
                <w:highlight w:val="yellow"/>
              </w:rPr>
            </w:pPr>
          </w:p>
        </w:tc>
        <w:tc>
          <w:tcPr>
            <w:tcW w:w="0" w:type="auto"/>
          </w:tcPr>
          <w:p w14:paraId="15C193F7" w14:textId="77777777" w:rsidR="00DA7FB4" w:rsidRPr="003A0C5C" w:rsidRDefault="00DA7FB4" w:rsidP="00F07065">
            <w:pPr>
              <w:pStyle w:val="Checklist"/>
              <w:rPr>
                <w:highlight w:val="yellow"/>
              </w:rPr>
            </w:pPr>
          </w:p>
        </w:tc>
        <w:tc>
          <w:tcPr>
            <w:tcW w:w="0" w:type="auto"/>
          </w:tcPr>
          <w:p w14:paraId="3E562EC4" w14:textId="77777777" w:rsidR="00DA7FB4" w:rsidRPr="003A0C5C" w:rsidRDefault="00DA7FB4" w:rsidP="00F07065">
            <w:pPr>
              <w:pStyle w:val="Checklist"/>
              <w:rPr>
                <w:highlight w:val="yellow"/>
              </w:rPr>
            </w:pPr>
          </w:p>
        </w:tc>
        <w:tc>
          <w:tcPr>
            <w:tcW w:w="0" w:type="auto"/>
          </w:tcPr>
          <w:p w14:paraId="0B4CEC59" w14:textId="77777777" w:rsidR="00DA7FB4" w:rsidRPr="003A0C5C" w:rsidRDefault="00DA7FB4" w:rsidP="00F07065">
            <w:pPr>
              <w:pStyle w:val="Checklist"/>
              <w:rPr>
                <w:highlight w:val="yellow"/>
              </w:rPr>
            </w:pPr>
          </w:p>
        </w:tc>
      </w:tr>
      <w:tr w:rsidR="003A0C5C" w:rsidRPr="003A0C5C" w14:paraId="3F4FDD14" w14:textId="77777777" w:rsidTr="00F07065">
        <w:trPr>
          <w:cantSplit/>
        </w:trPr>
        <w:tc>
          <w:tcPr>
            <w:tcW w:w="0" w:type="auto"/>
          </w:tcPr>
          <w:p w14:paraId="10057773" w14:textId="54F60478" w:rsidR="00DA7FB4" w:rsidRPr="003A0C5C" w:rsidRDefault="00DA7FB4" w:rsidP="00DA7FB4">
            <w:pPr>
              <w:pStyle w:val="Tabletextnumber"/>
            </w:pPr>
            <w:r w:rsidRPr="003A0C5C">
              <w:rPr>
                <w:rFonts w:cs="Arial"/>
                <w:szCs w:val="16"/>
              </w:rPr>
              <w:t>a)</w:t>
            </w:r>
            <w:r w:rsidRPr="003A0C5C">
              <w:rPr>
                <w:rFonts w:cs="Arial"/>
                <w:szCs w:val="16"/>
              </w:rPr>
              <w:tab/>
              <w:t>Require or result in the relocation or construction of new or expanded water, wastewater treatment or storm water drainage, electric power, or telecommunications facilities, the construction or relocation of which could cause significant environmental effects?</w:t>
            </w:r>
          </w:p>
        </w:tc>
        <w:tc>
          <w:tcPr>
            <w:tcW w:w="0" w:type="auto"/>
          </w:tcPr>
          <w:p w14:paraId="3CC43784" w14:textId="77777777" w:rsidR="00DA7FB4" w:rsidRPr="003A0C5C" w:rsidRDefault="002348BC" w:rsidP="00DA7FB4">
            <w:pPr>
              <w:pStyle w:val="Checklist"/>
            </w:pPr>
            <w:sdt>
              <w:sdtPr>
                <w:id w:val="142942806"/>
                <w14:checkbox>
                  <w14:checked w14:val="0"/>
                  <w14:checkedState w14:val="2612" w14:font="MS Gothic"/>
                  <w14:uncheckedState w14:val="2610" w14:font="MS Gothic"/>
                </w14:checkbox>
              </w:sdtPr>
              <w:sdtEndPr/>
              <w:sdtContent>
                <w:r w:rsidR="00DA7FB4" w:rsidRPr="003A0C5C">
                  <w:t>☐</w:t>
                </w:r>
              </w:sdtContent>
            </w:sdt>
          </w:p>
        </w:tc>
        <w:tc>
          <w:tcPr>
            <w:tcW w:w="0" w:type="auto"/>
          </w:tcPr>
          <w:p w14:paraId="4E929A65" w14:textId="77777777" w:rsidR="00DA7FB4" w:rsidRPr="003A0C5C" w:rsidRDefault="002348BC" w:rsidP="00DA7FB4">
            <w:pPr>
              <w:pStyle w:val="Checklist"/>
              <w:rPr>
                <w:sz w:val="20"/>
              </w:rPr>
            </w:pPr>
            <w:sdt>
              <w:sdtPr>
                <w:id w:val="-1759516552"/>
                <w14:checkbox>
                  <w14:checked w14:val="0"/>
                  <w14:checkedState w14:val="2612" w14:font="MS Gothic"/>
                  <w14:uncheckedState w14:val="2610" w14:font="MS Gothic"/>
                </w14:checkbox>
              </w:sdtPr>
              <w:sdtEndPr/>
              <w:sdtContent>
                <w:r w:rsidR="00DA7FB4" w:rsidRPr="003A0C5C">
                  <w:t>☐</w:t>
                </w:r>
              </w:sdtContent>
            </w:sdt>
          </w:p>
        </w:tc>
        <w:tc>
          <w:tcPr>
            <w:tcW w:w="0" w:type="auto"/>
          </w:tcPr>
          <w:p w14:paraId="6939ED8E" w14:textId="56B3F027" w:rsidR="00DA7FB4" w:rsidRPr="003A0C5C" w:rsidRDefault="002348BC" w:rsidP="00DA7FB4">
            <w:pPr>
              <w:pStyle w:val="Checklist"/>
              <w:rPr>
                <w:sz w:val="20"/>
              </w:rPr>
            </w:pPr>
            <w:sdt>
              <w:sdtPr>
                <w:id w:val="-1558011145"/>
                <w14:checkbox>
                  <w14:checked w14:val="1"/>
                  <w14:checkedState w14:val="2612" w14:font="MS Gothic"/>
                  <w14:uncheckedState w14:val="2610" w14:font="MS Gothic"/>
                </w14:checkbox>
              </w:sdtPr>
              <w:sdtEndPr/>
              <w:sdtContent>
                <w:r w:rsidR="00DA7FB4" w:rsidRPr="003A0C5C">
                  <w:rPr>
                    <w:rFonts w:hint="eastAsia"/>
                  </w:rPr>
                  <w:t>☒</w:t>
                </w:r>
              </w:sdtContent>
            </w:sdt>
          </w:p>
        </w:tc>
        <w:tc>
          <w:tcPr>
            <w:tcW w:w="0" w:type="auto"/>
          </w:tcPr>
          <w:p w14:paraId="6E5B4AC2" w14:textId="62D34837" w:rsidR="00DA7FB4" w:rsidRPr="003A0C5C" w:rsidRDefault="002348BC" w:rsidP="00DA7FB4">
            <w:pPr>
              <w:pStyle w:val="Checklist"/>
              <w:rPr>
                <w:sz w:val="20"/>
              </w:rPr>
            </w:pPr>
            <w:sdt>
              <w:sdtPr>
                <w:id w:val="1323929744"/>
                <w14:checkbox>
                  <w14:checked w14:val="0"/>
                  <w14:checkedState w14:val="2612" w14:font="MS Gothic"/>
                  <w14:uncheckedState w14:val="2610" w14:font="MS Gothic"/>
                </w14:checkbox>
              </w:sdtPr>
              <w:sdtEndPr/>
              <w:sdtContent>
                <w:r w:rsidR="00DA7FB4" w:rsidRPr="003A0C5C">
                  <w:rPr>
                    <w:rFonts w:hint="eastAsia"/>
                  </w:rPr>
                  <w:t>☐</w:t>
                </w:r>
              </w:sdtContent>
            </w:sdt>
          </w:p>
        </w:tc>
      </w:tr>
      <w:tr w:rsidR="003A0C5C" w:rsidRPr="003A0C5C" w14:paraId="2BE57CFE" w14:textId="77777777" w:rsidTr="00F07065">
        <w:trPr>
          <w:cantSplit/>
        </w:trPr>
        <w:tc>
          <w:tcPr>
            <w:tcW w:w="0" w:type="auto"/>
          </w:tcPr>
          <w:p w14:paraId="75E1119E" w14:textId="59D2A717" w:rsidR="00DA7FB4" w:rsidRPr="003A0C5C" w:rsidRDefault="00DA7FB4" w:rsidP="00DA7FB4">
            <w:pPr>
              <w:pStyle w:val="Tabletextnumber"/>
            </w:pPr>
            <w:r w:rsidRPr="003A0C5C">
              <w:rPr>
                <w:rFonts w:cs="Arial"/>
                <w:szCs w:val="16"/>
              </w:rPr>
              <w:t>b)</w:t>
            </w:r>
            <w:r w:rsidRPr="003A0C5C">
              <w:rPr>
                <w:rFonts w:cs="Arial"/>
                <w:szCs w:val="16"/>
              </w:rPr>
              <w:tab/>
              <w:t>Have sufficient water supplies available to serve the project and responsibly foreseeable future development during normal, dry and multiple dry years?</w:t>
            </w:r>
          </w:p>
        </w:tc>
        <w:tc>
          <w:tcPr>
            <w:tcW w:w="0" w:type="auto"/>
          </w:tcPr>
          <w:p w14:paraId="566DD3EE" w14:textId="77777777" w:rsidR="00DA7FB4" w:rsidRPr="003A0C5C" w:rsidRDefault="002348BC" w:rsidP="00DA7FB4">
            <w:pPr>
              <w:pStyle w:val="Checklist"/>
              <w:rPr>
                <w:sz w:val="20"/>
              </w:rPr>
            </w:pPr>
            <w:sdt>
              <w:sdtPr>
                <w:id w:val="1319004766"/>
                <w14:checkbox>
                  <w14:checked w14:val="0"/>
                  <w14:checkedState w14:val="2612" w14:font="MS Gothic"/>
                  <w14:uncheckedState w14:val="2610" w14:font="MS Gothic"/>
                </w14:checkbox>
              </w:sdtPr>
              <w:sdtEndPr/>
              <w:sdtContent>
                <w:r w:rsidR="00DA7FB4" w:rsidRPr="003A0C5C">
                  <w:t>☐</w:t>
                </w:r>
              </w:sdtContent>
            </w:sdt>
          </w:p>
        </w:tc>
        <w:tc>
          <w:tcPr>
            <w:tcW w:w="0" w:type="auto"/>
          </w:tcPr>
          <w:p w14:paraId="4E684347" w14:textId="77777777" w:rsidR="00DA7FB4" w:rsidRPr="003A0C5C" w:rsidRDefault="002348BC" w:rsidP="00DA7FB4">
            <w:pPr>
              <w:pStyle w:val="Checklist"/>
              <w:rPr>
                <w:sz w:val="20"/>
              </w:rPr>
            </w:pPr>
            <w:sdt>
              <w:sdtPr>
                <w:id w:val="-464130428"/>
                <w14:checkbox>
                  <w14:checked w14:val="0"/>
                  <w14:checkedState w14:val="2612" w14:font="MS Gothic"/>
                  <w14:uncheckedState w14:val="2610" w14:font="MS Gothic"/>
                </w14:checkbox>
              </w:sdtPr>
              <w:sdtEndPr/>
              <w:sdtContent>
                <w:r w:rsidR="00DA7FB4" w:rsidRPr="003A0C5C">
                  <w:t>☐</w:t>
                </w:r>
              </w:sdtContent>
            </w:sdt>
          </w:p>
        </w:tc>
        <w:tc>
          <w:tcPr>
            <w:tcW w:w="0" w:type="auto"/>
          </w:tcPr>
          <w:p w14:paraId="10E9D143" w14:textId="3B16EBBB" w:rsidR="00DA7FB4" w:rsidRPr="003A0C5C" w:rsidRDefault="002348BC" w:rsidP="00DA7FB4">
            <w:pPr>
              <w:pStyle w:val="Checklist"/>
              <w:rPr>
                <w:sz w:val="20"/>
              </w:rPr>
            </w:pPr>
            <w:sdt>
              <w:sdtPr>
                <w:id w:val="-1288972170"/>
                <w14:checkbox>
                  <w14:checked w14:val="1"/>
                  <w14:checkedState w14:val="2612" w14:font="MS Gothic"/>
                  <w14:uncheckedState w14:val="2610" w14:font="MS Gothic"/>
                </w14:checkbox>
              </w:sdtPr>
              <w:sdtEndPr/>
              <w:sdtContent>
                <w:r w:rsidR="00DA7FB4" w:rsidRPr="003A0C5C">
                  <w:rPr>
                    <w:rFonts w:hint="eastAsia"/>
                  </w:rPr>
                  <w:t>☒</w:t>
                </w:r>
              </w:sdtContent>
            </w:sdt>
          </w:p>
        </w:tc>
        <w:tc>
          <w:tcPr>
            <w:tcW w:w="0" w:type="auto"/>
          </w:tcPr>
          <w:p w14:paraId="750DC257" w14:textId="331A0391" w:rsidR="00DA7FB4" w:rsidRPr="003A0C5C" w:rsidRDefault="002348BC" w:rsidP="00DA7FB4">
            <w:pPr>
              <w:pStyle w:val="Checklist"/>
              <w:rPr>
                <w:sz w:val="20"/>
              </w:rPr>
            </w:pPr>
            <w:sdt>
              <w:sdtPr>
                <w:id w:val="-2128920799"/>
                <w14:checkbox>
                  <w14:checked w14:val="0"/>
                  <w14:checkedState w14:val="2612" w14:font="MS Gothic"/>
                  <w14:uncheckedState w14:val="2610" w14:font="MS Gothic"/>
                </w14:checkbox>
              </w:sdtPr>
              <w:sdtEndPr/>
              <w:sdtContent>
                <w:r w:rsidR="00DA7FB4" w:rsidRPr="003A0C5C">
                  <w:rPr>
                    <w:rFonts w:hint="eastAsia"/>
                  </w:rPr>
                  <w:t>☐</w:t>
                </w:r>
              </w:sdtContent>
            </w:sdt>
          </w:p>
        </w:tc>
      </w:tr>
      <w:tr w:rsidR="003A0C5C" w:rsidRPr="003A0C5C" w14:paraId="0CC6334D" w14:textId="77777777" w:rsidTr="00F07065">
        <w:trPr>
          <w:cantSplit/>
        </w:trPr>
        <w:tc>
          <w:tcPr>
            <w:tcW w:w="0" w:type="auto"/>
          </w:tcPr>
          <w:p w14:paraId="1DF8D9A4" w14:textId="153C297E" w:rsidR="00DA7FB4" w:rsidRPr="003A0C5C" w:rsidRDefault="00DA7FB4" w:rsidP="00DA7FB4">
            <w:pPr>
              <w:pStyle w:val="Tabletextnumber"/>
            </w:pPr>
            <w:r w:rsidRPr="003A0C5C">
              <w:rPr>
                <w:rFonts w:cs="Arial"/>
                <w:szCs w:val="16"/>
              </w:rPr>
              <w:t>c)</w:t>
            </w:r>
            <w:r w:rsidRPr="003A0C5C">
              <w:rPr>
                <w:rFonts w:cs="Arial"/>
                <w:szCs w:val="16"/>
              </w:rPr>
              <w:tab/>
              <w:t>Result in a determination by the wastewater treatment provider which serves or may serve the project that it has adequate capacity to serve the project</w:t>
            </w:r>
            <w:r w:rsidR="00D678AB" w:rsidRPr="003A0C5C">
              <w:rPr>
                <w:rFonts w:cs="Arial"/>
                <w:szCs w:val="16"/>
              </w:rPr>
              <w:t>’</w:t>
            </w:r>
            <w:r w:rsidRPr="003A0C5C">
              <w:rPr>
                <w:rFonts w:cs="Arial"/>
                <w:szCs w:val="16"/>
              </w:rPr>
              <w:t>s projected demand in addition to the provider</w:t>
            </w:r>
            <w:r w:rsidR="00D678AB" w:rsidRPr="003A0C5C">
              <w:rPr>
                <w:rFonts w:cs="Arial"/>
                <w:szCs w:val="16"/>
              </w:rPr>
              <w:t>’</w:t>
            </w:r>
            <w:r w:rsidRPr="003A0C5C">
              <w:rPr>
                <w:rFonts w:cs="Arial"/>
                <w:szCs w:val="16"/>
              </w:rPr>
              <w:t>s existing commitments?</w:t>
            </w:r>
          </w:p>
        </w:tc>
        <w:tc>
          <w:tcPr>
            <w:tcW w:w="0" w:type="auto"/>
          </w:tcPr>
          <w:p w14:paraId="6EC23959" w14:textId="77777777" w:rsidR="00DA7FB4" w:rsidRPr="003A0C5C" w:rsidRDefault="002348BC" w:rsidP="00DA7FB4">
            <w:pPr>
              <w:pStyle w:val="Checklist"/>
              <w:rPr>
                <w:sz w:val="20"/>
              </w:rPr>
            </w:pPr>
            <w:sdt>
              <w:sdtPr>
                <w:id w:val="407123641"/>
                <w14:checkbox>
                  <w14:checked w14:val="0"/>
                  <w14:checkedState w14:val="2612" w14:font="MS Gothic"/>
                  <w14:uncheckedState w14:val="2610" w14:font="MS Gothic"/>
                </w14:checkbox>
              </w:sdtPr>
              <w:sdtEndPr/>
              <w:sdtContent>
                <w:r w:rsidR="00DA7FB4" w:rsidRPr="003A0C5C">
                  <w:t>☐</w:t>
                </w:r>
              </w:sdtContent>
            </w:sdt>
          </w:p>
        </w:tc>
        <w:tc>
          <w:tcPr>
            <w:tcW w:w="0" w:type="auto"/>
          </w:tcPr>
          <w:p w14:paraId="2C1F0431" w14:textId="77777777" w:rsidR="00DA7FB4" w:rsidRPr="003A0C5C" w:rsidRDefault="002348BC" w:rsidP="00DA7FB4">
            <w:pPr>
              <w:pStyle w:val="Checklist"/>
              <w:rPr>
                <w:sz w:val="20"/>
              </w:rPr>
            </w:pPr>
            <w:sdt>
              <w:sdtPr>
                <w:id w:val="2071005886"/>
                <w14:checkbox>
                  <w14:checked w14:val="0"/>
                  <w14:checkedState w14:val="2612" w14:font="MS Gothic"/>
                  <w14:uncheckedState w14:val="2610" w14:font="MS Gothic"/>
                </w14:checkbox>
              </w:sdtPr>
              <w:sdtEndPr/>
              <w:sdtContent>
                <w:r w:rsidR="00DA7FB4" w:rsidRPr="003A0C5C">
                  <w:t>☐</w:t>
                </w:r>
              </w:sdtContent>
            </w:sdt>
          </w:p>
        </w:tc>
        <w:tc>
          <w:tcPr>
            <w:tcW w:w="0" w:type="auto"/>
          </w:tcPr>
          <w:p w14:paraId="3CF0A531" w14:textId="69FEEEC1" w:rsidR="00DA7FB4" w:rsidRPr="003A0C5C" w:rsidRDefault="002348BC" w:rsidP="00DA7FB4">
            <w:pPr>
              <w:pStyle w:val="Checklist"/>
              <w:rPr>
                <w:sz w:val="20"/>
              </w:rPr>
            </w:pPr>
            <w:sdt>
              <w:sdtPr>
                <w:id w:val="1820222852"/>
                <w14:checkbox>
                  <w14:checked w14:val="1"/>
                  <w14:checkedState w14:val="2612" w14:font="MS Gothic"/>
                  <w14:uncheckedState w14:val="2610" w14:font="MS Gothic"/>
                </w14:checkbox>
              </w:sdtPr>
              <w:sdtEndPr/>
              <w:sdtContent>
                <w:r w:rsidR="00916734" w:rsidRPr="003A0C5C">
                  <w:rPr>
                    <w:rFonts w:hint="eastAsia"/>
                  </w:rPr>
                  <w:t>☒</w:t>
                </w:r>
              </w:sdtContent>
            </w:sdt>
          </w:p>
        </w:tc>
        <w:tc>
          <w:tcPr>
            <w:tcW w:w="0" w:type="auto"/>
          </w:tcPr>
          <w:p w14:paraId="76FE1706" w14:textId="72E5A64B" w:rsidR="00DA7FB4" w:rsidRPr="003A0C5C" w:rsidRDefault="002348BC" w:rsidP="00DA7FB4">
            <w:pPr>
              <w:pStyle w:val="Checklist"/>
              <w:rPr>
                <w:sz w:val="20"/>
              </w:rPr>
            </w:pPr>
            <w:sdt>
              <w:sdtPr>
                <w:id w:val="-966202136"/>
                <w14:checkbox>
                  <w14:checked w14:val="0"/>
                  <w14:checkedState w14:val="2612" w14:font="MS Gothic"/>
                  <w14:uncheckedState w14:val="2610" w14:font="MS Gothic"/>
                </w14:checkbox>
              </w:sdtPr>
              <w:sdtEndPr/>
              <w:sdtContent>
                <w:r w:rsidR="00916734" w:rsidRPr="003A0C5C">
                  <w:rPr>
                    <w:rFonts w:hint="eastAsia"/>
                  </w:rPr>
                  <w:t>☐</w:t>
                </w:r>
              </w:sdtContent>
            </w:sdt>
          </w:p>
        </w:tc>
      </w:tr>
      <w:tr w:rsidR="003A0C5C" w:rsidRPr="003A0C5C" w14:paraId="63AB7A72" w14:textId="77777777" w:rsidTr="00F07065">
        <w:trPr>
          <w:cantSplit/>
        </w:trPr>
        <w:tc>
          <w:tcPr>
            <w:tcW w:w="0" w:type="auto"/>
          </w:tcPr>
          <w:p w14:paraId="2AAAB6AA" w14:textId="511F53AA" w:rsidR="00DA7FB4" w:rsidRPr="003A0C5C" w:rsidRDefault="00DA7FB4" w:rsidP="00DA7FB4">
            <w:pPr>
              <w:pStyle w:val="Tabletextnumber"/>
            </w:pPr>
            <w:r w:rsidRPr="003A0C5C">
              <w:rPr>
                <w:rFonts w:cs="Arial"/>
                <w:szCs w:val="16"/>
              </w:rPr>
              <w:t>d)</w:t>
            </w:r>
            <w:r w:rsidRPr="003A0C5C">
              <w:rPr>
                <w:rFonts w:cs="Arial"/>
                <w:szCs w:val="16"/>
              </w:rPr>
              <w:tab/>
              <w:t>Generate solid waste in excess of State or local standards, or in excess of the capacity of local infrastructure, or otherwise impair the attainment of solid waste reduction goals?</w:t>
            </w:r>
          </w:p>
        </w:tc>
        <w:tc>
          <w:tcPr>
            <w:tcW w:w="0" w:type="auto"/>
          </w:tcPr>
          <w:p w14:paraId="722E593E" w14:textId="77777777" w:rsidR="00DA7FB4" w:rsidRPr="003A0C5C" w:rsidRDefault="002348BC" w:rsidP="00DA7FB4">
            <w:pPr>
              <w:pStyle w:val="Checklist"/>
              <w:rPr>
                <w:sz w:val="20"/>
              </w:rPr>
            </w:pPr>
            <w:sdt>
              <w:sdtPr>
                <w:id w:val="-636499244"/>
                <w14:checkbox>
                  <w14:checked w14:val="0"/>
                  <w14:checkedState w14:val="2612" w14:font="MS Gothic"/>
                  <w14:uncheckedState w14:val="2610" w14:font="MS Gothic"/>
                </w14:checkbox>
              </w:sdtPr>
              <w:sdtEndPr/>
              <w:sdtContent>
                <w:r w:rsidR="00DA7FB4" w:rsidRPr="003A0C5C">
                  <w:t>☐</w:t>
                </w:r>
              </w:sdtContent>
            </w:sdt>
          </w:p>
        </w:tc>
        <w:tc>
          <w:tcPr>
            <w:tcW w:w="0" w:type="auto"/>
          </w:tcPr>
          <w:p w14:paraId="77229648" w14:textId="77777777" w:rsidR="00DA7FB4" w:rsidRPr="003A0C5C" w:rsidRDefault="002348BC" w:rsidP="00DA7FB4">
            <w:pPr>
              <w:pStyle w:val="Checklist"/>
              <w:rPr>
                <w:sz w:val="20"/>
              </w:rPr>
            </w:pPr>
            <w:sdt>
              <w:sdtPr>
                <w:id w:val="-1687737207"/>
                <w14:checkbox>
                  <w14:checked w14:val="0"/>
                  <w14:checkedState w14:val="2612" w14:font="MS Gothic"/>
                  <w14:uncheckedState w14:val="2610" w14:font="MS Gothic"/>
                </w14:checkbox>
              </w:sdtPr>
              <w:sdtEndPr/>
              <w:sdtContent>
                <w:r w:rsidR="00DA7FB4" w:rsidRPr="003A0C5C">
                  <w:t>☐</w:t>
                </w:r>
              </w:sdtContent>
            </w:sdt>
          </w:p>
        </w:tc>
        <w:tc>
          <w:tcPr>
            <w:tcW w:w="0" w:type="auto"/>
          </w:tcPr>
          <w:p w14:paraId="04EC449E" w14:textId="1931371B" w:rsidR="00DA7FB4" w:rsidRPr="003A0C5C" w:rsidRDefault="002348BC" w:rsidP="00DA7FB4">
            <w:pPr>
              <w:pStyle w:val="Checklist"/>
              <w:rPr>
                <w:sz w:val="20"/>
              </w:rPr>
            </w:pPr>
            <w:sdt>
              <w:sdtPr>
                <w:id w:val="-1041284057"/>
                <w14:checkbox>
                  <w14:checked w14:val="1"/>
                  <w14:checkedState w14:val="2612" w14:font="MS Gothic"/>
                  <w14:uncheckedState w14:val="2610" w14:font="MS Gothic"/>
                </w14:checkbox>
              </w:sdtPr>
              <w:sdtEndPr/>
              <w:sdtContent>
                <w:r w:rsidR="00DA7FB4" w:rsidRPr="003A0C5C">
                  <w:rPr>
                    <w:rFonts w:hint="eastAsia"/>
                  </w:rPr>
                  <w:t>☒</w:t>
                </w:r>
              </w:sdtContent>
            </w:sdt>
          </w:p>
        </w:tc>
        <w:tc>
          <w:tcPr>
            <w:tcW w:w="0" w:type="auto"/>
          </w:tcPr>
          <w:p w14:paraId="771109A2" w14:textId="5658A06D" w:rsidR="00DA7FB4" w:rsidRPr="003A0C5C" w:rsidRDefault="002348BC" w:rsidP="00DA7FB4">
            <w:pPr>
              <w:pStyle w:val="Checklist"/>
              <w:rPr>
                <w:sz w:val="20"/>
              </w:rPr>
            </w:pPr>
            <w:sdt>
              <w:sdtPr>
                <w:id w:val="-828821076"/>
                <w14:checkbox>
                  <w14:checked w14:val="0"/>
                  <w14:checkedState w14:val="2612" w14:font="MS Gothic"/>
                  <w14:uncheckedState w14:val="2610" w14:font="MS Gothic"/>
                </w14:checkbox>
              </w:sdtPr>
              <w:sdtEndPr/>
              <w:sdtContent>
                <w:r w:rsidR="00DA7FB4" w:rsidRPr="003A0C5C">
                  <w:rPr>
                    <w:rFonts w:hint="eastAsia"/>
                  </w:rPr>
                  <w:t>☐</w:t>
                </w:r>
              </w:sdtContent>
            </w:sdt>
          </w:p>
        </w:tc>
      </w:tr>
      <w:tr w:rsidR="00DA7FB4" w:rsidRPr="003A0C5C" w14:paraId="3898B151" w14:textId="77777777" w:rsidTr="00F07065">
        <w:trPr>
          <w:cantSplit/>
        </w:trPr>
        <w:tc>
          <w:tcPr>
            <w:tcW w:w="0" w:type="auto"/>
          </w:tcPr>
          <w:p w14:paraId="44854526" w14:textId="5E25021E" w:rsidR="00DA7FB4" w:rsidRPr="003A0C5C" w:rsidRDefault="00DA7FB4" w:rsidP="00DA7FB4">
            <w:pPr>
              <w:pStyle w:val="Tabletextnumber"/>
            </w:pPr>
            <w:r w:rsidRPr="003A0C5C">
              <w:rPr>
                <w:rFonts w:cs="Arial"/>
                <w:szCs w:val="16"/>
              </w:rPr>
              <w:t>e)</w:t>
            </w:r>
            <w:r w:rsidRPr="003A0C5C">
              <w:rPr>
                <w:rFonts w:cs="Arial"/>
                <w:szCs w:val="16"/>
              </w:rPr>
              <w:tab/>
              <w:t xml:space="preserve">Comply with </w:t>
            </w:r>
            <w:r w:rsidR="00DF423E" w:rsidRPr="003A0C5C">
              <w:rPr>
                <w:rFonts w:cs="Arial"/>
                <w:szCs w:val="16"/>
              </w:rPr>
              <w:t>f</w:t>
            </w:r>
            <w:r w:rsidR="00E51793" w:rsidRPr="003A0C5C">
              <w:rPr>
                <w:rFonts w:cs="Arial"/>
                <w:szCs w:val="16"/>
              </w:rPr>
              <w:t>ederal</w:t>
            </w:r>
            <w:r w:rsidRPr="003A0C5C">
              <w:rPr>
                <w:rFonts w:cs="Arial"/>
                <w:szCs w:val="16"/>
              </w:rPr>
              <w:t xml:space="preserve">, </w:t>
            </w:r>
            <w:r w:rsidR="00E51793" w:rsidRPr="003A0C5C">
              <w:rPr>
                <w:rFonts w:cs="Arial"/>
                <w:szCs w:val="16"/>
              </w:rPr>
              <w:t>State</w:t>
            </w:r>
            <w:r w:rsidRPr="003A0C5C">
              <w:rPr>
                <w:rFonts w:cs="Arial"/>
                <w:szCs w:val="16"/>
              </w:rPr>
              <w:t>, and local management and reduction statutes and regulations related to solid waste?</w:t>
            </w:r>
          </w:p>
        </w:tc>
        <w:tc>
          <w:tcPr>
            <w:tcW w:w="0" w:type="auto"/>
          </w:tcPr>
          <w:p w14:paraId="47BAA58F" w14:textId="77777777" w:rsidR="00DA7FB4" w:rsidRPr="003A0C5C" w:rsidRDefault="002348BC" w:rsidP="00DA7FB4">
            <w:pPr>
              <w:pStyle w:val="Checklist"/>
              <w:rPr>
                <w:sz w:val="20"/>
              </w:rPr>
            </w:pPr>
            <w:sdt>
              <w:sdtPr>
                <w:id w:val="-291596393"/>
                <w14:checkbox>
                  <w14:checked w14:val="0"/>
                  <w14:checkedState w14:val="2612" w14:font="MS Gothic"/>
                  <w14:uncheckedState w14:val="2610" w14:font="MS Gothic"/>
                </w14:checkbox>
              </w:sdtPr>
              <w:sdtEndPr/>
              <w:sdtContent>
                <w:r w:rsidR="00DA7FB4" w:rsidRPr="003A0C5C">
                  <w:t>☐</w:t>
                </w:r>
              </w:sdtContent>
            </w:sdt>
          </w:p>
        </w:tc>
        <w:tc>
          <w:tcPr>
            <w:tcW w:w="0" w:type="auto"/>
          </w:tcPr>
          <w:p w14:paraId="5E6E4839" w14:textId="77777777" w:rsidR="00DA7FB4" w:rsidRPr="003A0C5C" w:rsidRDefault="002348BC" w:rsidP="00DA7FB4">
            <w:pPr>
              <w:pStyle w:val="Checklist"/>
              <w:rPr>
                <w:sz w:val="20"/>
              </w:rPr>
            </w:pPr>
            <w:sdt>
              <w:sdtPr>
                <w:id w:val="-667950621"/>
                <w14:checkbox>
                  <w14:checked w14:val="0"/>
                  <w14:checkedState w14:val="2612" w14:font="MS Gothic"/>
                  <w14:uncheckedState w14:val="2610" w14:font="MS Gothic"/>
                </w14:checkbox>
              </w:sdtPr>
              <w:sdtEndPr/>
              <w:sdtContent>
                <w:r w:rsidR="00DA7FB4" w:rsidRPr="003A0C5C">
                  <w:t>☐</w:t>
                </w:r>
              </w:sdtContent>
            </w:sdt>
          </w:p>
        </w:tc>
        <w:tc>
          <w:tcPr>
            <w:tcW w:w="0" w:type="auto"/>
          </w:tcPr>
          <w:p w14:paraId="47D5946A" w14:textId="50EEAB75" w:rsidR="00DA7FB4" w:rsidRPr="003A0C5C" w:rsidRDefault="002348BC" w:rsidP="00DA7FB4">
            <w:pPr>
              <w:pStyle w:val="Checklist"/>
              <w:rPr>
                <w:sz w:val="20"/>
              </w:rPr>
            </w:pPr>
            <w:sdt>
              <w:sdtPr>
                <w:id w:val="1019362431"/>
                <w14:checkbox>
                  <w14:checked w14:val="1"/>
                  <w14:checkedState w14:val="2612" w14:font="MS Gothic"/>
                  <w14:uncheckedState w14:val="2610" w14:font="MS Gothic"/>
                </w14:checkbox>
              </w:sdtPr>
              <w:sdtEndPr/>
              <w:sdtContent>
                <w:r w:rsidR="00DA7FB4" w:rsidRPr="003A0C5C">
                  <w:rPr>
                    <w:rFonts w:hint="eastAsia"/>
                  </w:rPr>
                  <w:t>☒</w:t>
                </w:r>
              </w:sdtContent>
            </w:sdt>
          </w:p>
        </w:tc>
        <w:tc>
          <w:tcPr>
            <w:tcW w:w="0" w:type="auto"/>
          </w:tcPr>
          <w:p w14:paraId="67AB7AF3" w14:textId="2D7F774C" w:rsidR="00DA7FB4" w:rsidRPr="003A0C5C" w:rsidRDefault="002348BC" w:rsidP="00DA7FB4">
            <w:pPr>
              <w:pStyle w:val="Checklist"/>
              <w:rPr>
                <w:sz w:val="20"/>
              </w:rPr>
            </w:pPr>
            <w:sdt>
              <w:sdtPr>
                <w:id w:val="735059498"/>
                <w14:checkbox>
                  <w14:checked w14:val="0"/>
                  <w14:checkedState w14:val="2612" w14:font="MS Gothic"/>
                  <w14:uncheckedState w14:val="2610" w14:font="MS Gothic"/>
                </w14:checkbox>
              </w:sdtPr>
              <w:sdtEndPr/>
              <w:sdtContent>
                <w:r w:rsidR="00035494" w:rsidRPr="003A0C5C">
                  <w:rPr>
                    <w:rFonts w:hint="eastAsia"/>
                  </w:rPr>
                  <w:t>☐</w:t>
                </w:r>
              </w:sdtContent>
            </w:sdt>
          </w:p>
        </w:tc>
      </w:tr>
    </w:tbl>
    <w:p w14:paraId="37CED332" w14:textId="77777777" w:rsidR="00957C8B" w:rsidRPr="003A0C5C" w:rsidRDefault="00957C8B" w:rsidP="00957C8B">
      <w:pPr>
        <w:pStyle w:val="TableNotes"/>
        <w:rPr>
          <w:highlight w:val="yellow"/>
        </w:rPr>
      </w:pPr>
    </w:p>
    <w:p w14:paraId="0D7C51D4" w14:textId="79443AB1" w:rsidR="0024305C" w:rsidRPr="003A0C5C" w:rsidRDefault="0024305C" w:rsidP="0024305C">
      <w:pPr>
        <w:pStyle w:val="12space"/>
      </w:pPr>
      <w:r w:rsidRPr="003A0C5C">
        <w:t xml:space="preserve">This impact analysis presented in this section is informed, in part, by the </w:t>
      </w:r>
      <w:r w:rsidR="004228D9" w:rsidRPr="003A0C5C">
        <w:t>Utilities Memorandum</w:t>
      </w:r>
      <w:r w:rsidR="00B10330" w:rsidRPr="003A0C5C">
        <w:t xml:space="preserve"> provided in </w:t>
      </w:r>
      <w:r w:rsidR="00975990" w:rsidRPr="003A0C5C">
        <w:rPr>
          <w:b/>
          <w:bCs/>
        </w:rPr>
        <w:t xml:space="preserve">Appendix </w:t>
      </w:r>
      <w:r w:rsidR="00B10330" w:rsidRPr="003A0C5C">
        <w:rPr>
          <w:b/>
          <w:bCs/>
        </w:rPr>
        <w:t>I</w:t>
      </w:r>
      <w:r w:rsidR="00975990" w:rsidRPr="003A0C5C">
        <w:t xml:space="preserve"> of this IS/MND. </w:t>
      </w:r>
    </w:p>
    <w:p w14:paraId="1488FF0B" w14:textId="2C7BB3A3" w:rsidR="00957C8B" w:rsidRPr="003A0C5C" w:rsidRDefault="00957C8B" w:rsidP="00957C8B">
      <w:pPr>
        <w:pStyle w:val="Heading5"/>
      </w:pPr>
      <w:r w:rsidRPr="003A0C5C">
        <w:t>Discussion</w:t>
      </w:r>
    </w:p>
    <w:p w14:paraId="46FE4F7C" w14:textId="6B8ACA9B" w:rsidR="00FB0FF0" w:rsidRPr="003A0C5C" w:rsidRDefault="004F426E" w:rsidP="002777CF">
      <w:pPr>
        <w:pStyle w:val="12spaceindent"/>
      </w:pPr>
      <w:r w:rsidRPr="003A0C5C">
        <w:t>a)</w:t>
      </w:r>
      <w:r w:rsidRPr="003A0C5C">
        <w:tab/>
      </w:r>
      <w:r w:rsidR="00FB0FF0" w:rsidRPr="003A0C5C">
        <w:rPr>
          <w:rStyle w:val="Heading6Char"/>
        </w:rPr>
        <w:t>Water</w:t>
      </w:r>
    </w:p>
    <w:p w14:paraId="2133C0AE" w14:textId="2E63BFE0" w:rsidR="004228D9" w:rsidRPr="003A0C5C" w:rsidRDefault="004228D9" w:rsidP="004228D9">
      <w:pPr>
        <w:pStyle w:val="Heading7"/>
        <w:ind w:firstLine="720"/>
      </w:pPr>
      <w:r w:rsidRPr="003A0C5C">
        <w:t>Construction</w:t>
      </w:r>
    </w:p>
    <w:p w14:paraId="0444AFC4" w14:textId="30D9F8C2" w:rsidR="00CC6F8C" w:rsidRPr="003A0C5C" w:rsidRDefault="00CC6F8C" w:rsidP="00637A75">
      <w:pPr>
        <w:pStyle w:val="12spaceindentcontinue"/>
      </w:pPr>
      <w:r w:rsidRPr="003A0C5C">
        <w:t>During construction activities, there would be a temporary, intermittent demand for water for such activities as soil watering for site preparation, fugitive dust control, concrete preparation, painting, cleanup, and other short-term activities. Construction-related water usage is not expected to have an adverse impact on available water supplies, and impacts would be less than significant.</w:t>
      </w:r>
    </w:p>
    <w:p w14:paraId="738F9525" w14:textId="1D9DAF2A" w:rsidR="004228D9" w:rsidRPr="003A0C5C" w:rsidRDefault="004228D9" w:rsidP="0020432B">
      <w:pPr>
        <w:pStyle w:val="12spaceindentcontinue"/>
      </w:pPr>
      <w:r w:rsidRPr="003A0C5C">
        <w:t xml:space="preserve">As detailed in the Utilities Memorandum, the </w:t>
      </w:r>
      <w:r w:rsidR="00433408" w:rsidRPr="003A0C5C">
        <w:t xml:space="preserve">proposed </w:t>
      </w:r>
      <w:r w:rsidRPr="003A0C5C">
        <w:t xml:space="preserve">project would require the installation of water distribution lines and minor work associated with lateral connections to the public </w:t>
      </w:r>
      <w:r w:rsidR="00A0700D" w:rsidRPr="003A0C5C">
        <w:t>water main</w:t>
      </w:r>
      <w:r w:rsidRPr="003A0C5C">
        <w:t xml:space="preserve">. Project contractors would be required to coordinate with Cal Water </w:t>
      </w:r>
      <w:r w:rsidR="00266354" w:rsidRPr="003A0C5C">
        <w:t xml:space="preserve">Dominguez District </w:t>
      </w:r>
      <w:r w:rsidRPr="003A0C5C">
        <w:t>and the County of Los Angeles prior to construction. Ground disturbance associated with the expansion of these water distribution lines is analyzed throughout this environmental document. With implementation of mitigation measures within this document, construction impacts associated with the proposed expanded water lines would be less than significant.</w:t>
      </w:r>
    </w:p>
    <w:p w14:paraId="6881223F" w14:textId="54FE15CE" w:rsidR="004228D9" w:rsidRPr="003A0C5C" w:rsidRDefault="004228D9" w:rsidP="004228D9">
      <w:pPr>
        <w:pStyle w:val="Heading7"/>
        <w:ind w:firstLine="720"/>
      </w:pPr>
      <w:r w:rsidRPr="003A0C5C">
        <w:t>Operation</w:t>
      </w:r>
    </w:p>
    <w:p w14:paraId="090CC9E1" w14:textId="677D57AA" w:rsidR="00F92AE1" w:rsidRPr="003A0C5C" w:rsidRDefault="00CC6F8C" w:rsidP="0020432B">
      <w:pPr>
        <w:pStyle w:val="12spaceindentcontinue"/>
      </w:pPr>
      <w:r w:rsidRPr="003A0C5C" w:rsidDel="00017030">
        <w:t>No new sources of water supply, such as groundwater, are required to meet the proposed project</w:t>
      </w:r>
      <w:r w:rsidR="00D678AB" w:rsidRPr="003A0C5C" w:rsidDel="00017030">
        <w:t>’</w:t>
      </w:r>
      <w:r w:rsidRPr="003A0C5C" w:rsidDel="00017030">
        <w:t xml:space="preserve">s water demand. </w:t>
      </w:r>
      <w:r w:rsidRPr="003A0C5C">
        <w:t xml:space="preserve">Potable water would be supplied by the </w:t>
      </w:r>
      <w:r w:rsidR="00266354" w:rsidRPr="003A0C5C">
        <w:t xml:space="preserve">Cal Water </w:t>
      </w:r>
      <w:r w:rsidRPr="003A0C5C">
        <w:t>Dominguez District. Based on the 20</w:t>
      </w:r>
      <w:r w:rsidR="00105013" w:rsidRPr="003A0C5C">
        <w:t>20</w:t>
      </w:r>
      <w:r w:rsidRPr="003A0C5C">
        <w:t xml:space="preserve"> Urban Water Management Plan (UWMP), the </w:t>
      </w:r>
      <w:r w:rsidR="00D76A01" w:rsidRPr="003A0C5C">
        <w:t xml:space="preserve">Cal Water </w:t>
      </w:r>
      <w:r w:rsidRPr="003A0C5C">
        <w:t>Dominguez District receives its water from 17</w:t>
      </w:r>
      <w:r w:rsidR="00CD2E2E" w:rsidRPr="003A0C5C">
        <w:t> percent</w:t>
      </w:r>
      <w:r w:rsidRPr="003A0C5C">
        <w:t xml:space="preserve"> groundwater, 15</w:t>
      </w:r>
      <w:r w:rsidR="00CD2E2E" w:rsidRPr="003A0C5C">
        <w:t> percent</w:t>
      </w:r>
      <w:r w:rsidRPr="003A0C5C">
        <w:t xml:space="preserve"> recycled water, and 68</w:t>
      </w:r>
      <w:r w:rsidR="00CD2E2E" w:rsidRPr="003A0C5C">
        <w:t> percent</w:t>
      </w:r>
      <w:r w:rsidRPr="003A0C5C">
        <w:t xml:space="preserve"> purchased water</w:t>
      </w:r>
      <w:r w:rsidR="00257DDE" w:rsidRPr="003A0C5C">
        <w:t xml:space="preserve"> (</w:t>
      </w:r>
      <w:r w:rsidR="00257DDE" w:rsidRPr="003A0C5C">
        <w:rPr>
          <w:rFonts w:eastAsia="Times New Roman" w:cs="Times New Roman"/>
          <w:szCs w:val="22"/>
        </w:rPr>
        <w:t>California Water Service 2020)</w:t>
      </w:r>
      <w:r w:rsidRPr="003A0C5C">
        <w:t xml:space="preserve">. </w:t>
      </w:r>
    </w:p>
    <w:p w14:paraId="41684BA5" w14:textId="5EA9B6DC" w:rsidR="004228D9" w:rsidRPr="003A0C5C" w:rsidRDefault="00D4680A" w:rsidP="00AB7CF6">
      <w:pPr>
        <w:pStyle w:val="12spaceindentcontinue"/>
      </w:pPr>
      <w:r w:rsidRPr="003A0C5C">
        <w:t xml:space="preserve">While </w:t>
      </w:r>
      <w:r w:rsidR="00A44BCF" w:rsidRPr="003A0C5C">
        <w:t xml:space="preserve">the self-storage facilities would not contain any water fixtures, the proposed retail uses and landscaping would contribute to the proposed project’s </w:t>
      </w:r>
      <w:r w:rsidRPr="003A0C5C">
        <w:t xml:space="preserve">operational </w:t>
      </w:r>
      <w:r w:rsidR="00A44BCF" w:rsidRPr="003A0C5C">
        <w:t xml:space="preserve">water demand. </w:t>
      </w:r>
      <w:r w:rsidR="006C54B3" w:rsidRPr="003A0C5C">
        <w:t xml:space="preserve">As detailed in the Utilities Memorandum, the total water demand </w:t>
      </w:r>
      <w:r w:rsidR="00C4278F" w:rsidRPr="003A0C5C">
        <w:t xml:space="preserve">generated by </w:t>
      </w:r>
      <w:r w:rsidR="006C54B3" w:rsidRPr="003A0C5C">
        <w:t xml:space="preserve">the </w:t>
      </w:r>
      <w:r w:rsidR="00433408" w:rsidRPr="003A0C5C">
        <w:t xml:space="preserve">proposed </w:t>
      </w:r>
      <w:r w:rsidR="006C54B3" w:rsidRPr="003A0C5C">
        <w:t xml:space="preserve">project would be </w:t>
      </w:r>
      <w:r w:rsidR="00C4278F" w:rsidRPr="003A0C5C">
        <w:t>1.85</w:t>
      </w:r>
      <w:r w:rsidR="006C54B3" w:rsidRPr="003A0C5C">
        <w:t xml:space="preserve"> acre</w:t>
      </w:r>
      <w:r w:rsidR="00485E18" w:rsidRPr="003A0C5C">
        <w:t>-</w:t>
      </w:r>
      <w:r w:rsidR="006C54B3" w:rsidRPr="003A0C5C">
        <w:t>feet per year (AFY)</w:t>
      </w:r>
      <w:r w:rsidR="00A44BCF" w:rsidRPr="003A0C5C">
        <w:t xml:space="preserve">. </w:t>
      </w:r>
      <w:r w:rsidR="001E7C2C" w:rsidRPr="003A0C5C">
        <w:t>However, as fire water demand will create a much greater immediate impact on the water network as compared to the proposed project’s domestic uses, the primary means for analyzing infrastructure capacity is based on fire water demand. As further described in the Utilities Memorandum, Furthermore, a regional fire Hydrant Flow Test was performed by Cal Water for the existing hydrant on the west side of Perry Street, within the immediate vicinity of the project site, which confirms the available pressure and capacity of the existing fire hydrant is sufficient (</w:t>
      </w:r>
      <w:r w:rsidR="00365C83" w:rsidRPr="003A0C5C">
        <w:t xml:space="preserve">refer to </w:t>
      </w:r>
      <w:r w:rsidR="001E7C2C" w:rsidRPr="003A0C5C">
        <w:rPr>
          <w:b/>
          <w:bCs/>
        </w:rPr>
        <w:t>Appendix I</w:t>
      </w:r>
      <w:r w:rsidR="001E7C2C" w:rsidRPr="003A0C5C">
        <w:t xml:space="preserve"> of this IS/MND). </w:t>
      </w:r>
      <w:r w:rsidR="001F75B4" w:rsidRPr="003A0C5C">
        <w:t>Furthermore, Cal Water has confirmed that adequate water services are available to serve the proposed project from existing commitments (</w:t>
      </w:r>
      <w:r w:rsidR="00365C83" w:rsidRPr="003A0C5C">
        <w:t xml:space="preserve">refer to </w:t>
      </w:r>
      <w:r w:rsidR="001F75B4" w:rsidRPr="003A0C5C">
        <w:rPr>
          <w:b/>
          <w:bCs/>
        </w:rPr>
        <w:t xml:space="preserve">Appendix </w:t>
      </w:r>
      <w:r w:rsidR="00243E60" w:rsidRPr="003A0C5C">
        <w:rPr>
          <w:b/>
          <w:bCs/>
        </w:rPr>
        <w:t>I</w:t>
      </w:r>
      <w:r w:rsidR="001F75B4" w:rsidRPr="003A0C5C">
        <w:t xml:space="preserve"> of this IS/MND).</w:t>
      </w:r>
      <w:r w:rsidR="00243E60" w:rsidRPr="003A0C5C">
        <w:t xml:space="preserve"> </w:t>
      </w:r>
      <w:r w:rsidR="00AB7CF6" w:rsidRPr="003A0C5C">
        <w:t xml:space="preserve">Therefore, operation-related water usage would not have an adverse impact on available water supplies, and impacts would be less than significant. </w:t>
      </w:r>
    </w:p>
    <w:p w14:paraId="6E698A5C" w14:textId="2FFF3308" w:rsidR="00FB0FF0" w:rsidRPr="003A0C5C" w:rsidRDefault="00FB0FF0" w:rsidP="00957C8B">
      <w:pPr>
        <w:pStyle w:val="Heading6"/>
        <w:ind w:left="720"/>
        <w:rPr>
          <w:bCs/>
        </w:rPr>
      </w:pPr>
      <w:r w:rsidRPr="003A0C5C">
        <w:rPr>
          <w:bCs/>
        </w:rPr>
        <w:t>Wastewater Treatment</w:t>
      </w:r>
    </w:p>
    <w:p w14:paraId="35D0C562" w14:textId="77777777" w:rsidR="007A53FA" w:rsidRPr="003A0C5C" w:rsidRDefault="007A53FA" w:rsidP="007A53FA">
      <w:pPr>
        <w:pStyle w:val="Heading7"/>
        <w:ind w:firstLine="720"/>
      </w:pPr>
      <w:r w:rsidRPr="003A0C5C">
        <w:t>Construction</w:t>
      </w:r>
    </w:p>
    <w:p w14:paraId="01756346" w14:textId="2F453B52" w:rsidR="00885E8D" w:rsidRPr="003A0C5C" w:rsidRDefault="00885E8D" w:rsidP="00035494">
      <w:pPr>
        <w:pStyle w:val="12space"/>
        <w:ind w:left="720"/>
      </w:pPr>
      <w:r w:rsidRPr="003A0C5C">
        <w:t xml:space="preserve">Construction activities for the </w:t>
      </w:r>
      <w:r w:rsidR="007A53FA" w:rsidRPr="003A0C5C">
        <w:t xml:space="preserve">proposed </w:t>
      </w:r>
      <w:r w:rsidRPr="003A0C5C">
        <w:t>project would not result in wastewater generation as construction workers would utilize portable restrooms, which would not contribute to wastewater flows to the local wastewater system. Therefore, no impact would occur related to wastewater treatment generation</w:t>
      </w:r>
      <w:r w:rsidR="007A53FA" w:rsidRPr="003A0C5C">
        <w:t xml:space="preserve"> during construction</w:t>
      </w:r>
      <w:r w:rsidRPr="003A0C5C">
        <w:t xml:space="preserve">. </w:t>
      </w:r>
    </w:p>
    <w:p w14:paraId="3F03926D" w14:textId="3242D5FD" w:rsidR="007A53FA" w:rsidRPr="003A0C5C" w:rsidRDefault="00A0700D" w:rsidP="00035494">
      <w:pPr>
        <w:pStyle w:val="12space"/>
        <w:ind w:left="720"/>
      </w:pPr>
      <w:r w:rsidRPr="003A0C5C">
        <w:t xml:space="preserve">As detailed in the Utilities Memorandum, the </w:t>
      </w:r>
      <w:r w:rsidR="00433408" w:rsidRPr="003A0C5C">
        <w:t xml:space="preserve">proposed </w:t>
      </w:r>
      <w:r w:rsidRPr="003A0C5C">
        <w:t xml:space="preserve">project would require construction of new wastewater infrastructure to serve the proposed buildings, consisting of minor work to connect to the public sewer main. Ground disturbance associated with the expansion of these </w:t>
      </w:r>
      <w:r w:rsidR="006B33A3" w:rsidRPr="003A0C5C">
        <w:t>sewer</w:t>
      </w:r>
      <w:r w:rsidRPr="003A0C5C">
        <w:t xml:space="preserve"> lines is analyzed throughout this environmental document. With implementation of mitigation measures within this document, construction impacts associated with the proposed expanded </w:t>
      </w:r>
      <w:r w:rsidR="006B33A3" w:rsidRPr="003A0C5C">
        <w:t>sewer</w:t>
      </w:r>
      <w:r w:rsidRPr="003A0C5C">
        <w:t xml:space="preserve"> lines would be less than significant.</w:t>
      </w:r>
    </w:p>
    <w:p w14:paraId="2DFBD490" w14:textId="6185DCC2" w:rsidR="00A0700D" w:rsidRPr="003A0C5C" w:rsidRDefault="00A0700D" w:rsidP="00A0700D">
      <w:pPr>
        <w:pStyle w:val="Heading7"/>
        <w:ind w:firstLine="720"/>
      </w:pPr>
      <w:r w:rsidRPr="003A0C5C">
        <w:t>Operation</w:t>
      </w:r>
    </w:p>
    <w:p w14:paraId="2C1A89FF" w14:textId="34BA0C3D" w:rsidR="00FB0FF0" w:rsidRPr="003A0C5C" w:rsidRDefault="00FB0FF0" w:rsidP="00614107">
      <w:pPr>
        <w:pStyle w:val="12spaceindentcontinue"/>
      </w:pPr>
      <w:r w:rsidRPr="003A0C5C">
        <w:t>The Los Angeles County Sanitation Districts</w:t>
      </w:r>
      <w:r w:rsidR="00975990" w:rsidRPr="003A0C5C">
        <w:t xml:space="preserve"> (LACSD)</w:t>
      </w:r>
      <w:r w:rsidRPr="003A0C5C">
        <w:t xml:space="preserve"> provide wastewater treatment for much of Los Angeles County including the project site. </w:t>
      </w:r>
      <w:r w:rsidR="00F511DF" w:rsidRPr="003A0C5C">
        <w:t xml:space="preserve">LACSD has confirmed service to the project site via a will serve letter provided in </w:t>
      </w:r>
      <w:r w:rsidR="00F511DF" w:rsidRPr="003A0C5C">
        <w:rPr>
          <w:b/>
          <w:bCs/>
        </w:rPr>
        <w:t>Appendix I</w:t>
      </w:r>
      <w:r w:rsidR="00F511DF" w:rsidRPr="003A0C5C">
        <w:t xml:space="preserve"> of this IS/MND. </w:t>
      </w:r>
      <w:r w:rsidRPr="003A0C5C">
        <w:t>Wastewater generated by the proposed project would be treated at the LACSD</w:t>
      </w:r>
      <w:r w:rsidR="00D678AB" w:rsidRPr="003A0C5C">
        <w:t>’</w:t>
      </w:r>
      <w:r w:rsidRPr="003A0C5C">
        <w:t>s Joint Water Pollution Control Plant (JWPCP) located in the City of Carson, which has a capacity of 400 million gallons per day (</w:t>
      </w:r>
      <w:proofErr w:type="spellStart"/>
      <w:r w:rsidRPr="003A0C5C">
        <w:t>mgd</w:t>
      </w:r>
      <w:proofErr w:type="spellEnd"/>
      <w:r w:rsidRPr="003A0C5C">
        <w:t xml:space="preserve">) and currently processes an average flow of 261.1 </w:t>
      </w:r>
      <w:proofErr w:type="spellStart"/>
      <w:r w:rsidRPr="003A0C5C">
        <w:t>mgd</w:t>
      </w:r>
      <w:proofErr w:type="spellEnd"/>
      <w:r w:rsidRPr="003A0C5C">
        <w:t xml:space="preserve"> (LACSD</w:t>
      </w:r>
      <w:r w:rsidR="000A5037" w:rsidRPr="003A0C5C">
        <w:t> </w:t>
      </w:r>
      <w:r w:rsidRPr="003A0C5C">
        <w:t xml:space="preserve">2008). The capacity of this facility is limited to levels associated with approved growth identified by the SCAG. </w:t>
      </w:r>
      <w:r w:rsidR="004B12A7" w:rsidRPr="003A0C5C">
        <w:t xml:space="preserve">In </w:t>
      </w:r>
      <w:r w:rsidR="000A6B28" w:rsidRPr="003A0C5C">
        <w:t>addition,</w:t>
      </w:r>
      <w:r w:rsidR="004B12A7" w:rsidRPr="003A0C5C">
        <w:t xml:space="preserve"> payment of a standard sewer connection fee and ongoing user fees would be require</w:t>
      </w:r>
      <w:r w:rsidR="000A6B28" w:rsidRPr="003A0C5C">
        <w:t>d</w:t>
      </w:r>
      <w:r w:rsidR="004B12A7" w:rsidRPr="003A0C5C">
        <w:t xml:space="preserve"> to ensure that sufficient capacity is available.</w:t>
      </w:r>
    </w:p>
    <w:p w14:paraId="61A19B62" w14:textId="3319AAAB" w:rsidR="00F92AE1" w:rsidRPr="003A0C5C" w:rsidRDefault="007E696A" w:rsidP="00875434">
      <w:pPr>
        <w:pStyle w:val="12spaceindentcontinue"/>
      </w:pPr>
      <w:r w:rsidRPr="003A0C5C">
        <w:t xml:space="preserve">As detailed in the Utilities Memorandum, the </w:t>
      </w:r>
      <w:r w:rsidR="00433408" w:rsidRPr="003A0C5C">
        <w:t xml:space="preserve">proposed </w:t>
      </w:r>
      <w:r w:rsidRPr="003A0C5C">
        <w:t>project would contribute 12,250 gallons per day (GPD)</w:t>
      </w:r>
      <w:r w:rsidR="0015240A" w:rsidRPr="003A0C5C">
        <w:t xml:space="preserve"> of wastewater</w:t>
      </w:r>
      <w:r w:rsidRPr="003A0C5C">
        <w:t xml:space="preserve">, which is a negligible </w:t>
      </w:r>
      <w:r w:rsidR="002A77B9" w:rsidRPr="003A0C5C">
        <w:t xml:space="preserve">wastewater </w:t>
      </w:r>
      <w:r w:rsidR="001E27B1" w:rsidRPr="003A0C5C">
        <w:t>generation</w:t>
      </w:r>
      <w:r w:rsidR="002A77B9" w:rsidRPr="003A0C5C">
        <w:t xml:space="preserve"> </w:t>
      </w:r>
      <w:r w:rsidRPr="003A0C5C">
        <w:t xml:space="preserve">compared to the available capacity at the JWPCP. </w:t>
      </w:r>
      <w:r w:rsidR="001651C2" w:rsidRPr="003A0C5C">
        <w:t xml:space="preserve">In addition, </w:t>
      </w:r>
      <w:r w:rsidR="00E2482A" w:rsidRPr="003A0C5C">
        <w:t>payment of standard sewer connection fees and ongoing user fees would ensure that sufficient capacity is available. Therefore, it is not anticipated that project implementation would require construction of new or the expansion of existing wastewater facilities</w:t>
      </w:r>
      <w:r w:rsidR="007D4B1A" w:rsidRPr="003A0C5C">
        <w:t xml:space="preserve"> and i</w:t>
      </w:r>
      <w:r w:rsidR="00E2482A" w:rsidRPr="003A0C5C">
        <w:t>mpacts would be less than significant.</w:t>
      </w:r>
    </w:p>
    <w:p w14:paraId="2952BB5E" w14:textId="393975A6" w:rsidR="00F92AE1" w:rsidRPr="003A0C5C" w:rsidRDefault="00E2482A" w:rsidP="00957C8B">
      <w:pPr>
        <w:pStyle w:val="Heading6"/>
        <w:ind w:left="720"/>
        <w:rPr>
          <w:bCs/>
        </w:rPr>
      </w:pPr>
      <w:r w:rsidRPr="003A0C5C">
        <w:rPr>
          <w:bCs/>
        </w:rPr>
        <w:t>Stormwater</w:t>
      </w:r>
    </w:p>
    <w:p w14:paraId="5AFCA587" w14:textId="60745C52" w:rsidR="00F92AE1" w:rsidRPr="003A0C5C" w:rsidRDefault="00B84B4A" w:rsidP="00875434">
      <w:pPr>
        <w:pStyle w:val="12spaceindentcontinue"/>
      </w:pPr>
      <w:r w:rsidRPr="003A0C5C">
        <w:t xml:space="preserve">As discussed above in </w:t>
      </w:r>
      <w:r w:rsidR="00AF3438" w:rsidRPr="003A0C5C">
        <w:t>Section</w:t>
      </w:r>
      <w:r w:rsidR="00CD2E2E" w:rsidRPr="003A0C5C">
        <w:t> </w:t>
      </w:r>
      <w:r w:rsidRPr="003A0C5C">
        <w:t>X</w:t>
      </w:r>
      <w:r w:rsidR="00AF3438" w:rsidRPr="003A0C5C">
        <w:t xml:space="preserve">, </w:t>
      </w:r>
      <w:r w:rsidR="008F3D17" w:rsidRPr="003A0C5C">
        <w:rPr>
          <w:rStyle w:val="Italic"/>
        </w:rPr>
        <w:t>Hydrology and Water Quality</w:t>
      </w:r>
      <w:r w:rsidR="008F3D17" w:rsidRPr="003A0C5C">
        <w:t xml:space="preserve">, </w:t>
      </w:r>
      <w:r w:rsidRPr="003A0C5C">
        <w:t xml:space="preserve">the </w:t>
      </w:r>
      <w:r w:rsidR="008E7787" w:rsidRPr="003A0C5C">
        <w:t xml:space="preserve">project site drains towards the west to an existing </w:t>
      </w:r>
      <w:r w:rsidR="00967BEB" w:rsidRPr="003A0C5C">
        <w:t>5-foot</w:t>
      </w:r>
      <w:r w:rsidR="008E7787" w:rsidRPr="003A0C5C">
        <w:t xml:space="preserve"> storm drain inlet that outlets directly to the Dominguez Channel. Under the proposed project, the project site would drain from east to west via gutters that wrap around the proposed buildings. The runoff generated would be treated by a 10 foot by </w:t>
      </w:r>
      <w:r w:rsidR="00967BEB" w:rsidRPr="003A0C5C">
        <w:t>20-foot</w:t>
      </w:r>
      <w:r w:rsidR="008E7787" w:rsidRPr="003A0C5C">
        <w:t xml:space="preserve"> Modular Wetland System that would discharge via an 18-inch pipe to the existing </w:t>
      </w:r>
      <w:r w:rsidR="00967BEB" w:rsidRPr="003A0C5C">
        <w:t>5-foot</w:t>
      </w:r>
      <w:r w:rsidR="008E7787" w:rsidRPr="003A0C5C">
        <w:t xml:space="preserve"> storm drain inlet, as under existing conditions</w:t>
      </w:r>
      <w:r w:rsidR="00DD0A97" w:rsidRPr="003A0C5C">
        <w:t xml:space="preserve"> </w:t>
      </w:r>
      <w:r w:rsidR="008E7787" w:rsidRPr="003A0C5C">
        <w:t xml:space="preserve">In addition, the proposed </w:t>
      </w:r>
      <w:r w:rsidRPr="003A0C5C">
        <w:t>project would be required to complete a SWPPP in accordance with the NPDES, which would reduce the potential for stormwater impacts on</w:t>
      </w:r>
      <w:r w:rsidR="00832857" w:rsidRPr="003A0C5C">
        <w:t>-</w:t>
      </w:r>
      <w:r w:rsidRPr="003A0C5C">
        <w:t xml:space="preserve"> and off</w:t>
      </w:r>
      <w:r w:rsidR="00832857" w:rsidRPr="003A0C5C">
        <w:t>-</w:t>
      </w:r>
      <w:r w:rsidRPr="003A0C5C">
        <w:t xml:space="preserve">site. Furthermore, once implementation of the </w:t>
      </w:r>
      <w:r w:rsidR="005F23E3" w:rsidRPr="003A0C5C">
        <w:t xml:space="preserve">proposed </w:t>
      </w:r>
      <w:r w:rsidRPr="003A0C5C">
        <w:t xml:space="preserve">project is complete, the project site would contain </w:t>
      </w:r>
      <w:r w:rsidR="00222D70" w:rsidRPr="003A0C5C">
        <w:t xml:space="preserve">approximately </w:t>
      </w:r>
      <w:r w:rsidR="006B1732" w:rsidRPr="003A0C5C">
        <w:t>10.2</w:t>
      </w:r>
      <w:r w:rsidR="00CD2E2E" w:rsidRPr="003A0C5C">
        <w:t> percent</w:t>
      </w:r>
      <w:r w:rsidRPr="003A0C5C">
        <w:t xml:space="preserve"> landscaped areas</w:t>
      </w:r>
      <w:r w:rsidR="00FE10E7" w:rsidRPr="003A0C5C">
        <w:t>.</w:t>
      </w:r>
      <w:r w:rsidR="0015240A" w:rsidRPr="003A0C5C">
        <w:t xml:space="preserve"> Therefore, impacts related to stormwater drainage would be less than significant. </w:t>
      </w:r>
    </w:p>
    <w:p w14:paraId="743DC11C" w14:textId="7E399977" w:rsidR="000553F9" w:rsidRPr="003A0C5C" w:rsidRDefault="000553F9" w:rsidP="00957C8B">
      <w:pPr>
        <w:pStyle w:val="Heading6"/>
        <w:ind w:left="720"/>
        <w:rPr>
          <w:bCs/>
        </w:rPr>
      </w:pPr>
      <w:r w:rsidRPr="003A0C5C">
        <w:rPr>
          <w:bCs/>
        </w:rPr>
        <w:t>Electric Power</w:t>
      </w:r>
      <w:r w:rsidR="00E05811" w:rsidRPr="003A0C5C">
        <w:rPr>
          <w:bCs/>
        </w:rPr>
        <w:t>, Natural Gas,</w:t>
      </w:r>
      <w:r w:rsidRPr="003A0C5C">
        <w:rPr>
          <w:bCs/>
        </w:rPr>
        <w:t xml:space="preserve"> and Telecommunications</w:t>
      </w:r>
    </w:p>
    <w:p w14:paraId="73F9F700" w14:textId="7F653C5F" w:rsidR="00F92AE1" w:rsidRPr="003A0C5C" w:rsidRDefault="00281443" w:rsidP="00875434">
      <w:pPr>
        <w:pStyle w:val="12spaceindentcontinue"/>
        <w:rPr>
          <w:highlight w:val="yellow"/>
        </w:rPr>
      </w:pPr>
      <w:r w:rsidRPr="003A0C5C">
        <w:t>The project site is located in an urbanized area of the City of Carson and is currently vacant and undeveloped</w:t>
      </w:r>
      <w:r w:rsidR="007E62A2" w:rsidRPr="003A0C5C">
        <w:t>. The project site was previously developed and historically</w:t>
      </w:r>
      <w:r w:rsidR="000553F9" w:rsidRPr="003A0C5C">
        <w:t xml:space="preserve"> served by electric power</w:t>
      </w:r>
      <w:r w:rsidR="007E62A2" w:rsidRPr="003A0C5C">
        <w:t>, natural gas,</w:t>
      </w:r>
      <w:r w:rsidR="000553F9" w:rsidRPr="003A0C5C">
        <w:t xml:space="preserve"> and telecommunications providers</w:t>
      </w:r>
      <w:r w:rsidR="007E62A2" w:rsidRPr="003A0C5C">
        <w:t xml:space="preserve"> that still exist in the vicinity of the project site</w:t>
      </w:r>
      <w:r w:rsidR="000553F9" w:rsidRPr="003A0C5C">
        <w:t xml:space="preserve">. </w:t>
      </w:r>
      <w:r w:rsidR="00CC6F8C" w:rsidRPr="003A0C5C">
        <w:t xml:space="preserve">With regard to existing electrical distribution lines, the </w:t>
      </w:r>
      <w:r w:rsidR="00C548BB" w:rsidRPr="003A0C5C">
        <w:t xml:space="preserve">proposed </w:t>
      </w:r>
      <w:r w:rsidR="00CC6F8C" w:rsidRPr="003A0C5C">
        <w:t>project would be required to coordinate electrical infrastructure removals or relocations with SCE and comply with site-specific requirements set forth by SCE, which would ensure that service disruptions and potential impacts associated with grading, construction, and development within SCE easements would be minimized.</w:t>
      </w:r>
      <w:r w:rsidR="00C548BB" w:rsidRPr="003A0C5C">
        <w:t xml:space="preserve"> </w:t>
      </w:r>
      <w:r w:rsidR="006B6A15" w:rsidRPr="003A0C5C">
        <w:t xml:space="preserve">As described in the Utilities Memorandum, development of the proposed project would require the construction of a transformer pad. </w:t>
      </w:r>
      <w:r w:rsidR="00C548BB" w:rsidRPr="003A0C5C">
        <w:t xml:space="preserve">In addition, the proposed project would also be required to coordinate with SoCalGas to identify the locations and depth of all existing gas lines and avoid disruption of gas service to other properties. Furthermore, the </w:t>
      </w:r>
      <w:r w:rsidR="005F23E3" w:rsidRPr="003A0C5C">
        <w:t xml:space="preserve">proposed </w:t>
      </w:r>
      <w:r w:rsidR="00322BDD" w:rsidRPr="003A0C5C">
        <w:t>project</w:t>
      </w:r>
      <w:r w:rsidR="00C548BB" w:rsidRPr="003A0C5C">
        <w:t xml:space="preserve"> would implement any necessary connections and upgrades required by SoCalGas to ensure that SoCalGas would be able to adequately serve the </w:t>
      </w:r>
      <w:r w:rsidR="005F23E3" w:rsidRPr="003A0C5C">
        <w:t xml:space="preserve">proposed </w:t>
      </w:r>
      <w:r w:rsidR="00322BDD" w:rsidRPr="003A0C5C">
        <w:t>project</w:t>
      </w:r>
      <w:r w:rsidR="00C548BB" w:rsidRPr="003A0C5C">
        <w:t>.</w:t>
      </w:r>
      <w:r w:rsidR="00CC6F8C" w:rsidRPr="003A0C5C">
        <w:t xml:space="preserve"> </w:t>
      </w:r>
      <w:r w:rsidR="006B6A15" w:rsidRPr="003A0C5C">
        <w:t xml:space="preserve">With regard to telecommunication, the proposed project would be required to coordinate with AT&amp;T to connect services to the project site. Specifically, a tie in overhead at the existing overhead line on East Carson Street would be required. Well serve letters from these utilities are provided in </w:t>
      </w:r>
      <w:r w:rsidR="006B6A15" w:rsidRPr="003A0C5C">
        <w:rPr>
          <w:b/>
          <w:bCs/>
        </w:rPr>
        <w:t>Appendix I</w:t>
      </w:r>
      <w:r w:rsidR="006B6A15" w:rsidRPr="003A0C5C">
        <w:t xml:space="preserve"> of this IS/MND. </w:t>
      </w:r>
      <w:r w:rsidR="000553F9" w:rsidRPr="003A0C5C">
        <w:t xml:space="preserve">Implementation of the </w:t>
      </w:r>
      <w:r w:rsidR="00C548BB" w:rsidRPr="003A0C5C">
        <w:t xml:space="preserve">proposed </w:t>
      </w:r>
      <w:r w:rsidR="000553F9" w:rsidRPr="003A0C5C">
        <w:t>project would not require the extension of or new electric power</w:t>
      </w:r>
      <w:r w:rsidR="00C548BB" w:rsidRPr="003A0C5C">
        <w:t xml:space="preserve">, natural gas, </w:t>
      </w:r>
      <w:r w:rsidR="000553F9" w:rsidRPr="003A0C5C">
        <w:t>and telecommunication infrastructure and there would be no impact.</w:t>
      </w:r>
    </w:p>
    <w:p w14:paraId="3C581A82" w14:textId="70BFC97B" w:rsidR="00F92AE1" w:rsidRPr="003A0C5C" w:rsidRDefault="004F426E" w:rsidP="0020432B">
      <w:pPr>
        <w:pStyle w:val="12spaceindent"/>
      </w:pPr>
      <w:r w:rsidRPr="003A0C5C">
        <w:t>b)</w:t>
      </w:r>
      <w:r w:rsidRPr="003A0C5C">
        <w:tab/>
        <w:t xml:space="preserve">The proposed project would </w:t>
      </w:r>
      <w:r w:rsidR="001F7E4A" w:rsidRPr="003A0C5C">
        <w:rPr>
          <w:rFonts w:cs="Arial"/>
          <w:szCs w:val="16"/>
        </w:rPr>
        <w:t>have sufficient water supplies available to serve the project</w:t>
      </w:r>
      <w:r w:rsidR="00433408" w:rsidRPr="003A0C5C">
        <w:rPr>
          <w:rFonts w:cs="Arial"/>
          <w:szCs w:val="16"/>
        </w:rPr>
        <w:t xml:space="preserve"> site</w:t>
      </w:r>
      <w:r w:rsidR="001F7E4A" w:rsidRPr="003A0C5C">
        <w:rPr>
          <w:rFonts w:cs="Arial"/>
          <w:szCs w:val="16"/>
        </w:rPr>
        <w:t xml:space="preserve"> and responsibly foreseeable future development during normal, dry and multiple dry years</w:t>
      </w:r>
      <w:r w:rsidR="00B84B4A" w:rsidRPr="003A0C5C">
        <w:t>.</w:t>
      </w:r>
      <w:r w:rsidR="00470C54" w:rsidRPr="003A0C5C">
        <w:t xml:space="preserve"> </w:t>
      </w:r>
      <w:r w:rsidR="0015240A" w:rsidRPr="003A0C5C">
        <w:t xml:space="preserve">As detailed above in Section XIX (a) and as detailed in the Utilities Memorandum, the total water demand for the </w:t>
      </w:r>
      <w:r w:rsidR="00433408" w:rsidRPr="003A0C5C">
        <w:t xml:space="preserve">proposed </w:t>
      </w:r>
      <w:r w:rsidR="0015240A" w:rsidRPr="003A0C5C">
        <w:t xml:space="preserve">project would be </w:t>
      </w:r>
      <w:r w:rsidR="00243E60" w:rsidRPr="003A0C5C">
        <w:t>1.85</w:t>
      </w:r>
      <w:r w:rsidR="0015240A" w:rsidRPr="003A0C5C">
        <w:t xml:space="preserve"> AFY </w:t>
      </w:r>
      <w:r w:rsidR="00533457" w:rsidRPr="003A0C5C">
        <w:t>Cal Water has confirmed that adequate water services are available to serve the proposed project from existing commitments (</w:t>
      </w:r>
      <w:r w:rsidR="001D1298" w:rsidRPr="003A0C5C">
        <w:t>refer to</w:t>
      </w:r>
      <w:r w:rsidR="00533457" w:rsidRPr="003A0C5C">
        <w:t xml:space="preserve"> </w:t>
      </w:r>
      <w:r w:rsidR="00533457" w:rsidRPr="003A0C5C">
        <w:rPr>
          <w:b/>
          <w:bCs/>
        </w:rPr>
        <w:t xml:space="preserve">Appendix </w:t>
      </w:r>
      <w:r w:rsidR="00D142B2" w:rsidRPr="003A0C5C">
        <w:rPr>
          <w:b/>
          <w:bCs/>
        </w:rPr>
        <w:t>I</w:t>
      </w:r>
      <w:r w:rsidR="00533457" w:rsidRPr="003A0C5C">
        <w:t xml:space="preserve"> of this IS/MND). </w:t>
      </w:r>
      <w:r w:rsidR="0015240A" w:rsidRPr="003A0C5C">
        <w:t xml:space="preserve">Therefore, water usage would not have an adverse impact on available water supplies, and impacts would be less than significant. </w:t>
      </w:r>
    </w:p>
    <w:p w14:paraId="2DEB3B3D" w14:textId="294E4DB9" w:rsidR="004F426E" w:rsidRPr="003A0C5C" w:rsidRDefault="004F426E" w:rsidP="0020432B">
      <w:pPr>
        <w:pStyle w:val="12spaceindent"/>
      </w:pPr>
      <w:r w:rsidRPr="003A0C5C">
        <w:t>c)</w:t>
      </w:r>
      <w:r w:rsidRPr="003A0C5C">
        <w:tab/>
        <w:t>The JWPCP serves the project site</w:t>
      </w:r>
      <w:r w:rsidR="00AF3438" w:rsidRPr="003A0C5C">
        <w:t xml:space="preserve"> and</w:t>
      </w:r>
      <w:r w:rsidRPr="003A0C5C">
        <w:t xml:space="preserve"> </w:t>
      </w:r>
      <w:r w:rsidR="00AF3438" w:rsidRPr="003A0C5C">
        <w:t>t</w:t>
      </w:r>
      <w:r w:rsidR="00F44545" w:rsidRPr="003A0C5C">
        <w:t xml:space="preserve">he capacity of this facility is limited to levels associated with approved growth identified by the SCAG. </w:t>
      </w:r>
      <w:r w:rsidR="000553F9" w:rsidRPr="003A0C5C">
        <w:t xml:space="preserve">As discussed above in response to </w:t>
      </w:r>
      <w:r w:rsidR="000273B8" w:rsidRPr="003A0C5C">
        <w:t>Section</w:t>
      </w:r>
      <w:r w:rsidR="000553F9" w:rsidRPr="003A0C5C">
        <w:t xml:space="preserve"> XIX (a),</w:t>
      </w:r>
      <w:r w:rsidR="0015240A" w:rsidRPr="003A0C5C">
        <w:t xml:space="preserve"> the </w:t>
      </w:r>
      <w:r w:rsidR="00433408" w:rsidRPr="003A0C5C">
        <w:t xml:space="preserve">proposed </w:t>
      </w:r>
      <w:r w:rsidR="0015240A" w:rsidRPr="003A0C5C">
        <w:t xml:space="preserve">project would contribute 12,250 GPD of wastewater, which is a negligible increase compared to the available capacity </w:t>
      </w:r>
      <w:r w:rsidR="001E27B1" w:rsidRPr="003A0C5C">
        <w:t xml:space="preserve">of 138.9 </w:t>
      </w:r>
      <w:proofErr w:type="spellStart"/>
      <w:r w:rsidR="001E27B1" w:rsidRPr="003A0C5C">
        <w:t>mgd</w:t>
      </w:r>
      <w:proofErr w:type="spellEnd"/>
      <w:r w:rsidR="001E27B1" w:rsidRPr="003A0C5C">
        <w:t xml:space="preserve"> </w:t>
      </w:r>
      <w:r w:rsidR="0015240A" w:rsidRPr="003A0C5C">
        <w:t>at the JWPCP.</w:t>
      </w:r>
      <w:r w:rsidR="001E27B1" w:rsidRPr="003A0C5C">
        <w:rPr>
          <w:rStyle w:val="FootnoteReference"/>
        </w:rPr>
        <w:footnoteReference w:id="9"/>
      </w:r>
      <w:r w:rsidR="0015240A" w:rsidRPr="003A0C5C">
        <w:t xml:space="preserve"> </w:t>
      </w:r>
      <w:r w:rsidR="000330D2" w:rsidRPr="003A0C5C">
        <w:t>In addition, payment of standard sewer connection fees and ongoing user fees would ensure that sufficient capacity is available.</w:t>
      </w:r>
      <w:r w:rsidR="000553F9" w:rsidRPr="003A0C5C">
        <w:t xml:space="preserve"> </w:t>
      </w:r>
      <w:r w:rsidR="00FB0FF0" w:rsidRPr="003A0C5C">
        <w:t>Therefore, a less</w:t>
      </w:r>
      <w:r w:rsidR="00AF3438" w:rsidRPr="003A0C5C">
        <w:t>-</w:t>
      </w:r>
      <w:r w:rsidR="00FB0FF0" w:rsidRPr="003A0C5C">
        <w:t>than</w:t>
      </w:r>
      <w:r w:rsidR="00AF3438" w:rsidRPr="003A0C5C">
        <w:t>-</w:t>
      </w:r>
      <w:r w:rsidR="00FB0FF0" w:rsidRPr="003A0C5C">
        <w:t>significant impact</w:t>
      </w:r>
      <w:r w:rsidRPr="003A0C5C">
        <w:t xml:space="preserve"> would occur.</w:t>
      </w:r>
    </w:p>
    <w:p w14:paraId="2CFC08AC" w14:textId="3300B3E3" w:rsidR="00CC6F8C" w:rsidRPr="003A0C5C" w:rsidRDefault="004F426E" w:rsidP="0020432B">
      <w:pPr>
        <w:pStyle w:val="12spaceindent"/>
      </w:pPr>
      <w:r w:rsidRPr="003A0C5C">
        <w:t>d)</w:t>
      </w:r>
      <w:r w:rsidRPr="003A0C5C">
        <w:tab/>
      </w:r>
      <w:r w:rsidR="00CC6F8C" w:rsidRPr="003A0C5C">
        <w:t>A substantial amount of solid waste is disposed of throughout the region, requiring ongoing landfill expansions.</w:t>
      </w:r>
      <w:r w:rsidR="00470C54" w:rsidRPr="003A0C5C">
        <w:t xml:space="preserve"> </w:t>
      </w:r>
      <w:r w:rsidR="00CC6F8C" w:rsidRPr="003A0C5C">
        <w:t xml:space="preserve">According to the City </w:t>
      </w:r>
      <w:r w:rsidR="00266354" w:rsidRPr="003A0C5C">
        <w:t xml:space="preserve">of Carson </w:t>
      </w:r>
      <w:r w:rsidR="00CC6F8C" w:rsidRPr="003A0C5C">
        <w:t>General Plan, solid waste generated by industrial, commercial, and residential uses in the City is collected by Waste Management. Waste Management collects an estimated 153,500 tons from commercial and industrial customers per year. Solid waste collected by Waste Management is transported to the Carson Transfer Station and Materials Recovery where it is sorted by material type. The 10-acre facility has a permitted capacity of 5,300 tons per day. Once the materials have been sorted, tires, green waste, steel, and wood are diverted to special facilities for disposal and recycling. Excess solid waste is sent to El Sobrante Landfill in Riverside County, approximately 75</w:t>
      </w:r>
      <w:r w:rsidR="00CD41F9" w:rsidRPr="003A0C5C">
        <w:t> mile</w:t>
      </w:r>
      <w:r w:rsidR="00CC6F8C" w:rsidRPr="003A0C5C">
        <w:t>s from the City. Waste Management also disposes solid waste to Lancaster Landfill and Simi Valley Landfill as alternates. The total permitted throughput for all landfills is 30,404 tons per day, and approximately 249 million cubic yards of capacity remain (</w:t>
      </w:r>
      <w:proofErr w:type="spellStart"/>
      <w:r w:rsidR="00CC6F8C" w:rsidRPr="003A0C5C">
        <w:t>CalRecycle</w:t>
      </w:r>
      <w:proofErr w:type="spellEnd"/>
      <w:r w:rsidR="00CC6F8C" w:rsidRPr="003A0C5C">
        <w:t xml:space="preserve"> </w:t>
      </w:r>
      <w:r w:rsidR="00C013C5" w:rsidRPr="003A0C5C">
        <w:t>2022</w:t>
      </w:r>
      <w:r w:rsidR="00CC6F8C" w:rsidRPr="003A0C5C">
        <w:t xml:space="preserve">). As under existing conditions, solid waste would be collected by Waste Management and taken to the appropriate Sanitation Districts of Los Angeles County landfill with remaining capacity. Landfills operated by Sanitation Districts of Los Angeles County are subject to </w:t>
      </w:r>
      <w:r w:rsidR="000A5037" w:rsidRPr="003A0C5C">
        <w:t>f</w:t>
      </w:r>
      <w:r w:rsidR="001C20F9" w:rsidRPr="003A0C5C">
        <w:t>ederal</w:t>
      </w:r>
      <w:r w:rsidR="00CC6F8C" w:rsidRPr="003A0C5C">
        <w:t xml:space="preserve"> and State programs that regulate operations and capacity in consideration of solid waste reduction goals.</w:t>
      </w:r>
    </w:p>
    <w:p w14:paraId="14B0CA04" w14:textId="3D01DD36" w:rsidR="00F92AE1" w:rsidRPr="003A0C5C" w:rsidRDefault="00CC6F8C" w:rsidP="0020432B">
      <w:pPr>
        <w:pStyle w:val="12spaceindentcontinue"/>
      </w:pPr>
      <w:r w:rsidRPr="003A0C5C">
        <w:t>In addition, according to the 20</w:t>
      </w:r>
      <w:r w:rsidR="001804AD" w:rsidRPr="003A0C5C">
        <w:t>21</w:t>
      </w:r>
      <w:r w:rsidRPr="003A0C5C">
        <w:t xml:space="preserve"> Annual Report for the Countywide Integrated Waste Management Plan (CIWMP), the remaining capacity at County-operated landfills is </w:t>
      </w:r>
      <w:r w:rsidR="001804AD" w:rsidRPr="003A0C5C">
        <w:t>129.19</w:t>
      </w:r>
      <w:r w:rsidRPr="003A0C5C">
        <w:t xml:space="preserve"> million tons (County of Los Angeles 202</w:t>
      </w:r>
      <w:r w:rsidR="001804AD" w:rsidRPr="003A0C5C">
        <w:t>1</w:t>
      </w:r>
      <w:r w:rsidRPr="003A0C5C">
        <w:t xml:space="preserve">). Construction of the </w:t>
      </w:r>
      <w:r w:rsidR="00300CBF" w:rsidRPr="003A0C5C">
        <w:t xml:space="preserve">proposed </w:t>
      </w:r>
      <w:r w:rsidRPr="003A0C5C">
        <w:t>project would generate solid waste including wood, metals, soils, and other construction-related materials. However, as required by the Construction and Demolition Debris Recycling and Reuse Program (C&amp;D) Program, the</w:t>
      </w:r>
      <w:r w:rsidR="00046487" w:rsidRPr="003A0C5C">
        <w:t xml:space="preserve"> proposed</w:t>
      </w:r>
      <w:r w:rsidRPr="003A0C5C">
        <w:t xml:space="preserve"> project would be required to divert a minimum of 65</w:t>
      </w:r>
      <w:r w:rsidR="00CD2E2E" w:rsidRPr="003A0C5C">
        <w:t> percent</w:t>
      </w:r>
      <w:r w:rsidRPr="003A0C5C">
        <w:t xml:space="preserve"> of C&amp;D waste from landfills. As the </w:t>
      </w:r>
      <w:r w:rsidR="00300CBF" w:rsidRPr="003A0C5C">
        <w:t xml:space="preserve">proposed </w:t>
      </w:r>
      <w:r w:rsidRPr="003A0C5C">
        <w:t>project would be required to divert 65</w:t>
      </w:r>
      <w:r w:rsidR="00CD2E2E" w:rsidRPr="003A0C5C">
        <w:t> percent</w:t>
      </w:r>
      <w:r w:rsidRPr="003A0C5C">
        <w:t xml:space="preserve"> of solid waste from landfills, the remaining capacity of County-operated landfills would be minimally affected due to construction.</w:t>
      </w:r>
    </w:p>
    <w:p w14:paraId="0CF40920" w14:textId="0816BC2F" w:rsidR="00CC6F8C" w:rsidRPr="003A0C5C" w:rsidRDefault="00CC6F8C" w:rsidP="0020432B">
      <w:pPr>
        <w:pStyle w:val="12spaceindentcontinue"/>
      </w:pPr>
      <w:r w:rsidRPr="003A0C5C">
        <w:t xml:space="preserve">All collection, transportation, and disposal of any solid waste generated by the </w:t>
      </w:r>
      <w:r w:rsidR="005F23E3" w:rsidRPr="003A0C5C">
        <w:t xml:space="preserve">proposed </w:t>
      </w:r>
      <w:r w:rsidRPr="003A0C5C">
        <w:t xml:space="preserve">project during construction and operation would comply with all applicable </w:t>
      </w:r>
      <w:r w:rsidR="00DF423E" w:rsidRPr="003A0C5C">
        <w:t>f</w:t>
      </w:r>
      <w:r w:rsidR="001C20F9" w:rsidRPr="003A0C5C">
        <w:t>ederal</w:t>
      </w:r>
      <w:r w:rsidRPr="003A0C5C">
        <w:t>,</w:t>
      </w:r>
      <w:r w:rsidR="00470C54" w:rsidRPr="003A0C5C">
        <w:t xml:space="preserve"> </w:t>
      </w:r>
      <w:r w:rsidR="00903701" w:rsidRPr="003A0C5C">
        <w:t>State</w:t>
      </w:r>
      <w:r w:rsidRPr="003A0C5C">
        <w:t>, and local statutes and regulations. In particular, AB 939 requires that at least 50</w:t>
      </w:r>
      <w:r w:rsidR="00300CBF" w:rsidRPr="003A0C5C">
        <w:t xml:space="preserve"> percent</w:t>
      </w:r>
      <w:r w:rsidRPr="003A0C5C">
        <w:t xml:space="preserve"> of solid waste generated by a jurisdiction be diverted from landfill disposal through source reduction, recycling, or composting. Cities, counties, and regional agencies are required to develop a waste management plan that would achieve a 50</w:t>
      </w:r>
      <w:r w:rsidR="00300CBF" w:rsidRPr="003A0C5C">
        <w:t xml:space="preserve"> percent</w:t>
      </w:r>
      <w:r w:rsidRPr="003A0C5C">
        <w:t xml:space="preserve"> diversion from landfills (</w:t>
      </w:r>
      <w:r w:rsidR="007E2308" w:rsidRPr="003A0C5C">
        <w:t>Public Resources Code</w:t>
      </w:r>
      <w:r w:rsidR="007E2308" w:rsidRPr="003A0C5C" w:rsidDel="007E2308">
        <w:t xml:space="preserve"> </w:t>
      </w:r>
      <w:r w:rsidR="00CC791E" w:rsidRPr="003A0C5C">
        <w:t>Section </w:t>
      </w:r>
      <w:r w:rsidRPr="003A0C5C">
        <w:t xml:space="preserve">40000 et seq.). Furthermore, as required by existing regulations, any hazardous materials collected on the project site during demolition, construction, or operational activities would be transported and disposed of by a permitted and licensed hazardous materials service provider at a facility permitted to accept such hazardous materials. As such, the </w:t>
      </w:r>
      <w:r w:rsidR="00300CBF" w:rsidRPr="003A0C5C">
        <w:t xml:space="preserve">proposed </w:t>
      </w:r>
      <w:r w:rsidRPr="003A0C5C">
        <w:t xml:space="preserve">project is not anticipated to generate solid waste in excess of </w:t>
      </w:r>
      <w:r w:rsidR="001C20F9" w:rsidRPr="003A0C5C">
        <w:t>State</w:t>
      </w:r>
      <w:r w:rsidRPr="003A0C5C">
        <w:t xml:space="preserve"> or local standards, or in excess of the capacity of local infrastructure, or otherwise impair the attainment of solid waste reduction goals.</w:t>
      </w:r>
      <w:r w:rsidR="00470C54" w:rsidRPr="003A0C5C">
        <w:t xml:space="preserve"> </w:t>
      </w:r>
      <w:r w:rsidRPr="003A0C5C">
        <w:t>Therefore, this impact would be less than significant.</w:t>
      </w:r>
    </w:p>
    <w:p w14:paraId="2E988805" w14:textId="31F55811" w:rsidR="00C337B4" w:rsidRPr="003A0C5C" w:rsidRDefault="004F426E" w:rsidP="00C337B4">
      <w:pPr>
        <w:pStyle w:val="12spaceindent"/>
      </w:pPr>
      <w:r w:rsidRPr="003A0C5C">
        <w:t>e)</w:t>
      </w:r>
      <w:r w:rsidRPr="003A0C5C">
        <w:tab/>
        <w:t xml:space="preserve">The project site is subject to </w:t>
      </w:r>
      <w:r w:rsidR="001C20F9" w:rsidRPr="003A0C5C">
        <w:t>State</w:t>
      </w:r>
      <w:r w:rsidRPr="003A0C5C">
        <w:t xml:space="preserve"> and </w:t>
      </w:r>
      <w:r w:rsidR="00E51793" w:rsidRPr="003A0C5C">
        <w:t>City</w:t>
      </w:r>
      <w:r w:rsidRPr="003A0C5C">
        <w:t xml:space="preserve"> mandates with respect to solid waste, such as implementation of the City</w:t>
      </w:r>
      <w:r w:rsidR="00D678AB" w:rsidRPr="003A0C5C">
        <w:t>’</w:t>
      </w:r>
      <w:r w:rsidRPr="003A0C5C">
        <w:t>s Diversion and Recycling Program.</w:t>
      </w:r>
      <w:r w:rsidR="00470C54" w:rsidRPr="003A0C5C">
        <w:t xml:space="preserve"> </w:t>
      </w:r>
      <w:r w:rsidR="00487B31" w:rsidRPr="003A0C5C">
        <w:t xml:space="preserve">The proposed project would comply with all </w:t>
      </w:r>
      <w:r w:rsidR="00DF423E" w:rsidRPr="003A0C5C">
        <w:t>f</w:t>
      </w:r>
      <w:r w:rsidR="001C20F9" w:rsidRPr="003A0C5C">
        <w:t>ederal</w:t>
      </w:r>
      <w:r w:rsidR="00487B31" w:rsidRPr="003A0C5C">
        <w:t xml:space="preserve">, </w:t>
      </w:r>
      <w:r w:rsidR="001C20F9" w:rsidRPr="003A0C5C">
        <w:t>State</w:t>
      </w:r>
      <w:r w:rsidR="00487B31" w:rsidRPr="003A0C5C">
        <w:t xml:space="preserve">, and local statutes and regulations related to solid waste, including the California Integrated Waste Management Act and City requirements for solid waste generated during project construction and operation. </w:t>
      </w:r>
      <w:r w:rsidR="00035494" w:rsidRPr="003A0C5C">
        <w:t>Compliance with these regulations would ensure that a l</w:t>
      </w:r>
      <w:r w:rsidR="00487B31" w:rsidRPr="003A0C5C">
        <w:t>ess</w:t>
      </w:r>
      <w:r w:rsidR="00035494" w:rsidRPr="003A0C5C">
        <w:t>-</w:t>
      </w:r>
      <w:r w:rsidR="00487B31" w:rsidRPr="003A0C5C">
        <w:t>than</w:t>
      </w:r>
      <w:r w:rsidR="00035494" w:rsidRPr="003A0C5C">
        <w:t>-</w:t>
      </w:r>
      <w:r w:rsidR="00487B31" w:rsidRPr="003A0C5C">
        <w:t>significant impact would occur.</w:t>
      </w:r>
    </w:p>
    <w:p w14:paraId="2CA6EC9A" w14:textId="77777777" w:rsidR="00C337B4" w:rsidRPr="003A0C5C" w:rsidRDefault="00C337B4" w:rsidP="00C337B4">
      <w:pPr>
        <w:pStyle w:val="12spaceindent"/>
        <w:keepNext/>
        <w:spacing w:after="120"/>
        <w:ind w:left="0" w:firstLine="0"/>
        <w:rPr>
          <w:highlight w:val="yellow"/>
        </w:rPr>
      </w:pPr>
    </w:p>
    <w:p w14:paraId="1B710E78" w14:textId="77777777" w:rsidR="002B6967" w:rsidRPr="003A0C5C" w:rsidRDefault="002B6967" w:rsidP="002B6967">
      <w:pPr>
        <w:pStyle w:val="ImpactSectionEnd"/>
        <w:rPr>
          <w:highlight w:val="yellow"/>
        </w:rPr>
      </w:pPr>
    </w:p>
    <w:p w14:paraId="5B44E1FE" w14:textId="77777777" w:rsidR="002B6967" w:rsidRPr="003A0C5C" w:rsidRDefault="002B6967" w:rsidP="002B6967">
      <w:pPr>
        <w:rPr>
          <w:highlight w:val="yellow"/>
        </w:rPr>
      </w:pPr>
      <w:r w:rsidRPr="003A0C5C">
        <w:rPr>
          <w:highlight w:val="yellow"/>
        </w:rPr>
        <w:br w:type="page"/>
      </w:r>
    </w:p>
    <w:p w14:paraId="66957AD3" w14:textId="59E62643" w:rsidR="004F426E" w:rsidRPr="003A0C5C" w:rsidRDefault="008B0DDC" w:rsidP="008B0DDC">
      <w:pPr>
        <w:pStyle w:val="Heading4"/>
      </w:pPr>
      <w:bookmarkStart w:id="118" w:name="_Toc101791999"/>
      <w:r w:rsidRPr="003A0C5C">
        <w:t>XX.</w:t>
      </w:r>
      <w:r w:rsidRPr="003A0C5C">
        <w:tab/>
      </w:r>
      <w:r w:rsidR="004F426E" w:rsidRPr="003A0C5C">
        <w:t>Wildfire</w:t>
      </w:r>
      <w:bookmarkEnd w:id="118"/>
    </w:p>
    <w:tbl>
      <w:tblPr>
        <w:tblW w:w="0" w:type="auto"/>
        <w:tblCellMar>
          <w:left w:w="86" w:type="dxa"/>
          <w:right w:w="86" w:type="dxa"/>
        </w:tblCellMar>
        <w:tblLook w:val="0000" w:firstRow="0" w:lastRow="0" w:firstColumn="0" w:lastColumn="0" w:noHBand="0" w:noVBand="0"/>
      </w:tblPr>
      <w:tblGrid>
        <w:gridCol w:w="5088"/>
        <w:gridCol w:w="888"/>
        <w:gridCol w:w="1152"/>
        <w:gridCol w:w="888"/>
        <w:gridCol w:w="624"/>
      </w:tblGrid>
      <w:tr w:rsidR="003A0C5C" w:rsidRPr="003A0C5C" w14:paraId="7DFC72A7" w14:textId="77777777" w:rsidTr="00F07065">
        <w:trPr>
          <w:cantSplit/>
          <w:tblHeader/>
        </w:trPr>
        <w:tc>
          <w:tcPr>
            <w:tcW w:w="0" w:type="auto"/>
            <w:vAlign w:val="bottom"/>
          </w:tcPr>
          <w:p w14:paraId="7BD7434D" w14:textId="77777777" w:rsidR="00DA7FB4" w:rsidRPr="003A0C5C" w:rsidRDefault="00DA7FB4" w:rsidP="00F07065">
            <w:pPr>
              <w:keepNext/>
              <w:pBdr>
                <w:bottom w:val="single" w:sz="4" w:space="1" w:color="auto"/>
              </w:pBdr>
              <w:spacing w:before="60" w:after="60"/>
              <w:ind w:left="540" w:hanging="540"/>
              <w:rPr>
                <w:rFonts w:ascii="Arial" w:hAnsi="Arial" w:cs="Arial"/>
                <w:b/>
                <w:i/>
                <w:sz w:val="14"/>
                <w:szCs w:val="16"/>
              </w:rPr>
            </w:pPr>
            <w:r w:rsidRPr="003A0C5C">
              <w:rPr>
                <w:rFonts w:ascii="Arial" w:hAnsi="Arial" w:cs="Arial"/>
                <w:b/>
                <w:i/>
                <w:sz w:val="14"/>
                <w:szCs w:val="16"/>
              </w:rPr>
              <w:t>Issues (and Supporting Information Sources)</w:t>
            </w:r>
          </w:p>
        </w:tc>
        <w:tc>
          <w:tcPr>
            <w:tcW w:w="0" w:type="auto"/>
            <w:vAlign w:val="bottom"/>
          </w:tcPr>
          <w:p w14:paraId="0C3DEB4B" w14:textId="77777777" w:rsidR="00DA7FB4" w:rsidRPr="003A0C5C" w:rsidRDefault="00DA7FB4" w:rsidP="00F07065">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Potentially</w:t>
            </w:r>
            <w:r w:rsidRPr="003A0C5C">
              <w:rPr>
                <w:rFonts w:ascii="Arial" w:hAnsi="Arial" w:cs="Arial"/>
                <w:b/>
                <w:i/>
                <w:sz w:val="14"/>
                <w:szCs w:val="16"/>
              </w:rPr>
              <w:br/>
              <w:t>Significant</w:t>
            </w:r>
            <w:r w:rsidRPr="003A0C5C">
              <w:rPr>
                <w:rFonts w:ascii="Arial" w:hAnsi="Arial" w:cs="Arial"/>
                <w:b/>
                <w:i/>
                <w:sz w:val="14"/>
                <w:szCs w:val="16"/>
              </w:rPr>
              <w:br/>
              <w:t>Impact</w:t>
            </w:r>
          </w:p>
        </w:tc>
        <w:tc>
          <w:tcPr>
            <w:tcW w:w="0" w:type="auto"/>
            <w:vAlign w:val="bottom"/>
          </w:tcPr>
          <w:p w14:paraId="3E785BB6" w14:textId="77777777" w:rsidR="00DA7FB4" w:rsidRPr="003A0C5C" w:rsidRDefault="00DA7FB4" w:rsidP="00F07065">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Less than</w:t>
            </w:r>
            <w:r w:rsidRPr="003A0C5C">
              <w:rPr>
                <w:rFonts w:ascii="Arial" w:hAnsi="Arial" w:cs="Arial"/>
                <w:b/>
                <w:i/>
                <w:sz w:val="14"/>
                <w:szCs w:val="16"/>
              </w:rPr>
              <w:br/>
              <w:t>Significant</w:t>
            </w:r>
            <w:r w:rsidRPr="003A0C5C">
              <w:rPr>
                <w:rFonts w:ascii="Arial" w:hAnsi="Arial" w:cs="Arial"/>
                <w:b/>
                <w:i/>
                <w:sz w:val="14"/>
                <w:szCs w:val="16"/>
              </w:rPr>
              <w:br/>
              <w:t>with Mitigation</w:t>
            </w:r>
            <w:r w:rsidRPr="003A0C5C">
              <w:rPr>
                <w:rFonts w:ascii="Arial" w:hAnsi="Arial" w:cs="Arial"/>
                <w:b/>
                <w:i/>
                <w:sz w:val="14"/>
                <w:szCs w:val="16"/>
              </w:rPr>
              <w:br/>
              <w:t>Incorporated</w:t>
            </w:r>
          </w:p>
        </w:tc>
        <w:tc>
          <w:tcPr>
            <w:tcW w:w="0" w:type="auto"/>
            <w:vAlign w:val="bottom"/>
          </w:tcPr>
          <w:p w14:paraId="2A632930" w14:textId="77777777" w:rsidR="00DA7FB4" w:rsidRPr="003A0C5C" w:rsidRDefault="00DA7FB4" w:rsidP="00F07065">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Less-than-</w:t>
            </w:r>
            <w:r w:rsidRPr="003A0C5C">
              <w:rPr>
                <w:rFonts w:ascii="Arial" w:hAnsi="Arial" w:cs="Arial"/>
                <w:b/>
                <w:i/>
                <w:sz w:val="14"/>
                <w:szCs w:val="16"/>
              </w:rPr>
              <w:br/>
              <w:t>Significant</w:t>
            </w:r>
            <w:r w:rsidRPr="003A0C5C">
              <w:rPr>
                <w:rFonts w:ascii="Arial" w:hAnsi="Arial" w:cs="Arial"/>
                <w:b/>
                <w:i/>
                <w:sz w:val="14"/>
                <w:szCs w:val="16"/>
              </w:rPr>
              <w:br/>
              <w:t>Impact</w:t>
            </w:r>
          </w:p>
        </w:tc>
        <w:tc>
          <w:tcPr>
            <w:tcW w:w="0" w:type="auto"/>
            <w:vAlign w:val="bottom"/>
          </w:tcPr>
          <w:p w14:paraId="392FE8A2" w14:textId="77777777" w:rsidR="00DA7FB4" w:rsidRPr="003A0C5C" w:rsidRDefault="00DA7FB4" w:rsidP="00F07065">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No</w:t>
            </w:r>
            <w:r w:rsidRPr="003A0C5C">
              <w:rPr>
                <w:rFonts w:ascii="Arial" w:hAnsi="Arial" w:cs="Arial"/>
                <w:b/>
                <w:i/>
                <w:sz w:val="14"/>
                <w:szCs w:val="16"/>
              </w:rPr>
              <w:br/>
              <w:t>Impact</w:t>
            </w:r>
          </w:p>
        </w:tc>
      </w:tr>
      <w:tr w:rsidR="003A0C5C" w:rsidRPr="003A0C5C" w14:paraId="5373915F" w14:textId="77777777" w:rsidTr="00F07065">
        <w:trPr>
          <w:cantSplit/>
        </w:trPr>
        <w:tc>
          <w:tcPr>
            <w:tcW w:w="0" w:type="auto"/>
          </w:tcPr>
          <w:p w14:paraId="58C76EC5" w14:textId="0EACB672" w:rsidR="00DA7FB4" w:rsidRPr="003A0C5C" w:rsidRDefault="00DA7FB4" w:rsidP="00F07065">
            <w:pPr>
              <w:pStyle w:val="Tabletextnumber"/>
              <w:keepNext/>
              <w:ind w:left="504" w:hanging="504"/>
              <w:rPr>
                <w:rStyle w:val="Bold"/>
              </w:rPr>
            </w:pPr>
            <w:r w:rsidRPr="003A0C5C">
              <w:rPr>
                <w:rStyle w:val="Bold"/>
              </w:rPr>
              <w:t>XX.</w:t>
            </w:r>
            <w:r w:rsidRPr="003A0C5C">
              <w:rPr>
                <w:rStyle w:val="Bold"/>
              </w:rPr>
              <w:tab/>
              <w:t>WILDFIRE</w:t>
            </w:r>
            <w:r w:rsidRPr="003A0C5C">
              <w:t>—If located in or near state responsibility areas or lands classified as very high fire hazard severity zones, would the project:</w:t>
            </w:r>
          </w:p>
        </w:tc>
        <w:tc>
          <w:tcPr>
            <w:tcW w:w="0" w:type="auto"/>
          </w:tcPr>
          <w:p w14:paraId="75F17060" w14:textId="77777777" w:rsidR="00DA7FB4" w:rsidRPr="003A0C5C" w:rsidRDefault="00DA7FB4" w:rsidP="00F07065">
            <w:pPr>
              <w:pStyle w:val="Checklist"/>
            </w:pPr>
          </w:p>
        </w:tc>
        <w:tc>
          <w:tcPr>
            <w:tcW w:w="0" w:type="auto"/>
          </w:tcPr>
          <w:p w14:paraId="4A7119E5" w14:textId="77777777" w:rsidR="00DA7FB4" w:rsidRPr="003A0C5C" w:rsidRDefault="00DA7FB4" w:rsidP="00F07065">
            <w:pPr>
              <w:pStyle w:val="Checklist"/>
            </w:pPr>
          </w:p>
        </w:tc>
        <w:tc>
          <w:tcPr>
            <w:tcW w:w="0" w:type="auto"/>
          </w:tcPr>
          <w:p w14:paraId="6FFB4C51" w14:textId="77777777" w:rsidR="00DA7FB4" w:rsidRPr="003A0C5C" w:rsidRDefault="00DA7FB4" w:rsidP="00F07065">
            <w:pPr>
              <w:pStyle w:val="Checklist"/>
            </w:pPr>
          </w:p>
        </w:tc>
        <w:tc>
          <w:tcPr>
            <w:tcW w:w="0" w:type="auto"/>
          </w:tcPr>
          <w:p w14:paraId="16ABAF5F" w14:textId="77777777" w:rsidR="00DA7FB4" w:rsidRPr="003A0C5C" w:rsidRDefault="00DA7FB4" w:rsidP="00F07065">
            <w:pPr>
              <w:pStyle w:val="Checklist"/>
            </w:pPr>
          </w:p>
        </w:tc>
      </w:tr>
      <w:tr w:rsidR="003A0C5C" w:rsidRPr="003A0C5C" w14:paraId="25898C13" w14:textId="77777777" w:rsidTr="00F07065">
        <w:trPr>
          <w:cantSplit/>
        </w:trPr>
        <w:tc>
          <w:tcPr>
            <w:tcW w:w="0" w:type="auto"/>
          </w:tcPr>
          <w:p w14:paraId="139CDCC1" w14:textId="58F3905C" w:rsidR="00DA7FB4" w:rsidRPr="003A0C5C" w:rsidRDefault="00DA7FB4" w:rsidP="00DA7FB4">
            <w:pPr>
              <w:pStyle w:val="Tabletextnumber"/>
            </w:pPr>
            <w:r w:rsidRPr="003A0C5C">
              <w:rPr>
                <w:rFonts w:cs="Arial"/>
                <w:szCs w:val="16"/>
              </w:rPr>
              <w:t>a)</w:t>
            </w:r>
            <w:r w:rsidRPr="003A0C5C">
              <w:rPr>
                <w:rFonts w:cs="Arial"/>
                <w:szCs w:val="16"/>
              </w:rPr>
              <w:tab/>
              <w:t>Substantially impair an adopted emergency response plan or emergency evacuation plan?</w:t>
            </w:r>
          </w:p>
        </w:tc>
        <w:tc>
          <w:tcPr>
            <w:tcW w:w="0" w:type="auto"/>
          </w:tcPr>
          <w:p w14:paraId="03CD9988" w14:textId="77777777" w:rsidR="00DA7FB4" w:rsidRPr="003A0C5C" w:rsidRDefault="002348BC" w:rsidP="00DA7FB4">
            <w:pPr>
              <w:pStyle w:val="Checklist"/>
            </w:pPr>
            <w:sdt>
              <w:sdtPr>
                <w:id w:val="-1031033900"/>
                <w14:checkbox>
                  <w14:checked w14:val="0"/>
                  <w14:checkedState w14:val="2612" w14:font="MS Gothic"/>
                  <w14:uncheckedState w14:val="2610" w14:font="MS Gothic"/>
                </w14:checkbox>
              </w:sdtPr>
              <w:sdtEndPr/>
              <w:sdtContent>
                <w:r w:rsidR="00DA7FB4" w:rsidRPr="003A0C5C">
                  <w:t>☐</w:t>
                </w:r>
              </w:sdtContent>
            </w:sdt>
          </w:p>
        </w:tc>
        <w:tc>
          <w:tcPr>
            <w:tcW w:w="0" w:type="auto"/>
          </w:tcPr>
          <w:p w14:paraId="0187997A" w14:textId="77777777" w:rsidR="00DA7FB4" w:rsidRPr="003A0C5C" w:rsidRDefault="002348BC" w:rsidP="00DA7FB4">
            <w:pPr>
              <w:pStyle w:val="Checklist"/>
              <w:rPr>
                <w:sz w:val="20"/>
              </w:rPr>
            </w:pPr>
            <w:sdt>
              <w:sdtPr>
                <w:id w:val="1219941010"/>
                <w14:checkbox>
                  <w14:checked w14:val="0"/>
                  <w14:checkedState w14:val="2612" w14:font="MS Gothic"/>
                  <w14:uncheckedState w14:val="2610" w14:font="MS Gothic"/>
                </w14:checkbox>
              </w:sdtPr>
              <w:sdtEndPr/>
              <w:sdtContent>
                <w:r w:rsidR="00DA7FB4" w:rsidRPr="003A0C5C">
                  <w:t>☐</w:t>
                </w:r>
              </w:sdtContent>
            </w:sdt>
          </w:p>
        </w:tc>
        <w:tc>
          <w:tcPr>
            <w:tcW w:w="0" w:type="auto"/>
          </w:tcPr>
          <w:p w14:paraId="4A179118" w14:textId="7FEE4536" w:rsidR="00DA7FB4" w:rsidRPr="003A0C5C" w:rsidRDefault="002348BC" w:rsidP="00DA7FB4">
            <w:pPr>
              <w:pStyle w:val="Checklist"/>
              <w:rPr>
                <w:sz w:val="20"/>
              </w:rPr>
            </w:pPr>
            <w:sdt>
              <w:sdtPr>
                <w:id w:val="-2042126179"/>
                <w14:checkbox>
                  <w14:checked w14:val="1"/>
                  <w14:checkedState w14:val="2612" w14:font="MS Gothic"/>
                  <w14:uncheckedState w14:val="2610" w14:font="MS Gothic"/>
                </w14:checkbox>
              </w:sdtPr>
              <w:sdtEndPr/>
              <w:sdtContent>
                <w:r w:rsidR="00C9276B" w:rsidRPr="003A0C5C">
                  <w:rPr>
                    <w:rFonts w:hint="eastAsia"/>
                  </w:rPr>
                  <w:t>☒</w:t>
                </w:r>
              </w:sdtContent>
            </w:sdt>
          </w:p>
        </w:tc>
        <w:tc>
          <w:tcPr>
            <w:tcW w:w="0" w:type="auto"/>
          </w:tcPr>
          <w:p w14:paraId="05263345" w14:textId="547FDD43" w:rsidR="00DA7FB4" w:rsidRPr="003A0C5C" w:rsidRDefault="002348BC" w:rsidP="00DA7FB4">
            <w:pPr>
              <w:pStyle w:val="Checklist"/>
              <w:rPr>
                <w:sz w:val="20"/>
              </w:rPr>
            </w:pPr>
            <w:sdt>
              <w:sdtPr>
                <w:id w:val="107633296"/>
                <w14:checkbox>
                  <w14:checked w14:val="0"/>
                  <w14:checkedState w14:val="2612" w14:font="MS Gothic"/>
                  <w14:uncheckedState w14:val="2610" w14:font="MS Gothic"/>
                </w14:checkbox>
              </w:sdtPr>
              <w:sdtEndPr/>
              <w:sdtContent>
                <w:r w:rsidR="00C9276B" w:rsidRPr="003A0C5C">
                  <w:rPr>
                    <w:rFonts w:hint="eastAsia"/>
                  </w:rPr>
                  <w:t>☐</w:t>
                </w:r>
              </w:sdtContent>
            </w:sdt>
          </w:p>
        </w:tc>
      </w:tr>
      <w:tr w:rsidR="003A0C5C" w:rsidRPr="003A0C5C" w14:paraId="64CF638B" w14:textId="77777777" w:rsidTr="00F07065">
        <w:trPr>
          <w:cantSplit/>
        </w:trPr>
        <w:tc>
          <w:tcPr>
            <w:tcW w:w="0" w:type="auto"/>
          </w:tcPr>
          <w:p w14:paraId="28CF7C9C" w14:textId="03A9DEAD" w:rsidR="00DA7FB4" w:rsidRPr="003A0C5C" w:rsidRDefault="00DA7FB4" w:rsidP="00DA7FB4">
            <w:pPr>
              <w:pStyle w:val="Tabletextnumber"/>
            </w:pPr>
            <w:r w:rsidRPr="003A0C5C">
              <w:rPr>
                <w:rFonts w:cs="Arial"/>
                <w:szCs w:val="16"/>
              </w:rPr>
              <w:t>b)</w:t>
            </w:r>
            <w:r w:rsidRPr="003A0C5C">
              <w:rPr>
                <w:rFonts w:cs="Arial"/>
                <w:szCs w:val="16"/>
              </w:rPr>
              <w:tab/>
              <w:t>Due to slope, prevailing winds, and other factors, exacerbate wildfire risks, and thereby expose project occupants to, pollutant concentrations from a wildfire or the uncontrolled spread of a wildfire?</w:t>
            </w:r>
          </w:p>
        </w:tc>
        <w:tc>
          <w:tcPr>
            <w:tcW w:w="0" w:type="auto"/>
          </w:tcPr>
          <w:p w14:paraId="3AEC3FFE" w14:textId="77777777" w:rsidR="00DA7FB4" w:rsidRPr="003A0C5C" w:rsidRDefault="002348BC" w:rsidP="00DA7FB4">
            <w:pPr>
              <w:pStyle w:val="Checklist"/>
              <w:rPr>
                <w:sz w:val="20"/>
              </w:rPr>
            </w:pPr>
            <w:sdt>
              <w:sdtPr>
                <w:id w:val="-1412610672"/>
                <w14:checkbox>
                  <w14:checked w14:val="0"/>
                  <w14:checkedState w14:val="2612" w14:font="MS Gothic"/>
                  <w14:uncheckedState w14:val="2610" w14:font="MS Gothic"/>
                </w14:checkbox>
              </w:sdtPr>
              <w:sdtEndPr/>
              <w:sdtContent>
                <w:r w:rsidR="00DA7FB4" w:rsidRPr="003A0C5C">
                  <w:t>☐</w:t>
                </w:r>
              </w:sdtContent>
            </w:sdt>
          </w:p>
        </w:tc>
        <w:tc>
          <w:tcPr>
            <w:tcW w:w="0" w:type="auto"/>
          </w:tcPr>
          <w:p w14:paraId="145FCC84" w14:textId="77777777" w:rsidR="00DA7FB4" w:rsidRPr="003A0C5C" w:rsidRDefault="002348BC" w:rsidP="00DA7FB4">
            <w:pPr>
              <w:pStyle w:val="Checklist"/>
              <w:rPr>
                <w:sz w:val="20"/>
              </w:rPr>
            </w:pPr>
            <w:sdt>
              <w:sdtPr>
                <w:id w:val="-74982111"/>
                <w14:checkbox>
                  <w14:checked w14:val="0"/>
                  <w14:checkedState w14:val="2612" w14:font="MS Gothic"/>
                  <w14:uncheckedState w14:val="2610" w14:font="MS Gothic"/>
                </w14:checkbox>
              </w:sdtPr>
              <w:sdtEndPr/>
              <w:sdtContent>
                <w:r w:rsidR="00DA7FB4" w:rsidRPr="003A0C5C">
                  <w:t>☐</w:t>
                </w:r>
              </w:sdtContent>
            </w:sdt>
          </w:p>
        </w:tc>
        <w:tc>
          <w:tcPr>
            <w:tcW w:w="0" w:type="auto"/>
          </w:tcPr>
          <w:p w14:paraId="3A35A43E" w14:textId="4AC0A548" w:rsidR="00DA7FB4" w:rsidRPr="003A0C5C" w:rsidRDefault="002348BC" w:rsidP="00DA7FB4">
            <w:pPr>
              <w:pStyle w:val="Checklist"/>
              <w:rPr>
                <w:sz w:val="20"/>
              </w:rPr>
            </w:pPr>
            <w:sdt>
              <w:sdtPr>
                <w:id w:val="-1223523374"/>
                <w14:checkbox>
                  <w14:checked w14:val="0"/>
                  <w14:checkedState w14:val="2612" w14:font="MS Gothic"/>
                  <w14:uncheckedState w14:val="2610" w14:font="MS Gothic"/>
                </w14:checkbox>
              </w:sdtPr>
              <w:sdtEndPr/>
              <w:sdtContent>
                <w:r w:rsidR="00DA7FB4" w:rsidRPr="003A0C5C">
                  <w:rPr>
                    <w:rFonts w:hint="eastAsia"/>
                  </w:rPr>
                  <w:t>☐</w:t>
                </w:r>
              </w:sdtContent>
            </w:sdt>
          </w:p>
        </w:tc>
        <w:tc>
          <w:tcPr>
            <w:tcW w:w="0" w:type="auto"/>
          </w:tcPr>
          <w:p w14:paraId="36EAB285" w14:textId="16454E12" w:rsidR="00DA7FB4" w:rsidRPr="003A0C5C" w:rsidRDefault="002348BC" w:rsidP="00DA7FB4">
            <w:pPr>
              <w:pStyle w:val="Checklist"/>
              <w:rPr>
                <w:sz w:val="20"/>
              </w:rPr>
            </w:pPr>
            <w:sdt>
              <w:sdtPr>
                <w:id w:val="1532603947"/>
                <w14:checkbox>
                  <w14:checked w14:val="1"/>
                  <w14:checkedState w14:val="2612" w14:font="MS Gothic"/>
                  <w14:uncheckedState w14:val="2610" w14:font="MS Gothic"/>
                </w14:checkbox>
              </w:sdtPr>
              <w:sdtEndPr/>
              <w:sdtContent>
                <w:r w:rsidR="00DA7FB4" w:rsidRPr="003A0C5C">
                  <w:rPr>
                    <w:rFonts w:hint="eastAsia"/>
                  </w:rPr>
                  <w:t>☒</w:t>
                </w:r>
              </w:sdtContent>
            </w:sdt>
          </w:p>
        </w:tc>
      </w:tr>
      <w:tr w:rsidR="003A0C5C" w:rsidRPr="003A0C5C" w14:paraId="3D404C9E" w14:textId="77777777" w:rsidTr="00F07065">
        <w:trPr>
          <w:cantSplit/>
        </w:trPr>
        <w:tc>
          <w:tcPr>
            <w:tcW w:w="0" w:type="auto"/>
          </w:tcPr>
          <w:p w14:paraId="032AB36D" w14:textId="1E045CE3" w:rsidR="00DA7FB4" w:rsidRPr="003A0C5C" w:rsidRDefault="00DA7FB4" w:rsidP="00DA7FB4">
            <w:pPr>
              <w:pStyle w:val="Tabletextnumber"/>
            </w:pPr>
            <w:r w:rsidRPr="003A0C5C">
              <w:rPr>
                <w:rFonts w:cs="Arial"/>
                <w:szCs w:val="16"/>
              </w:rPr>
              <w:t>c)</w:t>
            </w:r>
            <w:r w:rsidRPr="003A0C5C">
              <w:rPr>
                <w:rFonts w:cs="Arial"/>
                <w:szCs w:val="16"/>
              </w:rPr>
              <w:tab/>
              <w:t>Require the installation or maintenance of associated infrastructure (such as roads, fuel breaks, emergency water sources, power lines or other utilities) that may exacerbate fire risk or that may result in temporary or ongoing impacts to the environment?</w:t>
            </w:r>
          </w:p>
        </w:tc>
        <w:tc>
          <w:tcPr>
            <w:tcW w:w="0" w:type="auto"/>
          </w:tcPr>
          <w:p w14:paraId="18320D9B" w14:textId="77777777" w:rsidR="00DA7FB4" w:rsidRPr="003A0C5C" w:rsidRDefault="002348BC" w:rsidP="00DA7FB4">
            <w:pPr>
              <w:pStyle w:val="Checklist"/>
              <w:rPr>
                <w:sz w:val="20"/>
              </w:rPr>
            </w:pPr>
            <w:sdt>
              <w:sdtPr>
                <w:id w:val="-51780525"/>
                <w14:checkbox>
                  <w14:checked w14:val="0"/>
                  <w14:checkedState w14:val="2612" w14:font="MS Gothic"/>
                  <w14:uncheckedState w14:val="2610" w14:font="MS Gothic"/>
                </w14:checkbox>
              </w:sdtPr>
              <w:sdtEndPr/>
              <w:sdtContent>
                <w:r w:rsidR="00DA7FB4" w:rsidRPr="003A0C5C">
                  <w:t>☐</w:t>
                </w:r>
              </w:sdtContent>
            </w:sdt>
          </w:p>
        </w:tc>
        <w:tc>
          <w:tcPr>
            <w:tcW w:w="0" w:type="auto"/>
          </w:tcPr>
          <w:p w14:paraId="53409ED8" w14:textId="77777777" w:rsidR="00DA7FB4" w:rsidRPr="003A0C5C" w:rsidRDefault="002348BC" w:rsidP="00DA7FB4">
            <w:pPr>
              <w:pStyle w:val="Checklist"/>
              <w:rPr>
                <w:sz w:val="20"/>
              </w:rPr>
            </w:pPr>
            <w:sdt>
              <w:sdtPr>
                <w:id w:val="-1517610253"/>
                <w14:checkbox>
                  <w14:checked w14:val="0"/>
                  <w14:checkedState w14:val="2612" w14:font="MS Gothic"/>
                  <w14:uncheckedState w14:val="2610" w14:font="MS Gothic"/>
                </w14:checkbox>
              </w:sdtPr>
              <w:sdtEndPr/>
              <w:sdtContent>
                <w:r w:rsidR="00DA7FB4" w:rsidRPr="003A0C5C">
                  <w:t>☐</w:t>
                </w:r>
              </w:sdtContent>
            </w:sdt>
          </w:p>
        </w:tc>
        <w:tc>
          <w:tcPr>
            <w:tcW w:w="0" w:type="auto"/>
          </w:tcPr>
          <w:p w14:paraId="711AA366" w14:textId="77777777" w:rsidR="00DA7FB4" w:rsidRPr="003A0C5C" w:rsidRDefault="002348BC" w:rsidP="00DA7FB4">
            <w:pPr>
              <w:pStyle w:val="Checklist"/>
              <w:rPr>
                <w:sz w:val="20"/>
              </w:rPr>
            </w:pPr>
            <w:sdt>
              <w:sdtPr>
                <w:id w:val="524375477"/>
                <w14:checkbox>
                  <w14:checked w14:val="0"/>
                  <w14:checkedState w14:val="2612" w14:font="MS Gothic"/>
                  <w14:uncheckedState w14:val="2610" w14:font="MS Gothic"/>
                </w14:checkbox>
              </w:sdtPr>
              <w:sdtEndPr/>
              <w:sdtContent>
                <w:r w:rsidR="00DA7FB4" w:rsidRPr="003A0C5C">
                  <w:rPr>
                    <w:rFonts w:hint="eastAsia"/>
                  </w:rPr>
                  <w:t>☐</w:t>
                </w:r>
              </w:sdtContent>
            </w:sdt>
          </w:p>
        </w:tc>
        <w:tc>
          <w:tcPr>
            <w:tcW w:w="0" w:type="auto"/>
          </w:tcPr>
          <w:p w14:paraId="25FB8594" w14:textId="77777777" w:rsidR="00DA7FB4" w:rsidRPr="003A0C5C" w:rsidRDefault="002348BC" w:rsidP="00DA7FB4">
            <w:pPr>
              <w:pStyle w:val="Checklist"/>
              <w:rPr>
                <w:sz w:val="20"/>
              </w:rPr>
            </w:pPr>
            <w:sdt>
              <w:sdtPr>
                <w:id w:val="1693102689"/>
                <w14:checkbox>
                  <w14:checked w14:val="1"/>
                  <w14:checkedState w14:val="2612" w14:font="MS Gothic"/>
                  <w14:uncheckedState w14:val="2610" w14:font="MS Gothic"/>
                </w14:checkbox>
              </w:sdtPr>
              <w:sdtEndPr/>
              <w:sdtContent>
                <w:r w:rsidR="00DA7FB4" w:rsidRPr="003A0C5C">
                  <w:rPr>
                    <w:rFonts w:hint="eastAsia"/>
                  </w:rPr>
                  <w:t>☒</w:t>
                </w:r>
              </w:sdtContent>
            </w:sdt>
          </w:p>
        </w:tc>
      </w:tr>
      <w:tr w:rsidR="00DA7FB4" w:rsidRPr="003A0C5C" w14:paraId="0EA886AC" w14:textId="77777777" w:rsidTr="00F07065">
        <w:trPr>
          <w:cantSplit/>
        </w:trPr>
        <w:tc>
          <w:tcPr>
            <w:tcW w:w="0" w:type="auto"/>
          </w:tcPr>
          <w:p w14:paraId="66C818AC" w14:textId="5C7CCEBE" w:rsidR="00DA7FB4" w:rsidRPr="003A0C5C" w:rsidRDefault="00DA7FB4" w:rsidP="00DA7FB4">
            <w:pPr>
              <w:pStyle w:val="Tabletextnumber"/>
            </w:pPr>
            <w:r w:rsidRPr="003A0C5C">
              <w:rPr>
                <w:rFonts w:cs="Arial"/>
                <w:szCs w:val="16"/>
              </w:rPr>
              <w:t>d)</w:t>
            </w:r>
            <w:r w:rsidRPr="003A0C5C">
              <w:rPr>
                <w:rFonts w:cs="Arial"/>
                <w:szCs w:val="16"/>
              </w:rPr>
              <w:tab/>
              <w:t>Expose people or structures to significant risks, including downslope or downstream flooding or landslides, as a result of runoff, post-fire slope instability, or drainage changes?</w:t>
            </w:r>
          </w:p>
        </w:tc>
        <w:tc>
          <w:tcPr>
            <w:tcW w:w="0" w:type="auto"/>
          </w:tcPr>
          <w:p w14:paraId="25675F12" w14:textId="77777777" w:rsidR="00DA7FB4" w:rsidRPr="003A0C5C" w:rsidRDefault="002348BC" w:rsidP="00DA7FB4">
            <w:pPr>
              <w:pStyle w:val="Checklist"/>
              <w:rPr>
                <w:sz w:val="20"/>
              </w:rPr>
            </w:pPr>
            <w:sdt>
              <w:sdtPr>
                <w:id w:val="-2065624801"/>
                <w14:checkbox>
                  <w14:checked w14:val="0"/>
                  <w14:checkedState w14:val="2612" w14:font="MS Gothic"/>
                  <w14:uncheckedState w14:val="2610" w14:font="MS Gothic"/>
                </w14:checkbox>
              </w:sdtPr>
              <w:sdtEndPr/>
              <w:sdtContent>
                <w:r w:rsidR="00DA7FB4" w:rsidRPr="003A0C5C">
                  <w:t>☐</w:t>
                </w:r>
              </w:sdtContent>
            </w:sdt>
          </w:p>
        </w:tc>
        <w:tc>
          <w:tcPr>
            <w:tcW w:w="0" w:type="auto"/>
          </w:tcPr>
          <w:p w14:paraId="09B6EE30" w14:textId="77777777" w:rsidR="00DA7FB4" w:rsidRPr="003A0C5C" w:rsidRDefault="002348BC" w:rsidP="00DA7FB4">
            <w:pPr>
              <w:pStyle w:val="Checklist"/>
              <w:rPr>
                <w:sz w:val="20"/>
              </w:rPr>
            </w:pPr>
            <w:sdt>
              <w:sdtPr>
                <w:id w:val="192814120"/>
                <w14:checkbox>
                  <w14:checked w14:val="0"/>
                  <w14:checkedState w14:val="2612" w14:font="MS Gothic"/>
                  <w14:uncheckedState w14:val="2610" w14:font="MS Gothic"/>
                </w14:checkbox>
              </w:sdtPr>
              <w:sdtEndPr/>
              <w:sdtContent>
                <w:r w:rsidR="00DA7FB4" w:rsidRPr="003A0C5C">
                  <w:t>☐</w:t>
                </w:r>
              </w:sdtContent>
            </w:sdt>
          </w:p>
        </w:tc>
        <w:tc>
          <w:tcPr>
            <w:tcW w:w="0" w:type="auto"/>
          </w:tcPr>
          <w:p w14:paraId="49DC6734" w14:textId="3B68EB72" w:rsidR="00DA7FB4" w:rsidRPr="003A0C5C" w:rsidRDefault="002348BC" w:rsidP="00DA7FB4">
            <w:pPr>
              <w:pStyle w:val="Checklist"/>
              <w:rPr>
                <w:sz w:val="20"/>
              </w:rPr>
            </w:pPr>
            <w:sdt>
              <w:sdtPr>
                <w:id w:val="1760107239"/>
                <w14:checkbox>
                  <w14:checked w14:val="0"/>
                  <w14:checkedState w14:val="2612" w14:font="MS Gothic"/>
                  <w14:uncheckedState w14:val="2610" w14:font="MS Gothic"/>
                </w14:checkbox>
              </w:sdtPr>
              <w:sdtEndPr/>
              <w:sdtContent>
                <w:r w:rsidR="00DA7FB4" w:rsidRPr="003A0C5C">
                  <w:rPr>
                    <w:rFonts w:hint="eastAsia"/>
                  </w:rPr>
                  <w:t>☐</w:t>
                </w:r>
              </w:sdtContent>
            </w:sdt>
          </w:p>
        </w:tc>
        <w:tc>
          <w:tcPr>
            <w:tcW w:w="0" w:type="auto"/>
          </w:tcPr>
          <w:p w14:paraId="276FFF79" w14:textId="2B257CAD" w:rsidR="00DA7FB4" w:rsidRPr="003A0C5C" w:rsidRDefault="002348BC" w:rsidP="00DA7FB4">
            <w:pPr>
              <w:pStyle w:val="Checklist"/>
              <w:rPr>
                <w:sz w:val="20"/>
              </w:rPr>
            </w:pPr>
            <w:sdt>
              <w:sdtPr>
                <w:id w:val="1712146991"/>
                <w14:checkbox>
                  <w14:checked w14:val="1"/>
                  <w14:checkedState w14:val="2612" w14:font="MS Gothic"/>
                  <w14:uncheckedState w14:val="2610" w14:font="MS Gothic"/>
                </w14:checkbox>
              </w:sdtPr>
              <w:sdtEndPr/>
              <w:sdtContent>
                <w:r w:rsidR="0025674B" w:rsidRPr="003A0C5C">
                  <w:rPr>
                    <w:rFonts w:hint="eastAsia"/>
                  </w:rPr>
                  <w:t>☒</w:t>
                </w:r>
              </w:sdtContent>
            </w:sdt>
          </w:p>
        </w:tc>
      </w:tr>
    </w:tbl>
    <w:p w14:paraId="32D3C16E" w14:textId="77777777" w:rsidR="00957C8B" w:rsidRPr="003A0C5C" w:rsidRDefault="00957C8B" w:rsidP="00957C8B">
      <w:pPr>
        <w:pStyle w:val="TableNotes"/>
        <w:rPr>
          <w:highlight w:val="yellow"/>
        </w:rPr>
      </w:pPr>
    </w:p>
    <w:p w14:paraId="00B066BE" w14:textId="77777777" w:rsidR="00957C8B" w:rsidRPr="003A0C5C" w:rsidRDefault="00957C8B" w:rsidP="00957C8B">
      <w:pPr>
        <w:pStyle w:val="Heading5"/>
      </w:pPr>
      <w:r w:rsidRPr="003A0C5C">
        <w:t>Discussion</w:t>
      </w:r>
    </w:p>
    <w:p w14:paraId="303AEAFE" w14:textId="70880781" w:rsidR="004F426E" w:rsidRPr="003A0C5C" w:rsidRDefault="004F426E" w:rsidP="00A42807">
      <w:pPr>
        <w:pStyle w:val="12spaceindent"/>
      </w:pPr>
      <w:r w:rsidRPr="003A0C5C">
        <w:t>a)</w:t>
      </w:r>
      <w:r w:rsidRPr="003A0C5C">
        <w:tab/>
      </w:r>
      <w:r w:rsidR="00FE4030" w:rsidRPr="003A0C5C">
        <w:t xml:space="preserve">As noted previously, the project site is not within a Very High Fire Hazard Severity Zone. As analyzed </w:t>
      </w:r>
      <w:r w:rsidR="00FE4030" w:rsidRPr="003A0C5C">
        <w:rPr>
          <w:lang w:eastAsia="ko-KR"/>
        </w:rPr>
        <w:t>in Section </w:t>
      </w:r>
      <w:r w:rsidR="00FE4030" w:rsidRPr="003A0C5C">
        <w:t xml:space="preserve">IX, </w:t>
      </w:r>
      <w:r w:rsidR="00FE4030" w:rsidRPr="003A0C5C">
        <w:rPr>
          <w:i/>
        </w:rPr>
        <w:t>Hazards and Hazardous Materials</w:t>
      </w:r>
      <w:r w:rsidR="00FE4030" w:rsidRPr="003A0C5C">
        <w:t xml:space="preserve">, above, while primary access to the project site would be provided from </w:t>
      </w:r>
      <w:r w:rsidR="0030445A" w:rsidRPr="003A0C5C">
        <w:t xml:space="preserve">South </w:t>
      </w:r>
      <w:r w:rsidR="00FE4030" w:rsidRPr="003A0C5C">
        <w:t xml:space="preserve">Perry Street, vehicles travelling to the project site during construction or operation would do so via </w:t>
      </w:r>
      <w:r w:rsidR="005F23E3" w:rsidRPr="003A0C5C">
        <w:t xml:space="preserve">East </w:t>
      </w:r>
      <w:r w:rsidR="00FE4030" w:rsidRPr="003A0C5C">
        <w:t xml:space="preserve">Carson Street, a City designated evacuation route as identified in the Multi-Hazard Functional Plan for emergency response within the </w:t>
      </w:r>
      <w:proofErr w:type="gramStart"/>
      <w:r w:rsidR="0014755C" w:rsidRPr="003A0C5C">
        <w:t>C</w:t>
      </w:r>
      <w:r w:rsidR="00FE4030" w:rsidRPr="003A0C5C">
        <w:t>ity</w:t>
      </w:r>
      <w:proofErr w:type="gramEnd"/>
      <w:r w:rsidR="00FE4030" w:rsidRPr="003A0C5C">
        <w:t xml:space="preserve"> (City of Carson 2004). During construction, </w:t>
      </w:r>
      <w:r w:rsidR="005F23E3" w:rsidRPr="003A0C5C">
        <w:t xml:space="preserve">East </w:t>
      </w:r>
      <w:r w:rsidR="00FE4030" w:rsidRPr="003A0C5C">
        <w:t>Carson Street may require temporary partial lane closures. The Applicant would be required to implement a traffic management plan</w:t>
      </w:r>
      <w:r w:rsidR="007C574C" w:rsidRPr="003A0C5C">
        <w:t>,</w:t>
      </w:r>
      <w:r w:rsidR="00FE4030" w:rsidRPr="003A0C5C">
        <w:t xml:space="preserve"> which would ensure that at least one lane remains open and emergency access is maintained during construction. In addition, the vehicle trips generated </w:t>
      </w:r>
      <w:r w:rsidR="001338DB" w:rsidRPr="003A0C5C">
        <w:t xml:space="preserve">are </w:t>
      </w:r>
      <w:r w:rsidR="00FE4030" w:rsidRPr="003A0C5C">
        <w:t xml:space="preserve">not anticipated to impact emergency access provided from </w:t>
      </w:r>
      <w:r w:rsidR="005F23E3" w:rsidRPr="003A0C5C">
        <w:t xml:space="preserve">East </w:t>
      </w:r>
      <w:r w:rsidR="00FE4030" w:rsidRPr="003A0C5C">
        <w:t xml:space="preserve">Carson Street, and operations are not likely to interfere with an adopted emergency response plan or emergency evacuation plan. Therefore, impacts related to </w:t>
      </w:r>
      <w:r w:rsidRPr="003A0C5C">
        <w:t>impairing an emergency response or evacuation plan</w:t>
      </w:r>
      <w:r w:rsidR="00C9276B" w:rsidRPr="003A0C5C">
        <w:t xml:space="preserve"> would be less than significant</w:t>
      </w:r>
      <w:r w:rsidRPr="003A0C5C">
        <w:t>.</w:t>
      </w:r>
    </w:p>
    <w:p w14:paraId="5F55EFDB" w14:textId="3F656BF7" w:rsidR="004F426E" w:rsidRPr="003A0C5C" w:rsidRDefault="004F426E" w:rsidP="00A42807">
      <w:pPr>
        <w:pStyle w:val="12spaceindent"/>
      </w:pPr>
      <w:r w:rsidRPr="003A0C5C">
        <w:t>b)</w:t>
      </w:r>
      <w:r w:rsidRPr="003A0C5C">
        <w:tab/>
        <w:t>The project site is located in a</w:t>
      </w:r>
      <w:r w:rsidR="00CD3F27" w:rsidRPr="003A0C5C">
        <w:t>n</w:t>
      </w:r>
      <w:r w:rsidRPr="003A0C5C">
        <w:t xml:space="preserve"> urbanized area and would continue to be served by the LACFD. According to CAL FIRE, the proposed project is not located within a Very High Fire Hazard Severity Zone (CAL FIRE </w:t>
      </w:r>
      <w:r w:rsidR="002D78A5" w:rsidRPr="003A0C5C">
        <w:t>2022</w:t>
      </w:r>
      <w:r w:rsidRPr="003A0C5C">
        <w:t>). Therefore, the proposed project would not expose people to significant pollutant concentrations resulting from wildland fires, or the uncontrolled spread of a wildfire. Therefore, no impact</w:t>
      </w:r>
      <w:r w:rsidR="00A42807" w:rsidRPr="003A0C5C">
        <w:t>s</w:t>
      </w:r>
      <w:r w:rsidRPr="003A0C5C">
        <w:t xml:space="preserve"> </w:t>
      </w:r>
      <w:r w:rsidR="00A42807" w:rsidRPr="003A0C5C">
        <w:t xml:space="preserve">related to exacerbating wildfire risks due to slope, prevailing winds, and other factors </w:t>
      </w:r>
      <w:r w:rsidRPr="003A0C5C">
        <w:t>would occur.</w:t>
      </w:r>
    </w:p>
    <w:p w14:paraId="7EDF9FBD" w14:textId="5B4CC5A3" w:rsidR="004F426E" w:rsidRPr="003A0C5C" w:rsidRDefault="004F426E" w:rsidP="00A42807">
      <w:pPr>
        <w:pStyle w:val="12spaceindent"/>
      </w:pPr>
      <w:r w:rsidRPr="003A0C5C">
        <w:t>c)</w:t>
      </w:r>
      <w:r w:rsidRPr="003A0C5C">
        <w:tab/>
        <w:t>As described above, the proposed project would not require the installation or maintenance of associated infrastructure</w:t>
      </w:r>
      <w:r w:rsidR="00082A2F" w:rsidRPr="003A0C5C">
        <w:t xml:space="preserve"> that may exacerbate fire risk</w:t>
      </w:r>
      <w:r w:rsidRPr="003A0C5C">
        <w:t xml:space="preserve">. </w:t>
      </w:r>
      <w:r w:rsidR="00A42807" w:rsidRPr="003A0C5C">
        <w:t>While the</w:t>
      </w:r>
      <w:r w:rsidRPr="003A0C5C">
        <w:t xml:space="preserve"> project si</w:t>
      </w:r>
      <w:r w:rsidR="00A75349" w:rsidRPr="003A0C5C">
        <w:t xml:space="preserve">te is currently </w:t>
      </w:r>
      <w:r w:rsidR="00A42807" w:rsidRPr="003A0C5C">
        <w:t>vacant and undeveloped, the project site would connect to existing power lines and utilities already in the vicinity of the project site</w:t>
      </w:r>
      <w:r w:rsidRPr="003A0C5C">
        <w:t>.</w:t>
      </w:r>
      <w:r w:rsidR="00A75349" w:rsidRPr="003A0C5C">
        <w:t xml:space="preserve"> As the </w:t>
      </w:r>
      <w:r w:rsidR="005F23E3" w:rsidRPr="003A0C5C">
        <w:t xml:space="preserve">proposed </w:t>
      </w:r>
      <w:r w:rsidR="00A75349" w:rsidRPr="003A0C5C">
        <w:t>project would be constructed in compliance with the CBC and CFC</w:t>
      </w:r>
      <w:r w:rsidRPr="003A0C5C">
        <w:t xml:space="preserve">, and given that the project site is not located in a Very High Fire Hazard Severity Zone (CAL FIRE </w:t>
      </w:r>
      <w:r w:rsidR="002D78A5" w:rsidRPr="003A0C5C">
        <w:t>2022</w:t>
      </w:r>
      <w:r w:rsidRPr="003A0C5C">
        <w:t xml:space="preserve">), project implementation would not exacerbate fire risks or result in ongoing environmental impacts. </w:t>
      </w:r>
      <w:r w:rsidR="00A42807" w:rsidRPr="003A0C5C">
        <w:t>Therefore, no impacts related to exacerbating wildfire risks as a result of installation or maintenance of associated infrastructure would occur.</w:t>
      </w:r>
    </w:p>
    <w:p w14:paraId="4B736196" w14:textId="59B5AD6B" w:rsidR="00F92AE1" w:rsidRPr="003A0C5C" w:rsidRDefault="004F426E" w:rsidP="00A42807">
      <w:pPr>
        <w:pStyle w:val="12spaceindent"/>
      </w:pPr>
      <w:r w:rsidRPr="003A0C5C">
        <w:t>d)</w:t>
      </w:r>
      <w:r w:rsidRPr="003A0C5C">
        <w:tab/>
        <w:t>As described above, the project site is located in a</w:t>
      </w:r>
      <w:r w:rsidR="00CD3F27" w:rsidRPr="003A0C5C">
        <w:t>n</w:t>
      </w:r>
      <w:r w:rsidRPr="003A0C5C">
        <w:t xml:space="preserve"> urbanized area, and would </w:t>
      </w:r>
      <w:r w:rsidR="00A75349" w:rsidRPr="003A0C5C">
        <w:t>continue to be served by the LAC</w:t>
      </w:r>
      <w:r w:rsidRPr="003A0C5C">
        <w:t xml:space="preserve">FD. Additionally, according to CAL FIRE, the </w:t>
      </w:r>
      <w:r w:rsidR="00FE4030" w:rsidRPr="003A0C5C">
        <w:t>project site</w:t>
      </w:r>
      <w:r w:rsidRPr="003A0C5C">
        <w:t xml:space="preserve"> is not located within a Very High Fire</w:t>
      </w:r>
      <w:r w:rsidR="00A42807" w:rsidRPr="003A0C5C">
        <w:t xml:space="preserve"> Hazard Severity Zone (CAL FIRE </w:t>
      </w:r>
      <w:r w:rsidR="002D78A5" w:rsidRPr="003A0C5C">
        <w:t>2022</w:t>
      </w:r>
      <w:r w:rsidRPr="003A0C5C">
        <w:t>). Given the local topographic and environmental characteristics of the project site, the proposed project would not increase the possibility of wildland fire in the project vicinity.</w:t>
      </w:r>
    </w:p>
    <w:p w14:paraId="2139598E" w14:textId="030B992D" w:rsidR="00C337B4" w:rsidRPr="003A0C5C" w:rsidRDefault="006F57E3" w:rsidP="00C337B4">
      <w:pPr>
        <w:pStyle w:val="12spaceindent"/>
      </w:pPr>
      <w:r w:rsidRPr="003A0C5C">
        <w:tab/>
      </w:r>
      <w:r w:rsidR="004F426E" w:rsidRPr="003A0C5C">
        <w:t xml:space="preserve">Additionally, </w:t>
      </w:r>
      <w:r w:rsidR="00A42807" w:rsidRPr="003A0C5C">
        <w:t>n</w:t>
      </w:r>
      <w:r w:rsidR="004F426E" w:rsidRPr="003A0C5C">
        <w:t xml:space="preserve">o streams, rivers or natural drainages occur on the project site. </w:t>
      </w:r>
      <w:r w:rsidR="004154DB" w:rsidRPr="003A0C5C">
        <w:t>Due</w:t>
      </w:r>
      <w:r w:rsidR="004F426E" w:rsidRPr="003A0C5C">
        <w:t xml:space="preserve"> to the relatively flat topography of the project site and surrounding area, the project site would not expose people or structures to </w:t>
      </w:r>
      <w:r w:rsidR="00A42807" w:rsidRPr="003A0C5C">
        <w:t xml:space="preserve">flooding or </w:t>
      </w:r>
      <w:r w:rsidR="004F426E" w:rsidRPr="003A0C5C">
        <w:t xml:space="preserve">potential landslides. Therefore, </w:t>
      </w:r>
      <w:r w:rsidR="004154DB" w:rsidRPr="003A0C5C">
        <w:t>no impact</w:t>
      </w:r>
      <w:r w:rsidR="00A42807" w:rsidRPr="003A0C5C">
        <w:t>s would occur relate</w:t>
      </w:r>
      <w:r w:rsidR="009D3A62" w:rsidRPr="003A0C5C">
        <w:t>d</w:t>
      </w:r>
      <w:r w:rsidR="00A42807" w:rsidRPr="003A0C5C">
        <w:t xml:space="preserve"> to e</w:t>
      </w:r>
      <w:r w:rsidR="00A42807" w:rsidRPr="003A0C5C">
        <w:rPr>
          <w:rFonts w:cs="Arial"/>
          <w:szCs w:val="16"/>
        </w:rPr>
        <w:t>xposing people or structures to significant risk.</w:t>
      </w:r>
    </w:p>
    <w:p w14:paraId="302D51C9" w14:textId="77777777" w:rsidR="00C337B4" w:rsidRPr="003A0C5C" w:rsidRDefault="00C337B4" w:rsidP="00C337B4">
      <w:pPr>
        <w:pStyle w:val="12spaceindent"/>
        <w:keepNext/>
        <w:spacing w:after="120"/>
        <w:ind w:left="0" w:firstLine="0"/>
        <w:rPr>
          <w:highlight w:val="yellow"/>
        </w:rPr>
      </w:pPr>
    </w:p>
    <w:p w14:paraId="32908838" w14:textId="77777777" w:rsidR="002B6967" w:rsidRPr="003A0C5C" w:rsidRDefault="002B6967" w:rsidP="002B6967">
      <w:pPr>
        <w:pStyle w:val="ImpactSectionEnd"/>
        <w:rPr>
          <w:highlight w:val="yellow"/>
        </w:rPr>
      </w:pPr>
    </w:p>
    <w:p w14:paraId="6DC69FD0" w14:textId="77777777" w:rsidR="002B6967" w:rsidRPr="003A0C5C" w:rsidRDefault="002B6967" w:rsidP="002B6967">
      <w:pPr>
        <w:rPr>
          <w:highlight w:val="yellow"/>
        </w:rPr>
      </w:pPr>
      <w:r w:rsidRPr="003A0C5C">
        <w:rPr>
          <w:highlight w:val="yellow"/>
        </w:rPr>
        <w:br w:type="page"/>
      </w:r>
    </w:p>
    <w:p w14:paraId="6F96F016" w14:textId="58C7BB55" w:rsidR="004F426E" w:rsidRPr="003A0C5C" w:rsidRDefault="008B0DDC" w:rsidP="008B0DDC">
      <w:pPr>
        <w:pStyle w:val="Heading4"/>
      </w:pPr>
      <w:bookmarkStart w:id="119" w:name="_Toc101792000"/>
      <w:r w:rsidRPr="003A0C5C">
        <w:t>XXI.</w:t>
      </w:r>
      <w:r w:rsidRPr="003A0C5C">
        <w:tab/>
      </w:r>
      <w:r w:rsidR="004F426E" w:rsidRPr="003A0C5C">
        <w:t>Mandatory Findings of Significance</w:t>
      </w:r>
      <w:bookmarkEnd w:id="119"/>
    </w:p>
    <w:tbl>
      <w:tblPr>
        <w:tblW w:w="0" w:type="auto"/>
        <w:tblCellMar>
          <w:left w:w="86" w:type="dxa"/>
          <w:right w:w="86" w:type="dxa"/>
        </w:tblCellMar>
        <w:tblLook w:val="0000" w:firstRow="0" w:lastRow="0" w:firstColumn="0" w:lastColumn="0" w:noHBand="0" w:noVBand="0"/>
      </w:tblPr>
      <w:tblGrid>
        <w:gridCol w:w="5088"/>
        <w:gridCol w:w="888"/>
        <w:gridCol w:w="1152"/>
        <w:gridCol w:w="888"/>
        <w:gridCol w:w="624"/>
      </w:tblGrid>
      <w:tr w:rsidR="003A0C5C" w:rsidRPr="003A0C5C" w14:paraId="111E9082" w14:textId="77777777" w:rsidTr="00F07065">
        <w:trPr>
          <w:cantSplit/>
          <w:tblHeader/>
        </w:trPr>
        <w:tc>
          <w:tcPr>
            <w:tcW w:w="0" w:type="auto"/>
            <w:vAlign w:val="bottom"/>
          </w:tcPr>
          <w:p w14:paraId="5792C76A" w14:textId="77777777" w:rsidR="00DA7FB4" w:rsidRPr="003A0C5C" w:rsidRDefault="00DA7FB4" w:rsidP="00F07065">
            <w:pPr>
              <w:keepNext/>
              <w:pBdr>
                <w:bottom w:val="single" w:sz="4" w:space="1" w:color="auto"/>
              </w:pBdr>
              <w:spacing w:before="60" w:after="60"/>
              <w:ind w:left="540" w:hanging="540"/>
              <w:rPr>
                <w:rFonts w:ascii="Arial" w:hAnsi="Arial" w:cs="Arial"/>
                <w:b/>
                <w:i/>
                <w:sz w:val="14"/>
                <w:szCs w:val="16"/>
              </w:rPr>
            </w:pPr>
            <w:r w:rsidRPr="003A0C5C">
              <w:rPr>
                <w:rFonts w:ascii="Arial" w:hAnsi="Arial" w:cs="Arial"/>
                <w:b/>
                <w:i/>
                <w:sz w:val="14"/>
                <w:szCs w:val="16"/>
              </w:rPr>
              <w:t>Issues (and Supporting Information Sources)</w:t>
            </w:r>
          </w:p>
        </w:tc>
        <w:tc>
          <w:tcPr>
            <w:tcW w:w="0" w:type="auto"/>
            <w:vAlign w:val="bottom"/>
          </w:tcPr>
          <w:p w14:paraId="34F92193" w14:textId="77777777" w:rsidR="00DA7FB4" w:rsidRPr="003A0C5C" w:rsidRDefault="00DA7FB4" w:rsidP="00F07065">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Potentially</w:t>
            </w:r>
            <w:r w:rsidRPr="003A0C5C">
              <w:rPr>
                <w:rFonts w:ascii="Arial" w:hAnsi="Arial" w:cs="Arial"/>
                <w:b/>
                <w:i/>
                <w:sz w:val="14"/>
                <w:szCs w:val="16"/>
              </w:rPr>
              <w:br/>
              <w:t>Significant</w:t>
            </w:r>
            <w:r w:rsidRPr="003A0C5C">
              <w:rPr>
                <w:rFonts w:ascii="Arial" w:hAnsi="Arial" w:cs="Arial"/>
                <w:b/>
                <w:i/>
                <w:sz w:val="14"/>
                <w:szCs w:val="16"/>
              </w:rPr>
              <w:br/>
              <w:t>Impact</w:t>
            </w:r>
          </w:p>
        </w:tc>
        <w:tc>
          <w:tcPr>
            <w:tcW w:w="0" w:type="auto"/>
            <w:vAlign w:val="bottom"/>
          </w:tcPr>
          <w:p w14:paraId="5489C5BD" w14:textId="77777777" w:rsidR="00DA7FB4" w:rsidRPr="003A0C5C" w:rsidRDefault="00DA7FB4" w:rsidP="00F07065">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Less than</w:t>
            </w:r>
            <w:r w:rsidRPr="003A0C5C">
              <w:rPr>
                <w:rFonts w:ascii="Arial" w:hAnsi="Arial" w:cs="Arial"/>
                <w:b/>
                <w:i/>
                <w:sz w:val="14"/>
                <w:szCs w:val="16"/>
              </w:rPr>
              <w:br/>
              <w:t>Significant</w:t>
            </w:r>
            <w:r w:rsidRPr="003A0C5C">
              <w:rPr>
                <w:rFonts w:ascii="Arial" w:hAnsi="Arial" w:cs="Arial"/>
                <w:b/>
                <w:i/>
                <w:sz w:val="14"/>
                <w:szCs w:val="16"/>
              </w:rPr>
              <w:br/>
              <w:t>with Mitigation</w:t>
            </w:r>
            <w:r w:rsidRPr="003A0C5C">
              <w:rPr>
                <w:rFonts w:ascii="Arial" w:hAnsi="Arial" w:cs="Arial"/>
                <w:b/>
                <w:i/>
                <w:sz w:val="14"/>
                <w:szCs w:val="16"/>
              </w:rPr>
              <w:br/>
              <w:t>Incorporated</w:t>
            </w:r>
          </w:p>
        </w:tc>
        <w:tc>
          <w:tcPr>
            <w:tcW w:w="0" w:type="auto"/>
            <w:vAlign w:val="bottom"/>
          </w:tcPr>
          <w:p w14:paraId="4473CC7C" w14:textId="77777777" w:rsidR="00DA7FB4" w:rsidRPr="003A0C5C" w:rsidRDefault="00DA7FB4" w:rsidP="00F07065">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Less-than-</w:t>
            </w:r>
            <w:r w:rsidRPr="003A0C5C">
              <w:rPr>
                <w:rFonts w:ascii="Arial" w:hAnsi="Arial" w:cs="Arial"/>
                <w:b/>
                <w:i/>
                <w:sz w:val="14"/>
                <w:szCs w:val="16"/>
              </w:rPr>
              <w:br/>
              <w:t>Significant</w:t>
            </w:r>
            <w:r w:rsidRPr="003A0C5C">
              <w:rPr>
                <w:rFonts w:ascii="Arial" w:hAnsi="Arial" w:cs="Arial"/>
                <w:b/>
                <w:i/>
                <w:sz w:val="14"/>
                <w:szCs w:val="16"/>
              </w:rPr>
              <w:br/>
              <w:t>Impact</w:t>
            </w:r>
          </w:p>
        </w:tc>
        <w:tc>
          <w:tcPr>
            <w:tcW w:w="0" w:type="auto"/>
            <w:vAlign w:val="bottom"/>
          </w:tcPr>
          <w:p w14:paraId="29788F4F" w14:textId="77777777" w:rsidR="00DA7FB4" w:rsidRPr="003A0C5C" w:rsidRDefault="00DA7FB4" w:rsidP="00F07065">
            <w:pPr>
              <w:keepNext/>
              <w:pBdr>
                <w:bottom w:val="single" w:sz="4" w:space="1" w:color="auto"/>
              </w:pBdr>
              <w:spacing w:before="60" w:after="60"/>
              <w:jc w:val="center"/>
              <w:rPr>
                <w:rFonts w:ascii="Arial" w:hAnsi="Arial" w:cs="Arial"/>
                <w:b/>
                <w:i/>
                <w:sz w:val="14"/>
                <w:szCs w:val="16"/>
              </w:rPr>
            </w:pPr>
            <w:r w:rsidRPr="003A0C5C">
              <w:rPr>
                <w:rFonts w:ascii="Arial" w:hAnsi="Arial" w:cs="Arial"/>
                <w:b/>
                <w:i/>
                <w:sz w:val="14"/>
                <w:szCs w:val="16"/>
              </w:rPr>
              <w:t>No</w:t>
            </w:r>
            <w:r w:rsidRPr="003A0C5C">
              <w:rPr>
                <w:rFonts w:ascii="Arial" w:hAnsi="Arial" w:cs="Arial"/>
                <w:b/>
                <w:i/>
                <w:sz w:val="14"/>
                <w:szCs w:val="16"/>
              </w:rPr>
              <w:br/>
              <w:t>Impact</w:t>
            </w:r>
          </w:p>
        </w:tc>
      </w:tr>
      <w:tr w:rsidR="003A0C5C" w:rsidRPr="003A0C5C" w14:paraId="0CCC797F" w14:textId="77777777" w:rsidTr="00F07065">
        <w:trPr>
          <w:cantSplit/>
        </w:trPr>
        <w:tc>
          <w:tcPr>
            <w:tcW w:w="0" w:type="auto"/>
          </w:tcPr>
          <w:p w14:paraId="5C9A97A7" w14:textId="596EECEE" w:rsidR="00DA7FB4" w:rsidRPr="003A0C5C" w:rsidRDefault="00DA7FB4" w:rsidP="00F07065">
            <w:pPr>
              <w:pStyle w:val="Tabletextnumber"/>
              <w:keepNext/>
              <w:ind w:left="504" w:hanging="504"/>
              <w:rPr>
                <w:rStyle w:val="Bold"/>
              </w:rPr>
            </w:pPr>
            <w:r w:rsidRPr="003A0C5C">
              <w:rPr>
                <w:rStyle w:val="Bold"/>
              </w:rPr>
              <w:t>XXI.</w:t>
            </w:r>
            <w:r w:rsidRPr="003A0C5C">
              <w:rPr>
                <w:rStyle w:val="Bold"/>
              </w:rPr>
              <w:tab/>
              <w:t>MANDATORY FINDINGS OF SIGNIFICANCE</w:t>
            </w:r>
          </w:p>
        </w:tc>
        <w:tc>
          <w:tcPr>
            <w:tcW w:w="0" w:type="auto"/>
          </w:tcPr>
          <w:p w14:paraId="31B8C600" w14:textId="77777777" w:rsidR="00DA7FB4" w:rsidRPr="003A0C5C" w:rsidRDefault="00DA7FB4" w:rsidP="00F07065">
            <w:pPr>
              <w:pStyle w:val="Checklist"/>
              <w:rPr>
                <w:highlight w:val="yellow"/>
              </w:rPr>
            </w:pPr>
          </w:p>
        </w:tc>
        <w:tc>
          <w:tcPr>
            <w:tcW w:w="0" w:type="auto"/>
          </w:tcPr>
          <w:p w14:paraId="1890A9CC" w14:textId="77777777" w:rsidR="00DA7FB4" w:rsidRPr="003A0C5C" w:rsidRDefault="00DA7FB4" w:rsidP="00F07065">
            <w:pPr>
              <w:pStyle w:val="Checklist"/>
              <w:rPr>
                <w:highlight w:val="yellow"/>
              </w:rPr>
            </w:pPr>
          </w:p>
        </w:tc>
        <w:tc>
          <w:tcPr>
            <w:tcW w:w="0" w:type="auto"/>
          </w:tcPr>
          <w:p w14:paraId="00CEA8A4" w14:textId="77777777" w:rsidR="00DA7FB4" w:rsidRPr="003A0C5C" w:rsidRDefault="00DA7FB4" w:rsidP="00F07065">
            <w:pPr>
              <w:pStyle w:val="Checklist"/>
              <w:rPr>
                <w:highlight w:val="yellow"/>
              </w:rPr>
            </w:pPr>
          </w:p>
        </w:tc>
        <w:tc>
          <w:tcPr>
            <w:tcW w:w="0" w:type="auto"/>
          </w:tcPr>
          <w:p w14:paraId="13285188" w14:textId="77777777" w:rsidR="00DA7FB4" w:rsidRPr="003A0C5C" w:rsidRDefault="00DA7FB4" w:rsidP="00F07065">
            <w:pPr>
              <w:pStyle w:val="Checklist"/>
              <w:rPr>
                <w:highlight w:val="yellow"/>
              </w:rPr>
            </w:pPr>
          </w:p>
        </w:tc>
      </w:tr>
      <w:tr w:rsidR="003A0C5C" w:rsidRPr="003A0C5C" w14:paraId="6F1D9919" w14:textId="77777777" w:rsidTr="00F07065">
        <w:trPr>
          <w:cantSplit/>
        </w:trPr>
        <w:tc>
          <w:tcPr>
            <w:tcW w:w="0" w:type="auto"/>
          </w:tcPr>
          <w:p w14:paraId="1B5DA6C3" w14:textId="24D1F842" w:rsidR="00DA7FB4" w:rsidRPr="003A0C5C" w:rsidRDefault="00DA7FB4" w:rsidP="00DA7FB4">
            <w:pPr>
              <w:pStyle w:val="Tabletextnumber"/>
            </w:pPr>
            <w:r w:rsidRPr="003A0C5C">
              <w:rPr>
                <w:rFonts w:cs="Arial"/>
                <w:szCs w:val="16"/>
              </w:rPr>
              <w:t>a)</w:t>
            </w:r>
            <w:r w:rsidRPr="003A0C5C">
              <w:rPr>
                <w:rFonts w:cs="Arial"/>
                <w:szCs w:val="16"/>
              </w:rPr>
              <w:tab/>
              <w:t>Does the project have the potential to substantially degrade the quality of the environment, substantially reduce the habitat of a fish or wildlife species, cause a fish or wildlife population to drop below self-sustaining levels, threaten to eliminate a plant or animal community, substantially reduce the number or restrict the range of a rare or endangered plant or animal or eliminate important examples of the major periods of California history or prehistory?</w:t>
            </w:r>
          </w:p>
        </w:tc>
        <w:tc>
          <w:tcPr>
            <w:tcW w:w="0" w:type="auto"/>
          </w:tcPr>
          <w:p w14:paraId="72D349B6" w14:textId="27623B1C" w:rsidR="00DA7FB4" w:rsidRPr="003A0C5C" w:rsidRDefault="002348BC" w:rsidP="00DA7FB4">
            <w:pPr>
              <w:pStyle w:val="Checklist"/>
            </w:pPr>
            <w:sdt>
              <w:sdtPr>
                <w:id w:val="773977538"/>
                <w14:checkbox>
                  <w14:checked w14:val="0"/>
                  <w14:checkedState w14:val="2612" w14:font="MS Gothic"/>
                  <w14:uncheckedState w14:val="2610" w14:font="MS Gothic"/>
                </w14:checkbox>
              </w:sdtPr>
              <w:sdtEndPr/>
              <w:sdtContent>
                <w:r w:rsidR="007A0761" w:rsidRPr="003A0C5C">
                  <w:t>☐</w:t>
                </w:r>
              </w:sdtContent>
            </w:sdt>
          </w:p>
        </w:tc>
        <w:tc>
          <w:tcPr>
            <w:tcW w:w="0" w:type="auto"/>
          </w:tcPr>
          <w:p w14:paraId="2EBFBC86" w14:textId="1670E418" w:rsidR="00DA7FB4" w:rsidRPr="003A0C5C" w:rsidRDefault="002348BC" w:rsidP="00DA7FB4">
            <w:pPr>
              <w:pStyle w:val="Checklist"/>
              <w:rPr>
                <w:sz w:val="20"/>
              </w:rPr>
            </w:pPr>
            <w:sdt>
              <w:sdtPr>
                <w:id w:val="-2039191050"/>
                <w14:checkbox>
                  <w14:checked w14:val="1"/>
                  <w14:checkedState w14:val="2612" w14:font="MS Gothic"/>
                  <w14:uncheckedState w14:val="2610" w14:font="MS Gothic"/>
                </w14:checkbox>
              </w:sdtPr>
              <w:sdtEndPr/>
              <w:sdtContent>
                <w:r w:rsidR="00712E67" w:rsidRPr="003A0C5C">
                  <w:t>☒</w:t>
                </w:r>
              </w:sdtContent>
            </w:sdt>
          </w:p>
        </w:tc>
        <w:tc>
          <w:tcPr>
            <w:tcW w:w="0" w:type="auto"/>
          </w:tcPr>
          <w:p w14:paraId="0CB0240B" w14:textId="77777777" w:rsidR="00DA7FB4" w:rsidRPr="003A0C5C" w:rsidRDefault="002348BC" w:rsidP="00DA7FB4">
            <w:pPr>
              <w:pStyle w:val="Checklist"/>
              <w:rPr>
                <w:sz w:val="20"/>
              </w:rPr>
            </w:pPr>
            <w:sdt>
              <w:sdtPr>
                <w:id w:val="1724947295"/>
                <w14:checkbox>
                  <w14:checked w14:val="0"/>
                  <w14:checkedState w14:val="2612" w14:font="MS Gothic"/>
                  <w14:uncheckedState w14:val="2610" w14:font="MS Gothic"/>
                </w14:checkbox>
              </w:sdtPr>
              <w:sdtEndPr/>
              <w:sdtContent>
                <w:r w:rsidR="00DA7FB4" w:rsidRPr="003A0C5C">
                  <w:t>☐</w:t>
                </w:r>
              </w:sdtContent>
            </w:sdt>
          </w:p>
        </w:tc>
        <w:tc>
          <w:tcPr>
            <w:tcW w:w="0" w:type="auto"/>
          </w:tcPr>
          <w:p w14:paraId="5C6378C9" w14:textId="4C8F74B6" w:rsidR="00DA7FB4" w:rsidRPr="003A0C5C" w:rsidRDefault="002348BC" w:rsidP="00DA7FB4">
            <w:pPr>
              <w:pStyle w:val="Checklist"/>
              <w:rPr>
                <w:sz w:val="20"/>
              </w:rPr>
            </w:pPr>
            <w:sdt>
              <w:sdtPr>
                <w:id w:val="-531337948"/>
                <w14:checkbox>
                  <w14:checked w14:val="0"/>
                  <w14:checkedState w14:val="2612" w14:font="MS Gothic"/>
                  <w14:uncheckedState w14:val="2610" w14:font="MS Gothic"/>
                </w14:checkbox>
              </w:sdtPr>
              <w:sdtEndPr/>
              <w:sdtContent>
                <w:r w:rsidR="00DA7FB4" w:rsidRPr="003A0C5C">
                  <w:t>☐</w:t>
                </w:r>
              </w:sdtContent>
            </w:sdt>
          </w:p>
        </w:tc>
      </w:tr>
      <w:tr w:rsidR="003A0C5C" w:rsidRPr="003A0C5C" w14:paraId="009F7EB9" w14:textId="77777777" w:rsidTr="00F07065">
        <w:trPr>
          <w:cantSplit/>
        </w:trPr>
        <w:tc>
          <w:tcPr>
            <w:tcW w:w="0" w:type="auto"/>
          </w:tcPr>
          <w:p w14:paraId="5D874B5E" w14:textId="7E0085A2" w:rsidR="00DA7FB4" w:rsidRPr="003A0C5C" w:rsidRDefault="00DA7FB4" w:rsidP="00DA7FB4">
            <w:pPr>
              <w:pStyle w:val="Tabletextnumber"/>
            </w:pPr>
            <w:r w:rsidRPr="003A0C5C">
              <w:rPr>
                <w:rFonts w:cs="Arial"/>
                <w:szCs w:val="16"/>
              </w:rPr>
              <w:t>b)</w:t>
            </w:r>
            <w:r w:rsidRPr="003A0C5C">
              <w:rPr>
                <w:rFonts w:cs="Arial"/>
                <w:szCs w:val="16"/>
              </w:rPr>
              <w:tab/>
              <w:t>Does the project have impacts that are individually limited but cumulatively considerable? (</w:t>
            </w:r>
            <w:r w:rsidR="00D678AB" w:rsidRPr="003A0C5C">
              <w:rPr>
                <w:rFonts w:cs="Arial"/>
                <w:szCs w:val="16"/>
              </w:rPr>
              <w:t>“</w:t>
            </w:r>
            <w:r w:rsidRPr="003A0C5C">
              <w:rPr>
                <w:rFonts w:cs="Arial"/>
                <w:szCs w:val="16"/>
              </w:rPr>
              <w:t>Cumulatively considerable</w:t>
            </w:r>
            <w:r w:rsidR="00D678AB" w:rsidRPr="003A0C5C">
              <w:rPr>
                <w:rFonts w:cs="Arial"/>
                <w:szCs w:val="16"/>
              </w:rPr>
              <w:t>”</w:t>
            </w:r>
            <w:r w:rsidRPr="003A0C5C">
              <w:rPr>
                <w:rFonts w:cs="Arial"/>
                <w:szCs w:val="16"/>
              </w:rPr>
              <w:t xml:space="preserve"> means that the incremental effects of a project are considerable when viewed in connection with the effects of past projects, the effects of other current projects, and the effects of probable future projects)?</w:t>
            </w:r>
          </w:p>
        </w:tc>
        <w:tc>
          <w:tcPr>
            <w:tcW w:w="0" w:type="auto"/>
          </w:tcPr>
          <w:p w14:paraId="2A633595" w14:textId="77777777" w:rsidR="00DA7FB4" w:rsidRPr="003A0C5C" w:rsidRDefault="002348BC" w:rsidP="00DA7FB4">
            <w:pPr>
              <w:pStyle w:val="Checklist"/>
              <w:rPr>
                <w:sz w:val="20"/>
              </w:rPr>
            </w:pPr>
            <w:sdt>
              <w:sdtPr>
                <w:id w:val="1565059906"/>
                <w14:checkbox>
                  <w14:checked w14:val="0"/>
                  <w14:checkedState w14:val="2612" w14:font="MS Gothic"/>
                  <w14:uncheckedState w14:val="2610" w14:font="MS Gothic"/>
                </w14:checkbox>
              </w:sdtPr>
              <w:sdtEndPr/>
              <w:sdtContent>
                <w:r w:rsidR="00DA7FB4" w:rsidRPr="003A0C5C">
                  <w:t>☐</w:t>
                </w:r>
              </w:sdtContent>
            </w:sdt>
          </w:p>
        </w:tc>
        <w:tc>
          <w:tcPr>
            <w:tcW w:w="0" w:type="auto"/>
          </w:tcPr>
          <w:p w14:paraId="3B0B6634" w14:textId="43CEC887" w:rsidR="00DA7FB4" w:rsidRPr="003A0C5C" w:rsidRDefault="002348BC" w:rsidP="00DA7FB4">
            <w:pPr>
              <w:pStyle w:val="Checklist"/>
              <w:rPr>
                <w:sz w:val="20"/>
              </w:rPr>
            </w:pPr>
            <w:sdt>
              <w:sdtPr>
                <w:id w:val="-1444155930"/>
                <w14:checkbox>
                  <w14:checked w14:val="1"/>
                  <w14:checkedState w14:val="2612" w14:font="MS Gothic"/>
                  <w14:uncheckedState w14:val="2610" w14:font="MS Gothic"/>
                </w14:checkbox>
              </w:sdtPr>
              <w:sdtEndPr/>
              <w:sdtContent>
                <w:r w:rsidR="00DA7FB4" w:rsidRPr="003A0C5C">
                  <w:rPr>
                    <w:rFonts w:hint="eastAsia"/>
                  </w:rPr>
                  <w:t>☒</w:t>
                </w:r>
              </w:sdtContent>
            </w:sdt>
          </w:p>
        </w:tc>
        <w:tc>
          <w:tcPr>
            <w:tcW w:w="0" w:type="auto"/>
          </w:tcPr>
          <w:p w14:paraId="3F5CA0E6" w14:textId="77777777" w:rsidR="00DA7FB4" w:rsidRPr="003A0C5C" w:rsidRDefault="002348BC" w:rsidP="00DA7FB4">
            <w:pPr>
              <w:pStyle w:val="Checklist"/>
              <w:rPr>
                <w:sz w:val="20"/>
              </w:rPr>
            </w:pPr>
            <w:sdt>
              <w:sdtPr>
                <w:id w:val="243233324"/>
                <w14:checkbox>
                  <w14:checked w14:val="0"/>
                  <w14:checkedState w14:val="2612" w14:font="MS Gothic"/>
                  <w14:uncheckedState w14:val="2610" w14:font="MS Gothic"/>
                </w14:checkbox>
              </w:sdtPr>
              <w:sdtEndPr/>
              <w:sdtContent>
                <w:r w:rsidR="00DA7FB4" w:rsidRPr="003A0C5C">
                  <w:rPr>
                    <w:rFonts w:hint="eastAsia"/>
                  </w:rPr>
                  <w:t>☐</w:t>
                </w:r>
              </w:sdtContent>
            </w:sdt>
          </w:p>
        </w:tc>
        <w:tc>
          <w:tcPr>
            <w:tcW w:w="0" w:type="auto"/>
          </w:tcPr>
          <w:p w14:paraId="5F956062" w14:textId="34D82674" w:rsidR="00DA7FB4" w:rsidRPr="003A0C5C" w:rsidRDefault="002348BC" w:rsidP="00DA7FB4">
            <w:pPr>
              <w:pStyle w:val="Checklist"/>
              <w:rPr>
                <w:sz w:val="20"/>
              </w:rPr>
            </w:pPr>
            <w:sdt>
              <w:sdtPr>
                <w:id w:val="1809965977"/>
                <w14:checkbox>
                  <w14:checked w14:val="0"/>
                  <w14:checkedState w14:val="2612" w14:font="MS Gothic"/>
                  <w14:uncheckedState w14:val="2610" w14:font="MS Gothic"/>
                </w14:checkbox>
              </w:sdtPr>
              <w:sdtEndPr/>
              <w:sdtContent>
                <w:r w:rsidR="00DA7FB4" w:rsidRPr="003A0C5C">
                  <w:rPr>
                    <w:rFonts w:hint="eastAsia"/>
                  </w:rPr>
                  <w:t>☐</w:t>
                </w:r>
              </w:sdtContent>
            </w:sdt>
          </w:p>
        </w:tc>
      </w:tr>
      <w:tr w:rsidR="00DA7FB4" w:rsidRPr="003A0C5C" w14:paraId="52BE9FC8" w14:textId="77777777" w:rsidTr="00F07065">
        <w:trPr>
          <w:cantSplit/>
        </w:trPr>
        <w:tc>
          <w:tcPr>
            <w:tcW w:w="0" w:type="auto"/>
          </w:tcPr>
          <w:p w14:paraId="01CD4100" w14:textId="1D049C64" w:rsidR="00DA7FB4" w:rsidRPr="003A0C5C" w:rsidRDefault="00DA7FB4" w:rsidP="00DA7FB4">
            <w:pPr>
              <w:pStyle w:val="Tabletextnumber"/>
            </w:pPr>
            <w:r w:rsidRPr="003A0C5C">
              <w:rPr>
                <w:rFonts w:cs="Arial"/>
                <w:szCs w:val="16"/>
              </w:rPr>
              <w:t>c)</w:t>
            </w:r>
            <w:r w:rsidRPr="003A0C5C">
              <w:rPr>
                <w:rFonts w:cs="Arial"/>
                <w:szCs w:val="16"/>
              </w:rPr>
              <w:tab/>
              <w:t>Does the project have environmental effects which will cause substantial adverse effects on human beings, either directly or indirectly?</w:t>
            </w:r>
          </w:p>
        </w:tc>
        <w:tc>
          <w:tcPr>
            <w:tcW w:w="0" w:type="auto"/>
          </w:tcPr>
          <w:p w14:paraId="3A433C8C" w14:textId="77777777" w:rsidR="00DA7FB4" w:rsidRPr="003A0C5C" w:rsidRDefault="002348BC" w:rsidP="00DA7FB4">
            <w:pPr>
              <w:pStyle w:val="Checklist"/>
              <w:rPr>
                <w:sz w:val="20"/>
              </w:rPr>
            </w:pPr>
            <w:sdt>
              <w:sdtPr>
                <w:id w:val="-747492111"/>
                <w14:checkbox>
                  <w14:checked w14:val="0"/>
                  <w14:checkedState w14:val="2612" w14:font="MS Gothic"/>
                  <w14:uncheckedState w14:val="2610" w14:font="MS Gothic"/>
                </w14:checkbox>
              </w:sdtPr>
              <w:sdtEndPr/>
              <w:sdtContent>
                <w:r w:rsidR="00DA7FB4" w:rsidRPr="003A0C5C">
                  <w:t>☐</w:t>
                </w:r>
              </w:sdtContent>
            </w:sdt>
          </w:p>
        </w:tc>
        <w:tc>
          <w:tcPr>
            <w:tcW w:w="0" w:type="auto"/>
          </w:tcPr>
          <w:p w14:paraId="407697E4" w14:textId="38982318" w:rsidR="00DA7FB4" w:rsidRPr="003A0C5C" w:rsidRDefault="002348BC" w:rsidP="00DA7FB4">
            <w:pPr>
              <w:pStyle w:val="Checklist"/>
              <w:rPr>
                <w:sz w:val="20"/>
              </w:rPr>
            </w:pPr>
            <w:sdt>
              <w:sdtPr>
                <w:id w:val="1921440006"/>
                <w14:checkbox>
                  <w14:checked w14:val="1"/>
                  <w14:checkedState w14:val="2612" w14:font="MS Gothic"/>
                  <w14:uncheckedState w14:val="2610" w14:font="MS Gothic"/>
                </w14:checkbox>
              </w:sdtPr>
              <w:sdtEndPr/>
              <w:sdtContent>
                <w:r w:rsidR="00DA7FB4" w:rsidRPr="003A0C5C">
                  <w:rPr>
                    <w:rFonts w:hint="eastAsia"/>
                  </w:rPr>
                  <w:t>☒</w:t>
                </w:r>
              </w:sdtContent>
            </w:sdt>
          </w:p>
        </w:tc>
        <w:tc>
          <w:tcPr>
            <w:tcW w:w="0" w:type="auto"/>
          </w:tcPr>
          <w:p w14:paraId="20ADECEF" w14:textId="77777777" w:rsidR="00DA7FB4" w:rsidRPr="003A0C5C" w:rsidRDefault="002348BC" w:rsidP="00DA7FB4">
            <w:pPr>
              <w:pStyle w:val="Checklist"/>
              <w:rPr>
                <w:sz w:val="20"/>
              </w:rPr>
            </w:pPr>
            <w:sdt>
              <w:sdtPr>
                <w:id w:val="322625036"/>
                <w14:checkbox>
                  <w14:checked w14:val="0"/>
                  <w14:checkedState w14:val="2612" w14:font="MS Gothic"/>
                  <w14:uncheckedState w14:val="2610" w14:font="MS Gothic"/>
                </w14:checkbox>
              </w:sdtPr>
              <w:sdtEndPr/>
              <w:sdtContent>
                <w:r w:rsidR="00DA7FB4" w:rsidRPr="003A0C5C">
                  <w:rPr>
                    <w:rFonts w:hint="eastAsia"/>
                  </w:rPr>
                  <w:t>☐</w:t>
                </w:r>
              </w:sdtContent>
            </w:sdt>
          </w:p>
        </w:tc>
        <w:tc>
          <w:tcPr>
            <w:tcW w:w="0" w:type="auto"/>
          </w:tcPr>
          <w:p w14:paraId="4B673DE7" w14:textId="19ABFC2C" w:rsidR="00DA7FB4" w:rsidRPr="003A0C5C" w:rsidRDefault="002348BC" w:rsidP="00DA7FB4">
            <w:pPr>
              <w:pStyle w:val="Checklist"/>
              <w:rPr>
                <w:sz w:val="20"/>
              </w:rPr>
            </w:pPr>
            <w:sdt>
              <w:sdtPr>
                <w:id w:val="-592086858"/>
                <w14:checkbox>
                  <w14:checked w14:val="0"/>
                  <w14:checkedState w14:val="2612" w14:font="MS Gothic"/>
                  <w14:uncheckedState w14:val="2610" w14:font="MS Gothic"/>
                </w14:checkbox>
              </w:sdtPr>
              <w:sdtEndPr/>
              <w:sdtContent>
                <w:r w:rsidR="00121C0D" w:rsidRPr="003A0C5C">
                  <w:rPr>
                    <w:rFonts w:hint="eastAsia"/>
                  </w:rPr>
                  <w:t>☐</w:t>
                </w:r>
              </w:sdtContent>
            </w:sdt>
          </w:p>
        </w:tc>
      </w:tr>
    </w:tbl>
    <w:p w14:paraId="296BE0CA" w14:textId="77777777" w:rsidR="00957C8B" w:rsidRPr="003A0C5C" w:rsidRDefault="00957C8B" w:rsidP="00957C8B">
      <w:pPr>
        <w:pStyle w:val="TableNotes"/>
        <w:rPr>
          <w:highlight w:val="yellow"/>
        </w:rPr>
      </w:pPr>
    </w:p>
    <w:p w14:paraId="2A9B6287" w14:textId="77777777" w:rsidR="00957C8B" w:rsidRPr="003A0C5C" w:rsidRDefault="00957C8B" w:rsidP="00957C8B">
      <w:pPr>
        <w:pStyle w:val="Heading5"/>
      </w:pPr>
      <w:r w:rsidRPr="003A0C5C">
        <w:t>Discussion</w:t>
      </w:r>
    </w:p>
    <w:p w14:paraId="6AFB6FD8" w14:textId="48BBBAAB" w:rsidR="00F92AE1" w:rsidRPr="003A0C5C" w:rsidRDefault="004F426E" w:rsidP="00DC27D5">
      <w:pPr>
        <w:pStyle w:val="12spaceindent"/>
      </w:pPr>
      <w:r w:rsidRPr="003A0C5C">
        <w:t>a)</w:t>
      </w:r>
      <w:r w:rsidRPr="003A0C5C">
        <w:tab/>
      </w:r>
      <w:r w:rsidR="007A0761" w:rsidRPr="003A0C5C">
        <w:t xml:space="preserve">The proposed project is a self‐storage facility </w:t>
      </w:r>
      <w:r w:rsidR="00141B0D" w:rsidRPr="003A0C5C">
        <w:t xml:space="preserve">consisting </w:t>
      </w:r>
      <w:r w:rsidR="007A0761" w:rsidRPr="003A0C5C">
        <w:t xml:space="preserve">of approximately 113,714 square feet in a mix of </w:t>
      </w:r>
      <w:r w:rsidR="000A0861" w:rsidRPr="003A0C5C">
        <w:t>one</w:t>
      </w:r>
      <w:r w:rsidR="007A0761" w:rsidRPr="003A0C5C">
        <w:t xml:space="preserve">‐ and </w:t>
      </w:r>
      <w:r w:rsidR="000A0861" w:rsidRPr="003A0C5C">
        <w:t>two</w:t>
      </w:r>
      <w:r w:rsidR="007A0761" w:rsidRPr="003A0C5C">
        <w:t xml:space="preserve">‐story buildings. As discussed in Section IV, </w:t>
      </w:r>
      <w:r w:rsidR="007A0761" w:rsidRPr="003A0C5C">
        <w:rPr>
          <w:i/>
        </w:rPr>
        <w:t>Biological Resources</w:t>
      </w:r>
      <w:r w:rsidR="007A0761" w:rsidRPr="003A0C5C">
        <w:t xml:space="preserve">, the </w:t>
      </w:r>
      <w:r w:rsidR="00433408" w:rsidRPr="003A0C5C">
        <w:t xml:space="preserve">proposed </w:t>
      </w:r>
      <w:r w:rsidR="007A0761" w:rsidRPr="003A0C5C">
        <w:t xml:space="preserve">project </w:t>
      </w:r>
      <w:r w:rsidRPr="003A0C5C">
        <w:t>does not have the potential to degrade the quality of the environment, substantially reduce the habitat of a fish and wildlife species, cause a fish, or wildlife population to drop below self-sustaining levels, threaten to eliminate a plant or animal community, reduce the number or restrict the range of rare or endangered plant or animal</w:t>
      </w:r>
      <w:r w:rsidR="00CD2E2E" w:rsidRPr="003A0C5C">
        <w:t>s. As indicated in Section </w:t>
      </w:r>
      <w:r w:rsidR="007459C7" w:rsidRPr="003A0C5C">
        <w:t>V</w:t>
      </w:r>
      <w:r w:rsidR="00835FB2" w:rsidRPr="003A0C5C">
        <w:t>,</w:t>
      </w:r>
      <w:r w:rsidR="007459C7" w:rsidRPr="003A0C5C">
        <w:t xml:space="preserve"> </w:t>
      </w:r>
      <w:r w:rsidR="007459C7" w:rsidRPr="003A0C5C">
        <w:rPr>
          <w:rStyle w:val="Italic"/>
        </w:rPr>
        <w:t>Cultural Resources</w:t>
      </w:r>
      <w:r w:rsidR="007459C7" w:rsidRPr="003A0C5C">
        <w:t>,</w:t>
      </w:r>
      <w:r w:rsidR="001F6FAB" w:rsidRPr="003A0C5C">
        <w:t xml:space="preserve"> in the event that </w:t>
      </w:r>
      <w:r w:rsidR="007A0761" w:rsidRPr="003A0C5C">
        <w:t xml:space="preserve">historical resources, </w:t>
      </w:r>
      <w:r w:rsidR="001F6FAB" w:rsidRPr="003A0C5C">
        <w:t>archae</w:t>
      </w:r>
      <w:r w:rsidR="008B3B32" w:rsidRPr="003A0C5C">
        <w:t>ological resources,</w:t>
      </w:r>
      <w:r w:rsidR="001F6FAB" w:rsidRPr="003A0C5C">
        <w:t xml:space="preserve"> </w:t>
      </w:r>
      <w:r w:rsidR="007A0761" w:rsidRPr="003A0C5C">
        <w:t xml:space="preserve">or </w:t>
      </w:r>
      <w:r w:rsidR="001F6FAB" w:rsidRPr="003A0C5C">
        <w:t>human remains are encountered during construction</w:t>
      </w:r>
      <w:r w:rsidR="008B3B32" w:rsidRPr="003A0C5C">
        <w:t xml:space="preserve">, Mitigation Measures MM-CULT-1 </w:t>
      </w:r>
      <w:r w:rsidR="007A0761" w:rsidRPr="003A0C5C">
        <w:t xml:space="preserve">and </w:t>
      </w:r>
      <w:r w:rsidR="001F6FAB" w:rsidRPr="003A0C5C">
        <w:t>MM-CULT-2</w:t>
      </w:r>
      <w:r w:rsidR="008B3B32" w:rsidRPr="003A0C5C">
        <w:t xml:space="preserve"> </w:t>
      </w:r>
      <w:r w:rsidR="001F6FAB" w:rsidRPr="003A0C5C">
        <w:t xml:space="preserve">would require all project construction activities to halt until qualified </w:t>
      </w:r>
      <w:r w:rsidR="008B3B32" w:rsidRPr="003A0C5C">
        <w:t xml:space="preserve">experts identify the significance of the find and recommend a course of action. Furthermore, to reduce impacts to tribal cultural resources, the </w:t>
      </w:r>
      <w:r w:rsidR="00046487" w:rsidRPr="003A0C5C">
        <w:t xml:space="preserve">proposed </w:t>
      </w:r>
      <w:r w:rsidR="008B3B32" w:rsidRPr="003A0C5C">
        <w:t xml:space="preserve">project would implement </w:t>
      </w:r>
      <w:r w:rsidR="00EC2B45" w:rsidRPr="003A0C5C">
        <w:t xml:space="preserve">Mitigation Measure </w:t>
      </w:r>
      <w:r w:rsidR="00D678FB" w:rsidRPr="003A0C5C">
        <w:t>MM-TCR-1.</w:t>
      </w:r>
      <w:r w:rsidR="008B3B32" w:rsidRPr="003A0C5C">
        <w:t xml:space="preserve"> </w:t>
      </w:r>
      <w:r w:rsidR="007459C7" w:rsidRPr="003A0C5C">
        <w:t>Therefore, the proposed project would not potentially degrade the quality of the environment, substantially reduce the habitat of a fish or wildlife species, cause a fish or wildlife population to drop below self-sustaining levels, threaten to eliminate a plant or animal community, reduce the number or restrict the range of a rare or endangered plant or animal, or eliminate important examples of the major periods of California history or prehistory.</w:t>
      </w:r>
      <w:r w:rsidR="00470C54" w:rsidRPr="003A0C5C">
        <w:t xml:space="preserve"> </w:t>
      </w:r>
      <w:r w:rsidRPr="003A0C5C">
        <w:t xml:space="preserve">Therefore, </w:t>
      </w:r>
      <w:r w:rsidR="007459C7" w:rsidRPr="003A0C5C">
        <w:t>a less</w:t>
      </w:r>
      <w:r w:rsidR="002857E0" w:rsidRPr="003A0C5C">
        <w:t>-</w:t>
      </w:r>
      <w:r w:rsidR="007459C7" w:rsidRPr="003A0C5C">
        <w:t>than</w:t>
      </w:r>
      <w:r w:rsidR="002857E0" w:rsidRPr="003A0C5C">
        <w:t>-</w:t>
      </w:r>
      <w:r w:rsidR="007459C7" w:rsidRPr="003A0C5C">
        <w:t>significant impact would occur with mitigation.</w:t>
      </w:r>
    </w:p>
    <w:p w14:paraId="281563AE" w14:textId="25F5C3C5" w:rsidR="00F92AE1" w:rsidRPr="003A0C5C" w:rsidRDefault="004F426E" w:rsidP="00027F89">
      <w:pPr>
        <w:pStyle w:val="12spaceindent"/>
      </w:pPr>
      <w:r w:rsidRPr="003A0C5C">
        <w:t>b)</w:t>
      </w:r>
      <w:r w:rsidRPr="003A0C5C">
        <w:tab/>
        <w:t>A significant impact may occur if the proposed project, in conjunction with the related projects, would result in impacts that are significant when taken together.</w:t>
      </w:r>
      <w:r w:rsidR="00470C54" w:rsidRPr="003A0C5C">
        <w:t xml:space="preserve"> </w:t>
      </w:r>
      <w:r w:rsidR="00E16EF3" w:rsidRPr="003A0C5C">
        <w:t xml:space="preserve">With the incorporation of mitigation, the </w:t>
      </w:r>
      <w:r w:rsidRPr="003A0C5C">
        <w:t xml:space="preserve">proposed project would have </w:t>
      </w:r>
      <w:r w:rsidR="00262B5F" w:rsidRPr="003A0C5C">
        <w:t>less-than-</w:t>
      </w:r>
      <w:r w:rsidRPr="003A0C5C">
        <w:t>significant or no impact</w:t>
      </w:r>
      <w:r w:rsidR="00262B5F" w:rsidRPr="003A0C5C">
        <w:t>s</w:t>
      </w:r>
      <w:r w:rsidRPr="003A0C5C">
        <w:t xml:space="preserve"> with respect to </w:t>
      </w:r>
      <w:r w:rsidR="00E16EF3" w:rsidRPr="003A0C5C">
        <w:t xml:space="preserve">all </w:t>
      </w:r>
      <w:r w:rsidRPr="003A0C5C">
        <w:t xml:space="preserve">environmental topics, as discussed in the above checklist. </w:t>
      </w:r>
      <w:r w:rsidR="00E16EF3" w:rsidRPr="003A0C5C">
        <w:t>Related projects would also be required to mi</w:t>
      </w:r>
      <w:r w:rsidR="0034257F" w:rsidRPr="003A0C5C">
        <w:t xml:space="preserve">tigate </w:t>
      </w:r>
      <w:r w:rsidR="00D5352D" w:rsidRPr="003A0C5C">
        <w:t>any</w:t>
      </w:r>
      <w:r w:rsidR="0034257F" w:rsidRPr="003A0C5C">
        <w:t xml:space="preserve"> impacts to the maximum extent feasible. </w:t>
      </w:r>
      <w:r w:rsidRPr="003A0C5C">
        <w:t xml:space="preserve">Therefore, with mitigation incorporated, the </w:t>
      </w:r>
      <w:r w:rsidR="00046487" w:rsidRPr="003A0C5C">
        <w:t xml:space="preserve">proposed </w:t>
      </w:r>
      <w:r w:rsidRPr="003A0C5C">
        <w:t xml:space="preserve">project </w:t>
      </w:r>
      <w:r w:rsidR="00D5352D" w:rsidRPr="003A0C5C">
        <w:t xml:space="preserve">together with related projects </w:t>
      </w:r>
      <w:r w:rsidRPr="003A0C5C">
        <w:t>would not result in significant cumulative impacts.</w:t>
      </w:r>
    </w:p>
    <w:p w14:paraId="0D062183" w14:textId="0F6C86FD" w:rsidR="007367E7" w:rsidRPr="003A0C5C" w:rsidRDefault="004F426E" w:rsidP="00027F89">
      <w:pPr>
        <w:pStyle w:val="12spaceindent"/>
      </w:pPr>
      <w:r w:rsidRPr="003A0C5C">
        <w:t>c)</w:t>
      </w:r>
      <w:r w:rsidRPr="003A0C5C">
        <w:tab/>
        <w:t>A significant impact may occur if the proposed project has the potential to result in significant impacts, as discussed in the preceding sections.</w:t>
      </w:r>
      <w:r w:rsidR="00470C54" w:rsidRPr="003A0C5C">
        <w:t xml:space="preserve"> </w:t>
      </w:r>
      <w:r w:rsidRPr="003A0C5C">
        <w:t>All potential impacts of the proposed project have been identified, and mitigation measures have been prescribed, where applicable, to reduce all potential impacts to less</w:t>
      </w:r>
      <w:r w:rsidR="00193A9D" w:rsidRPr="003A0C5C">
        <w:t>-</w:t>
      </w:r>
      <w:r w:rsidRPr="003A0C5C">
        <w:t>than</w:t>
      </w:r>
      <w:r w:rsidR="00193A9D" w:rsidRPr="003A0C5C">
        <w:t>-</w:t>
      </w:r>
      <w:r w:rsidRPr="003A0C5C">
        <w:t>significant levels.</w:t>
      </w:r>
      <w:r w:rsidR="00470C54" w:rsidRPr="003A0C5C">
        <w:t xml:space="preserve"> </w:t>
      </w:r>
      <w:r w:rsidRPr="003A0C5C">
        <w:t xml:space="preserve">The proposed project would comply with all applicable permits, regulations, and other conditions imposed by the City of Carson and responsible agencies. Therefore, impacts associated with the </w:t>
      </w:r>
      <w:r w:rsidR="00046487" w:rsidRPr="003A0C5C">
        <w:t xml:space="preserve">proposed </w:t>
      </w:r>
      <w:r w:rsidRPr="003A0C5C">
        <w:t>project would be less than significant.</w:t>
      </w:r>
    </w:p>
    <w:p w14:paraId="5183417F" w14:textId="77777777" w:rsidR="00307BC9" w:rsidRPr="003A0C5C" w:rsidRDefault="00307BC9" w:rsidP="00027F89">
      <w:pPr>
        <w:pStyle w:val="12spaceindent"/>
      </w:pPr>
    </w:p>
    <w:p w14:paraId="1623C8C2" w14:textId="77777777" w:rsidR="00EE1CFD" w:rsidRPr="003A0C5C" w:rsidRDefault="00EE1CFD" w:rsidP="008B0DDC">
      <w:pPr>
        <w:rPr>
          <w:highlight w:val="yellow"/>
        </w:rPr>
        <w:sectPr w:rsidR="00EE1CFD" w:rsidRPr="003A0C5C" w:rsidSect="00EE1CFD">
          <w:headerReference w:type="even" r:id="rId35"/>
          <w:headerReference w:type="default" r:id="rId36"/>
          <w:headerReference w:type="first" r:id="rId37"/>
          <w:pgSz w:w="12240" w:h="15840" w:code="1"/>
          <w:pgMar w:top="1440" w:right="1800" w:bottom="1440" w:left="1800" w:header="720" w:footer="576" w:gutter="0"/>
          <w:cols w:space="720"/>
          <w:titlePg/>
          <w:docGrid w:linePitch="360"/>
        </w:sectPr>
      </w:pPr>
    </w:p>
    <w:p w14:paraId="2D1BDF2C" w14:textId="7514F028" w:rsidR="008B0DDC" w:rsidRPr="003A0C5C" w:rsidRDefault="008B0DDC" w:rsidP="008B0DDC">
      <w:pPr>
        <w:pStyle w:val="Heading1"/>
      </w:pPr>
      <w:bookmarkStart w:id="120" w:name="_Toc74760365"/>
      <w:bookmarkStart w:id="121" w:name="_Toc94184418"/>
      <w:bookmarkStart w:id="122" w:name="_Toc99526995"/>
      <w:bookmarkStart w:id="123" w:name="_Toc101792001"/>
      <w:r w:rsidRPr="003A0C5C">
        <w:t>Chapter 4</w:t>
      </w:r>
      <w:bookmarkEnd w:id="120"/>
      <w:bookmarkEnd w:id="121"/>
      <w:bookmarkEnd w:id="122"/>
      <w:bookmarkEnd w:id="123"/>
    </w:p>
    <w:p w14:paraId="51C78BC5" w14:textId="7AB5D791" w:rsidR="007367E7" w:rsidRPr="003A0C5C" w:rsidRDefault="007367E7" w:rsidP="008B0DDC">
      <w:pPr>
        <w:pStyle w:val="Heading2"/>
      </w:pPr>
      <w:bookmarkStart w:id="124" w:name="_Toc101792002"/>
      <w:r w:rsidRPr="003A0C5C">
        <w:t>References</w:t>
      </w:r>
      <w:bookmarkEnd w:id="124"/>
    </w:p>
    <w:p w14:paraId="3F4057C3" w14:textId="7FCA67E6" w:rsidR="004F426E" w:rsidRPr="003A0C5C" w:rsidRDefault="007367E7" w:rsidP="00957C8B">
      <w:pPr>
        <w:pStyle w:val="Heading3"/>
      </w:pPr>
      <w:bookmarkStart w:id="125" w:name="_Toc94184420"/>
      <w:bookmarkStart w:id="126" w:name="_Toc99526997"/>
      <w:bookmarkStart w:id="127" w:name="_Toc101792003"/>
      <w:r w:rsidRPr="003A0C5C">
        <w:t>Aesthetics</w:t>
      </w:r>
      <w:bookmarkEnd w:id="125"/>
      <w:bookmarkEnd w:id="126"/>
      <w:bookmarkEnd w:id="127"/>
    </w:p>
    <w:p w14:paraId="3894C878" w14:textId="60641164" w:rsidR="006809F1" w:rsidRPr="003A0C5C" w:rsidRDefault="006809F1" w:rsidP="009C66F7">
      <w:pPr>
        <w:pStyle w:val="Bibliography"/>
        <w:jc w:val="left"/>
      </w:pPr>
      <w:r w:rsidRPr="003A0C5C">
        <w:t xml:space="preserve">Caltrans (California Department of Transportation). 2021. California Scenic Highway Mapping System, List of Eligible and Officially Designated State Scenic Highways. </w:t>
      </w:r>
      <w:hyperlink r:id="rId38" w:history="1">
        <w:r w:rsidRPr="003A0C5C">
          <w:rPr>
            <w:rStyle w:val="Hyperlink"/>
          </w:rPr>
          <w:t>https://dot.ca.gov/programs/design/lap-landscape-architecture-and-community-livability/lap-liv-i-scenic-highways</w:t>
        </w:r>
      </w:hyperlink>
      <w:r w:rsidRPr="003A0C5C">
        <w:t xml:space="preserve">, accessed </w:t>
      </w:r>
      <w:r w:rsidR="00D700CF" w:rsidRPr="003A0C5C">
        <w:t xml:space="preserve">December </w:t>
      </w:r>
      <w:r w:rsidR="00CD0D62" w:rsidRPr="003A0C5C">
        <w:t>15</w:t>
      </w:r>
      <w:r w:rsidRPr="003A0C5C">
        <w:t>, 2021.</w:t>
      </w:r>
    </w:p>
    <w:p w14:paraId="5E934048" w14:textId="54C2D2C2" w:rsidR="00F92AE1" w:rsidRPr="003A0C5C" w:rsidRDefault="007367E7" w:rsidP="000A76A3">
      <w:pPr>
        <w:pStyle w:val="Bibliography"/>
      </w:pPr>
      <w:r w:rsidRPr="003A0C5C">
        <w:t xml:space="preserve">City of Carson. 2002. </w:t>
      </w:r>
      <w:r w:rsidRPr="003A0C5C">
        <w:rPr>
          <w:rStyle w:val="Italic"/>
          <w:i w:val="0"/>
          <w:iCs/>
        </w:rPr>
        <w:t>City of Carson General Plan Environmental Impact Report</w:t>
      </w:r>
      <w:r w:rsidRPr="003A0C5C">
        <w:t xml:space="preserve">. SCH </w:t>
      </w:r>
      <w:r w:rsidR="00FE7378" w:rsidRPr="003A0C5C">
        <w:t>N</w:t>
      </w:r>
      <w:r w:rsidRPr="003A0C5C">
        <w:t>o. 2001091120</w:t>
      </w:r>
      <w:r w:rsidR="00D700CF" w:rsidRPr="003A0C5C">
        <w:t>, October</w:t>
      </w:r>
      <w:r w:rsidRPr="003A0C5C">
        <w:t xml:space="preserve">. </w:t>
      </w:r>
    </w:p>
    <w:p w14:paraId="414AC93D" w14:textId="5215F8C0" w:rsidR="007367E7" w:rsidRPr="003A0C5C" w:rsidRDefault="007367E7" w:rsidP="00957C8B">
      <w:pPr>
        <w:pStyle w:val="Heading3"/>
      </w:pPr>
      <w:bookmarkStart w:id="128" w:name="_Toc94184421"/>
      <w:bookmarkStart w:id="129" w:name="_Toc99526998"/>
      <w:bookmarkStart w:id="130" w:name="_Toc101792004"/>
      <w:r w:rsidRPr="003A0C5C">
        <w:t>Agriculture and Forestry Resources</w:t>
      </w:r>
      <w:bookmarkEnd w:id="128"/>
      <w:bookmarkEnd w:id="129"/>
      <w:bookmarkEnd w:id="130"/>
    </w:p>
    <w:p w14:paraId="7B79AFBE" w14:textId="13CC0C3F" w:rsidR="00F92AE1" w:rsidRPr="003A0C5C" w:rsidRDefault="007367E7" w:rsidP="009C66F7">
      <w:pPr>
        <w:pStyle w:val="Bibliography"/>
        <w:jc w:val="left"/>
      </w:pPr>
      <w:r w:rsidRPr="003A0C5C">
        <w:t>California Department of Conservation, Division of Land Resource Protection</w:t>
      </w:r>
      <w:r w:rsidR="00BD6CC7" w:rsidRPr="003A0C5C">
        <w:t xml:space="preserve">. </w:t>
      </w:r>
      <w:r w:rsidR="00BE1524" w:rsidRPr="003A0C5C">
        <w:t>2021</w:t>
      </w:r>
      <w:r w:rsidR="00BD6CC7" w:rsidRPr="003A0C5C">
        <w:t>.</w:t>
      </w:r>
      <w:r w:rsidRPr="003A0C5C">
        <w:t xml:space="preserve"> Farmland Mapping and Monitoring Program, Important Farmland Finder</w:t>
      </w:r>
      <w:r w:rsidR="00537401" w:rsidRPr="003A0C5C">
        <w:t>,</w:t>
      </w:r>
      <w:r w:rsidRPr="003A0C5C">
        <w:t xml:space="preserve"> </w:t>
      </w:r>
      <w:hyperlink r:id="rId39" w:history="1">
        <w:r w:rsidR="00BD6CC7" w:rsidRPr="003A0C5C">
          <w:rPr>
            <w:rStyle w:val="Hyperlink"/>
          </w:rPr>
          <w:t>https://maps.conservation.ca.gov/DLRP/CIFF/</w:t>
        </w:r>
      </w:hyperlink>
      <w:r w:rsidR="00BD6CC7" w:rsidRPr="003A0C5C">
        <w:t>,</w:t>
      </w:r>
      <w:r w:rsidRPr="003A0C5C">
        <w:t xml:space="preserve"> </w:t>
      </w:r>
      <w:r w:rsidR="00BD6CC7" w:rsidRPr="003A0C5C">
        <w:t xml:space="preserve">accessed </w:t>
      </w:r>
      <w:r w:rsidR="00BE1524" w:rsidRPr="003A0C5C">
        <w:t xml:space="preserve">December </w:t>
      </w:r>
      <w:r w:rsidR="00CD0D62" w:rsidRPr="003A0C5C">
        <w:t>15</w:t>
      </w:r>
      <w:r w:rsidRPr="003A0C5C">
        <w:t>, 202</w:t>
      </w:r>
      <w:r w:rsidR="00CD0D62" w:rsidRPr="003A0C5C">
        <w:t>1</w:t>
      </w:r>
      <w:r w:rsidRPr="003A0C5C">
        <w:t>.</w:t>
      </w:r>
    </w:p>
    <w:p w14:paraId="669ECED8" w14:textId="73AEE2FA" w:rsidR="00734308" w:rsidRPr="003A0C5C" w:rsidRDefault="00537401" w:rsidP="009C66F7">
      <w:pPr>
        <w:pStyle w:val="Bibliography"/>
        <w:jc w:val="left"/>
      </w:pPr>
      <w:r w:rsidRPr="003A0C5C">
        <w:t>CDC (</w:t>
      </w:r>
      <w:r w:rsidR="00734308" w:rsidRPr="003A0C5C">
        <w:t>California Department of Conservation, Division of Land Resources Protection</w:t>
      </w:r>
      <w:r w:rsidRPr="003A0C5C">
        <w:t>)</w:t>
      </w:r>
      <w:r w:rsidR="00734308" w:rsidRPr="003A0C5C">
        <w:t xml:space="preserve">. </w:t>
      </w:r>
      <w:r w:rsidRPr="003A0C5C">
        <w:t xml:space="preserve">2017. </w:t>
      </w:r>
      <w:r w:rsidR="00734308" w:rsidRPr="003A0C5C">
        <w:t>State of California Williamson Act Contract Land</w:t>
      </w:r>
      <w:r w:rsidR="000A76A3" w:rsidRPr="003A0C5C">
        <w:t>.</w:t>
      </w:r>
      <w:r w:rsidR="00734308" w:rsidRPr="003A0C5C">
        <w:rPr>
          <w:rFonts w:eastAsia="Times New Roman" w:cs="Times New Roman"/>
          <w:sz w:val="24"/>
          <w:szCs w:val="24"/>
        </w:rPr>
        <w:t xml:space="preserve"> </w:t>
      </w:r>
    </w:p>
    <w:p w14:paraId="5E8E2F79" w14:textId="2005403F" w:rsidR="007367E7" w:rsidRPr="003A0C5C" w:rsidRDefault="007367E7" w:rsidP="000A76A3">
      <w:pPr>
        <w:pStyle w:val="Bibliography"/>
      </w:pPr>
      <w:r w:rsidRPr="003A0C5C">
        <w:t>City of Carson</w:t>
      </w:r>
      <w:r w:rsidR="00BD6CC7" w:rsidRPr="003A0C5C">
        <w:t>. 2004.</w:t>
      </w:r>
      <w:r w:rsidRPr="003A0C5C">
        <w:t xml:space="preserve"> </w:t>
      </w:r>
      <w:r w:rsidR="00BD6CC7" w:rsidRPr="003A0C5C">
        <w:rPr>
          <w:rStyle w:val="Italic"/>
          <w:i w:val="0"/>
          <w:iCs/>
        </w:rPr>
        <w:t xml:space="preserve">City of Carson </w:t>
      </w:r>
      <w:r w:rsidRPr="003A0C5C">
        <w:rPr>
          <w:rStyle w:val="Italic"/>
          <w:i w:val="0"/>
          <w:iCs/>
        </w:rPr>
        <w:t>General Plan</w:t>
      </w:r>
      <w:r w:rsidR="00FE7378" w:rsidRPr="003A0C5C">
        <w:t>,</w:t>
      </w:r>
      <w:r w:rsidRPr="003A0C5C">
        <w:t xml:space="preserve"> Land Use Element</w:t>
      </w:r>
      <w:r w:rsidR="00B21C10" w:rsidRPr="003A0C5C">
        <w:t>.</w:t>
      </w:r>
    </w:p>
    <w:p w14:paraId="0199C86A" w14:textId="3FAC8EC8" w:rsidR="007367E7" w:rsidRPr="003A0C5C" w:rsidRDefault="00C16515" w:rsidP="00957C8B">
      <w:pPr>
        <w:pStyle w:val="Heading3"/>
      </w:pPr>
      <w:bookmarkStart w:id="131" w:name="_Toc94184422"/>
      <w:bookmarkStart w:id="132" w:name="_Toc99526999"/>
      <w:bookmarkStart w:id="133" w:name="_Toc101792005"/>
      <w:r w:rsidRPr="003A0C5C">
        <w:t>Air Quality</w:t>
      </w:r>
      <w:bookmarkEnd w:id="131"/>
      <w:bookmarkEnd w:id="132"/>
      <w:bookmarkEnd w:id="133"/>
    </w:p>
    <w:p w14:paraId="1B5D436A" w14:textId="0F30ABC6" w:rsidR="00C16515" w:rsidRPr="003A0C5C" w:rsidRDefault="006809F1" w:rsidP="00357172">
      <w:pPr>
        <w:pStyle w:val="Bibliography"/>
      </w:pPr>
      <w:r w:rsidRPr="003A0C5C">
        <w:t>CARB (California Air Resources Board</w:t>
      </w:r>
      <w:r w:rsidR="00C16515" w:rsidRPr="003A0C5C">
        <w:t>)</w:t>
      </w:r>
      <w:r w:rsidR="00B21C10" w:rsidRPr="003A0C5C">
        <w:t>. 2003.</w:t>
      </w:r>
      <w:r w:rsidR="00C16515" w:rsidRPr="003A0C5C">
        <w:t xml:space="preserve"> </w:t>
      </w:r>
      <w:r w:rsidR="00C16515" w:rsidRPr="003A0C5C">
        <w:rPr>
          <w:rStyle w:val="Italic"/>
        </w:rPr>
        <w:t>OFFROAD Modeling Change Technical Memo</w:t>
      </w:r>
      <w:r w:rsidR="00C16515" w:rsidRPr="003A0C5C">
        <w:t xml:space="preserve">, </w:t>
      </w:r>
      <w:r w:rsidR="00B21C10" w:rsidRPr="003A0C5C">
        <w:t xml:space="preserve">revised June 13. </w:t>
      </w:r>
    </w:p>
    <w:p w14:paraId="2DD4E56E" w14:textId="266EE5F2" w:rsidR="00F37CBE" w:rsidRPr="003A0C5C" w:rsidRDefault="00F37CBE" w:rsidP="00357172">
      <w:pPr>
        <w:pStyle w:val="Bibliography"/>
      </w:pPr>
      <w:r w:rsidRPr="003A0C5C">
        <w:t xml:space="preserve">Fehr &amp; Peers. 2022. 21611 South Perry Street Local Transportation Assessment. January 18. </w:t>
      </w:r>
    </w:p>
    <w:p w14:paraId="63EFF333" w14:textId="53EFC961" w:rsidR="00C16515" w:rsidRPr="003A0C5C" w:rsidRDefault="006809F1" w:rsidP="00357172">
      <w:pPr>
        <w:pStyle w:val="Bibliography"/>
      </w:pPr>
      <w:r w:rsidRPr="003A0C5C">
        <w:t>OEHHA (</w:t>
      </w:r>
      <w:r w:rsidR="00C16515" w:rsidRPr="003A0C5C">
        <w:t>Office of Environm</w:t>
      </w:r>
      <w:r w:rsidRPr="003A0C5C">
        <w:t>ental Health Hazard Assessment</w:t>
      </w:r>
      <w:r w:rsidR="00C16515" w:rsidRPr="003A0C5C">
        <w:t>)</w:t>
      </w:r>
      <w:r w:rsidR="00EB6EDE" w:rsidRPr="003A0C5C">
        <w:t>.</w:t>
      </w:r>
      <w:r w:rsidR="00C16515" w:rsidRPr="003A0C5C">
        <w:t xml:space="preserve"> 2015. </w:t>
      </w:r>
      <w:r w:rsidR="00C16515" w:rsidRPr="003A0C5C">
        <w:rPr>
          <w:rStyle w:val="Italic"/>
          <w:i w:val="0"/>
          <w:iCs/>
        </w:rPr>
        <w:t>Air Toxics Hot Spots Program Guidance Manual for Preparation of Health Risk Assessments</w:t>
      </w:r>
      <w:r w:rsidR="00C16515" w:rsidRPr="003A0C5C">
        <w:t xml:space="preserve">. </w:t>
      </w:r>
      <w:hyperlink r:id="rId40" w:history="1">
        <w:r w:rsidR="00CF567B" w:rsidRPr="003A0C5C">
          <w:rPr>
            <w:rStyle w:val="Hyperlink"/>
          </w:rPr>
          <w:t>http://oehha.ca.gov/air/crnr/notice-adoption-air-toxics-hot-spots-program-guidance-manual-preparation-health-risk-0, accessed January 18, 2022</w:t>
        </w:r>
      </w:hyperlink>
      <w:r w:rsidR="00C16515" w:rsidRPr="003A0C5C">
        <w:t>.</w:t>
      </w:r>
    </w:p>
    <w:p w14:paraId="0751E67D" w14:textId="14A310C7" w:rsidR="00C16515" w:rsidRPr="003A0C5C" w:rsidRDefault="006809F1" w:rsidP="00357172">
      <w:pPr>
        <w:pStyle w:val="Bibliography"/>
      </w:pPr>
      <w:r w:rsidRPr="003A0C5C">
        <w:t>SCAG (</w:t>
      </w:r>
      <w:r w:rsidR="00C16515" w:rsidRPr="003A0C5C">
        <w:t>Southern California Association of Governments)</w:t>
      </w:r>
      <w:r w:rsidR="00EB6EDE" w:rsidRPr="003A0C5C">
        <w:t>.</w:t>
      </w:r>
      <w:r w:rsidR="00C16515" w:rsidRPr="003A0C5C">
        <w:t xml:space="preserve"> 2016. </w:t>
      </w:r>
      <w:r w:rsidR="00C16515" w:rsidRPr="003A0C5C">
        <w:rPr>
          <w:rStyle w:val="Italic"/>
          <w:i w:val="0"/>
          <w:iCs/>
        </w:rPr>
        <w:t>2016</w:t>
      </w:r>
      <w:r w:rsidR="00EB6EDE" w:rsidRPr="003A0C5C">
        <w:rPr>
          <w:rStyle w:val="Italic"/>
          <w:i w:val="0"/>
          <w:iCs/>
        </w:rPr>
        <w:t>–</w:t>
      </w:r>
      <w:r w:rsidR="00C16515" w:rsidRPr="003A0C5C">
        <w:rPr>
          <w:rStyle w:val="Italic"/>
          <w:i w:val="0"/>
          <w:iCs/>
        </w:rPr>
        <w:t xml:space="preserve">2040 </w:t>
      </w:r>
      <w:r w:rsidR="00CF567B" w:rsidRPr="003A0C5C">
        <w:t>Regional Transportation Program/Sustainable Communities Strategy</w:t>
      </w:r>
      <w:r w:rsidR="00CF567B" w:rsidRPr="003A0C5C" w:rsidDel="00CF567B">
        <w:rPr>
          <w:rStyle w:val="Italic"/>
          <w:i w:val="0"/>
          <w:iCs/>
        </w:rPr>
        <w:t xml:space="preserve"> </w:t>
      </w:r>
      <w:r w:rsidR="00C16515" w:rsidRPr="003A0C5C">
        <w:rPr>
          <w:rStyle w:val="Italic"/>
        </w:rPr>
        <w:t xml:space="preserve">– </w:t>
      </w:r>
      <w:r w:rsidR="00C16515" w:rsidRPr="003A0C5C">
        <w:rPr>
          <w:rStyle w:val="Italic"/>
          <w:i w:val="0"/>
          <w:iCs/>
        </w:rPr>
        <w:t>Demographics &amp; Growth Forecast</w:t>
      </w:r>
      <w:r w:rsidR="00C16515" w:rsidRPr="003A0C5C">
        <w:t xml:space="preserve">. </w:t>
      </w:r>
    </w:p>
    <w:p w14:paraId="04E81042" w14:textId="4FF58516" w:rsidR="00EE2E93" w:rsidRPr="003A0C5C" w:rsidRDefault="00EE2E93" w:rsidP="00F30B5C">
      <w:pPr>
        <w:pStyle w:val="Bibliography"/>
        <w:spacing w:before="240"/>
      </w:pPr>
      <w:r w:rsidRPr="003A0C5C">
        <w:t>SCAQMD</w:t>
      </w:r>
      <w:r w:rsidR="00F30B5C" w:rsidRPr="003A0C5C">
        <w:t xml:space="preserve"> (South Coast Air Quality Management District)</w:t>
      </w:r>
      <w:r w:rsidR="00537401" w:rsidRPr="003A0C5C">
        <w:t>.</w:t>
      </w:r>
      <w:r w:rsidRPr="003A0C5C">
        <w:t xml:space="preserve"> 2003</w:t>
      </w:r>
      <w:r w:rsidR="004F31D4" w:rsidRPr="003A0C5C">
        <w:t>a</w:t>
      </w:r>
      <w:r w:rsidRPr="003A0C5C">
        <w:t xml:space="preserve">. </w:t>
      </w:r>
      <w:r w:rsidRPr="003A0C5C">
        <w:rPr>
          <w:iCs/>
        </w:rPr>
        <w:t>2003 AQMP, Appendix V: Modeling and Attainment Demonstrations</w:t>
      </w:r>
      <w:r w:rsidRPr="003A0C5C">
        <w:t>, page V-4-24.</w:t>
      </w:r>
    </w:p>
    <w:p w14:paraId="00338507" w14:textId="27A345CC" w:rsidR="004F31D4" w:rsidRPr="003A0C5C" w:rsidRDefault="004F31D4" w:rsidP="00357172">
      <w:pPr>
        <w:pStyle w:val="Bibliography"/>
        <w:rPr>
          <w:highlight w:val="yellow"/>
        </w:rPr>
      </w:pPr>
      <w:r w:rsidRPr="003A0C5C">
        <w:t>SCAQMD</w:t>
      </w:r>
      <w:r w:rsidR="00537401" w:rsidRPr="003A0C5C">
        <w:t>.</w:t>
      </w:r>
      <w:r w:rsidRPr="003A0C5C">
        <w:t xml:space="preserve"> 2003b. Health Risk Assessment Guidance for Analyzing Cancer Risks from Mobile Source Diesel Idling Emissions for CEQA Air Quality Analysis, August 2003</w:t>
      </w:r>
      <w:r w:rsidR="00BE1524" w:rsidRPr="003A0C5C">
        <w:t>.</w:t>
      </w:r>
      <w:hyperlink w:history="1"/>
    </w:p>
    <w:p w14:paraId="6B2AB722" w14:textId="3DB96EDD" w:rsidR="00F30B5C" w:rsidRPr="003A0C5C" w:rsidRDefault="00F30B5C" w:rsidP="009C66F7">
      <w:pPr>
        <w:pStyle w:val="Bibliography"/>
        <w:jc w:val="left"/>
      </w:pPr>
      <w:r w:rsidRPr="003A0C5C">
        <w:t>SCAQMD. 2008. Final Localized Significance Threshold Methodology. http://www.aqmd.gov/home/regulations/ceqa/air-quality-analysis-handbook/localized-significance-thresholds, accessed December 15, 2021.</w:t>
      </w:r>
    </w:p>
    <w:p w14:paraId="23340023" w14:textId="05CB02D7" w:rsidR="00C16515" w:rsidRPr="003A0C5C" w:rsidRDefault="00C16515" w:rsidP="00357172">
      <w:pPr>
        <w:pStyle w:val="Bibliography"/>
      </w:pPr>
      <w:r w:rsidRPr="003A0C5C">
        <w:t>SCAQMD</w:t>
      </w:r>
      <w:r w:rsidR="00EB6EDE" w:rsidRPr="003A0C5C">
        <w:t>.</w:t>
      </w:r>
      <w:r w:rsidRPr="003A0C5C">
        <w:t xml:space="preserve"> 2015. </w:t>
      </w:r>
      <w:r w:rsidRPr="003A0C5C">
        <w:rPr>
          <w:rStyle w:val="Italic"/>
          <w:i w:val="0"/>
          <w:iCs/>
        </w:rPr>
        <w:t>Air Quality Significance Thresholds</w:t>
      </w:r>
      <w:r w:rsidRPr="003A0C5C">
        <w:t>. http://www.aqmd.gov/docs/default-source/ceqa/handbook/scaqmd-air-quality-significance-thresholds.pdf?sfvrsn=2</w:t>
      </w:r>
      <w:r w:rsidR="00BD6CC7" w:rsidRPr="003A0C5C">
        <w:t>, accessed</w:t>
      </w:r>
      <w:r w:rsidRPr="003A0C5C">
        <w:t xml:space="preserve"> </w:t>
      </w:r>
      <w:r w:rsidR="00D77C0C" w:rsidRPr="003A0C5C">
        <w:t>January 18, 2022</w:t>
      </w:r>
      <w:r w:rsidRPr="003A0C5C">
        <w:t>.</w:t>
      </w:r>
    </w:p>
    <w:p w14:paraId="1CF5FB7C" w14:textId="4A121485" w:rsidR="00C16515" w:rsidRPr="003A0C5C" w:rsidRDefault="00C16515" w:rsidP="00357172">
      <w:pPr>
        <w:pStyle w:val="Bibliography"/>
      </w:pPr>
      <w:r w:rsidRPr="003A0C5C">
        <w:t>SCAQMD</w:t>
      </w:r>
      <w:r w:rsidR="00EB6EDE" w:rsidRPr="003A0C5C">
        <w:t>.</w:t>
      </w:r>
      <w:r w:rsidRPr="003A0C5C">
        <w:t xml:space="preserve"> 2016. </w:t>
      </w:r>
      <w:r w:rsidRPr="003A0C5C">
        <w:rPr>
          <w:rStyle w:val="Italic"/>
          <w:i w:val="0"/>
          <w:iCs/>
        </w:rPr>
        <w:t>Final 2016 Air Quality Management Plan</w:t>
      </w:r>
      <w:r w:rsidRPr="003A0C5C">
        <w:t>. https://www.aqmd.gov/docs/default-source/clean-air-plans/air-quality-management-plans/2016-air-quality-management-plan/final-2016-aqmp/final2016aqmp.pdf?sfvrsn=15</w:t>
      </w:r>
      <w:r w:rsidR="00BD6CC7" w:rsidRPr="003A0C5C">
        <w:t>, accessed</w:t>
      </w:r>
      <w:r w:rsidRPr="003A0C5C">
        <w:t xml:space="preserve"> </w:t>
      </w:r>
      <w:r w:rsidR="00D77C0C" w:rsidRPr="003A0C5C">
        <w:t>January 18, 2022</w:t>
      </w:r>
      <w:r w:rsidRPr="003A0C5C">
        <w:t>.</w:t>
      </w:r>
    </w:p>
    <w:p w14:paraId="7CC0060D" w14:textId="4E2466EF" w:rsidR="007367E7" w:rsidRPr="003A0C5C" w:rsidRDefault="00C16515" w:rsidP="00957C8B">
      <w:pPr>
        <w:pStyle w:val="Heading3"/>
      </w:pPr>
      <w:bookmarkStart w:id="134" w:name="_Toc94184423"/>
      <w:bookmarkStart w:id="135" w:name="_Toc99527000"/>
      <w:bookmarkStart w:id="136" w:name="_Toc101792006"/>
      <w:r w:rsidRPr="003A0C5C">
        <w:t>Biological Resources</w:t>
      </w:r>
      <w:bookmarkEnd w:id="134"/>
      <w:bookmarkEnd w:id="135"/>
      <w:bookmarkEnd w:id="136"/>
    </w:p>
    <w:p w14:paraId="7DC423A7" w14:textId="42EA9838" w:rsidR="00F92AE1" w:rsidRPr="003A0C5C" w:rsidRDefault="00DF7E04" w:rsidP="009C66F7">
      <w:pPr>
        <w:pStyle w:val="Bibliography"/>
        <w:jc w:val="left"/>
      </w:pPr>
      <w:r w:rsidRPr="003A0C5C">
        <w:t>CDFW (</w:t>
      </w:r>
      <w:r w:rsidR="00C16515" w:rsidRPr="003A0C5C">
        <w:t>California Department of Fish and Wildlife</w:t>
      </w:r>
      <w:r w:rsidRPr="003A0C5C">
        <w:t xml:space="preserve">). </w:t>
      </w:r>
      <w:r w:rsidR="00A0585C" w:rsidRPr="003A0C5C">
        <w:t>2022</w:t>
      </w:r>
      <w:r w:rsidRPr="003A0C5C">
        <w:t>.</w:t>
      </w:r>
      <w:r w:rsidR="00A0585C" w:rsidRPr="003A0C5C">
        <w:rPr>
          <w:rStyle w:val="Italic"/>
          <w:i w:val="0"/>
          <w:iCs/>
        </w:rPr>
        <w:t xml:space="preserve"> NCCP Plan Summaries</w:t>
      </w:r>
      <w:r w:rsidRPr="003A0C5C">
        <w:t>,</w:t>
      </w:r>
      <w:r w:rsidR="00C16515" w:rsidRPr="003A0C5C">
        <w:t xml:space="preserve"> </w:t>
      </w:r>
      <w:hyperlink r:id="rId41" w:history="1">
        <w:r w:rsidR="00BD6CC7" w:rsidRPr="003A0C5C">
          <w:rPr>
            <w:rStyle w:val="Hyperlink"/>
          </w:rPr>
          <w:t>https://www.wildlife.ca.gov/Conservation/Planning/NCCP/Plans</w:t>
        </w:r>
      </w:hyperlink>
      <w:r w:rsidR="00BD6CC7" w:rsidRPr="003A0C5C">
        <w:t>, accessed</w:t>
      </w:r>
      <w:r w:rsidR="00C16515" w:rsidRPr="003A0C5C">
        <w:t xml:space="preserve"> </w:t>
      </w:r>
      <w:r w:rsidRPr="003A0C5C">
        <w:t>April 25, 2022</w:t>
      </w:r>
      <w:r w:rsidR="00C16515" w:rsidRPr="003A0C5C">
        <w:t>.</w:t>
      </w:r>
    </w:p>
    <w:p w14:paraId="267F9A7D" w14:textId="075FB58A" w:rsidR="00C16515" w:rsidRPr="003A0C5C" w:rsidRDefault="000000E0" w:rsidP="00957C8B">
      <w:pPr>
        <w:pStyle w:val="Heading3"/>
      </w:pPr>
      <w:bookmarkStart w:id="137" w:name="_Toc94184424"/>
      <w:bookmarkStart w:id="138" w:name="_Toc99527001"/>
      <w:bookmarkStart w:id="139" w:name="_Toc101792007"/>
      <w:r w:rsidRPr="003A0C5C">
        <w:t>Energy</w:t>
      </w:r>
      <w:bookmarkEnd w:id="137"/>
      <w:bookmarkEnd w:id="138"/>
      <w:bookmarkEnd w:id="139"/>
    </w:p>
    <w:p w14:paraId="3F62B1F3" w14:textId="08191C6C" w:rsidR="006809F1" w:rsidRPr="003A0C5C" w:rsidRDefault="006809F1" w:rsidP="006F57E3">
      <w:pPr>
        <w:pStyle w:val="Bibliography"/>
      </w:pPr>
      <w:r w:rsidRPr="003A0C5C">
        <w:rPr>
          <w:rStyle w:val="12spaceChar"/>
        </w:rPr>
        <w:t xml:space="preserve">California Energy Commission. 2019. </w:t>
      </w:r>
      <w:r w:rsidRPr="003A0C5C">
        <w:rPr>
          <w:rStyle w:val="Italic"/>
          <w:i w:val="0"/>
          <w:iCs/>
        </w:rPr>
        <w:t>California Annual Retail Fuel Outlet Report Results (CEC-A15) Spreadsheets</w:t>
      </w:r>
      <w:r w:rsidRPr="003A0C5C">
        <w:rPr>
          <w:rStyle w:val="12spaceChar"/>
        </w:rPr>
        <w:t xml:space="preserve">. </w:t>
      </w:r>
      <w:hyperlink r:id="rId42" w:history="1">
        <w:r w:rsidRPr="003A0C5C">
          <w:rPr>
            <w:rStyle w:val="Hyperlink"/>
          </w:rPr>
          <w:t>https://www.energy.ca.gov/data-reports/energy-almanac/transportation-energy/california-retail-fuel-outlet-annual-reporting</w:t>
        </w:r>
      </w:hyperlink>
      <w:r w:rsidRPr="003A0C5C">
        <w:t xml:space="preserve">, accessed </w:t>
      </w:r>
      <w:r w:rsidR="00F871DA" w:rsidRPr="003A0C5C">
        <w:t>January 18, 2022</w:t>
      </w:r>
      <w:r w:rsidRPr="003A0C5C">
        <w:t>.</w:t>
      </w:r>
    </w:p>
    <w:p w14:paraId="48519E74" w14:textId="19349E99" w:rsidR="006809F1" w:rsidRPr="003A0C5C" w:rsidRDefault="006809F1" w:rsidP="00307BC9">
      <w:pPr>
        <w:pStyle w:val="Bibliography"/>
        <w:jc w:val="left"/>
      </w:pPr>
      <w:r w:rsidRPr="003A0C5C">
        <w:t xml:space="preserve">California Gas and Electric Utilities. </w:t>
      </w:r>
      <w:r w:rsidR="00D414A5" w:rsidRPr="003A0C5C">
        <w:t>2020</w:t>
      </w:r>
      <w:r w:rsidRPr="003A0C5C">
        <w:t xml:space="preserve">. </w:t>
      </w:r>
      <w:r w:rsidRPr="003A0C5C">
        <w:rPr>
          <w:rStyle w:val="Italic"/>
          <w:i w:val="0"/>
          <w:iCs/>
        </w:rPr>
        <w:t>2020 California Gas Report</w:t>
      </w:r>
      <w:r w:rsidRPr="003A0C5C">
        <w:t xml:space="preserve">. </w:t>
      </w:r>
    </w:p>
    <w:p w14:paraId="07CFC6EF" w14:textId="6AE44332" w:rsidR="000000E0" w:rsidRPr="003A0C5C" w:rsidRDefault="000000E0" w:rsidP="00F37CBE">
      <w:pPr>
        <w:pStyle w:val="Bibliography"/>
      </w:pPr>
      <w:r w:rsidRPr="003A0C5C">
        <w:t>City of Carson</w:t>
      </w:r>
      <w:r w:rsidR="00914461" w:rsidRPr="003A0C5C">
        <w:t>. 2015.</w:t>
      </w:r>
      <w:r w:rsidRPr="003A0C5C">
        <w:t xml:space="preserve"> </w:t>
      </w:r>
      <w:r w:rsidRPr="003A0C5C">
        <w:rPr>
          <w:rStyle w:val="Italic"/>
          <w:i w:val="0"/>
          <w:iCs/>
        </w:rPr>
        <w:t>Energy Efficiency Climate Action Plan</w:t>
      </w:r>
      <w:r w:rsidR="00914461" w:rsidRPr="003A0C5C">
        <w:t>, December</w:t>
      </w:r>
      <w:r w:rsidRPr="003A0C5C">
        <w:t xml:space="preserve">. </w:t>
      </w:r>
    </w:p>
    <w:p w14:paraId="7283AFEA" w14:textId="7ACA4347" w:rsidR="000000E0" w:rsidRPr="003A0C5C" w:rsidRDefault="000000E0" w:rsidP="009C66F7">
      <w:pPr>
        <w:pStyle w:val="Bibliography"/>
        <w:jc w:val="left"/>
      </w:pPr>
      <w:r w:rsidRPr="003A0C5C">
        <w:t>Clean Power Alliance</w:t>
      </w:r>
      <w:r w:rsidR="00914461" w:rsidRPr="003A0C5C">
        <w:t>. 2018.</w:t>
      </w:r>
      <w:r w:rsidRPr="003A0C5C">
        <w:t xml:space="preserve"> </w:t>
      </w:r>
      <w:r w:rsidRPr="003A0C5C">
        <w:rPr>
          <w:rStyle w:val="Italic"/>
          <w:i w:val="0"/>
          <w:iCs/>
        </w:rPr>
        <w:t>Member Agency Default Tier</w:t>
      </w:r>
      <w:r w:rsidR="00914461" w:rsidRPr="003A0C5C">
        <w:t>, November</w:t>
      </w:r>
      <w:r w:rsidRPr="003A0C5C">
        <w:t xml:space="preserve">. </w:t>
      </w:r>
      <w:hyperlink r:id="rId43" w:history="1">
        <w:r w:rsidR="00BD6CC7" w:rsidRPr="003A0C5C">
          <w:rPr>
            <w:rStyle w:val="Hyperlink"/>
          </w:rPr>
          <w:t>https://cleanpoweralliance.org/wp-content/uploads/2019/01/Clean-Power-Alliance-Member-Agency-Default-Tier-Choices.pdf</w:t>
        </w:r>
      </w:hyperlink>
      <w:r w:rsidR="00BD6CC7" w:rsidRPr="003A0C5C">
        <w:t>, accessed</w:t>
      </w:r>
      <w:r w:rsidRPr="003A0C5C">
        <w:t xml:space="preserve"> </w:t>
      </w:r>
      <w:r w:rsidR="00914A29" w:rsidRPr="003A0C5C">
        <w:t>December</w:t>
      </w:r>
      <w:r w:rsidRPr="003A0C5C">
        <w:t xml:space="preserve"> </w:t>
      </w:r>
      <w:r w:rsidR="00733310" w:rsidRPr="003A0C5C">
        <w:t xml:space="preserve">15, </w:t>
      </w:r>
      <w:r w:rsidRPr="003A0C5C">
        <w:t>2021.</w:t>
      </w:r>
    </w:p>
    <w:p w14:paraId="2CA4C468" w14:textId="77777777" w:rsidR="00D414A5" w:rsidRPr="003A0C5C" w:rsidRDefault="00D414A5" w:rsidP="00D414A5">
      <w:pPr>
        <w:pStyle w:val="Bibliography"/>
      </w:pPr>
      <w:r w:rsidRPr="003A0C5C">
        <w:t xml:space="preserve">Office of Planning and Research. 2018. </w:t>
      </w:r>
      <w:r w:rsidRPr="003A0C5C">
        <w:rPr>
          <w:iCs/>
        </w:rPr>
        <w:t>Technical Advisory on Evaluating Transportation Impacts in CEQA</w:t>
      </w:r>
      <w:r w:rsidRPr="003A0C5C">
        <w:t>, December.</w:t>
      </w:r>
    </w:p>
    <w:p w14:paraId="4100A1F6" w14:textId="26F7E8EB" w:rsidR="000000E0" w:rsidRPr="003A0C5C" w:rsidRDefault="006809F1" w:rsidP="00F37CBE">
      <w:pPr>
        <w:pStyle w:val="Bibliography"/>
      </w:pPr>
      <w:r w:rsidRPr="003A0C5C">
        <w:t>SCAG (</w:t>
      </w:r>
      <w:r w:rsidR="00914461" w:rsidRPr="003A0C5C">
        <w:t>Southern California Association of Governments).</w:t>
      </w:r>
      <w:r w:rsidR="000000E0" w:rsidRPr="003A0C5C">
        <w:t xml:space="preserve"> 2020. </w:t>
      </w:r>
      <w:r w:rsidR="00945E8B" w:rsidRPr="003A0C5C">
        <w:t xml:space="preserve">Connect SoCal: </w:t>
      </w:r>
      <w:r w:rsidR="00945E8B" w:rsidRPr="003A0C5C">
        <w:rPr>
          <w:rStyle w:val="Italic"/>
          <w:i w:val="0"/>
          <w:iCs/>
        </w:rPr>
        <w:t>2020–2045 Regional Transportation Plan/Sustainable Communities Strategy</w:t>
      </w:r>
      <w:r w:rsidR="00945E8B" w:rsidRPr="003A0C5C">
        <w:t>, May 2020</w:t>
      </w:r>
      <w:r w:rsidR="000000E0" w:rsidRPr="003A0C5C">
        <w:t>.</w:t>
      </w:r>
    </w:p>
    <w:p w14:paraId="5052413E" w14:textId="09A33A8D" w:rsidR="000000E0" w:rsidRPr="003A0C5C" w:rsidRDefault="006809F1" w:rsidP="00F37CBE">
      <w:pPr>
        <w:pStyle w:val="Bibliography"/>
      </w:pPr>
      <w:r w:rsidRPr="003A0C5C">
        <w:t>SCE (Southern California Edison</w:t>
      </w:r>
      <w:r w:rsidR="000000E0" w:rsidRPr="003A0C5C">
        <w:t>)</w:t>
      </w:r>
      <w:r w:rsidR="00914461" w:rsidRPr="003A0C5C">
        <w:t xml:space="preserve">. </w:t>
      </w:r>
      <w:r w:rsidR="00F871DA" w:rsidRPr="003A0C5C">
        <w:t>2019</w:t>
      </w:r>
      <w:r w:rsidR="00914461" w:rsidRPr="003A0C5C">
        <w:t>.</w:t>
      </w:r>
      <w:r w:rsidR="000000E0" w:rsidRPr="003A0C5C">
        <w:rPr>
          <w:iCs/>
        </w:rPr>
        <w:t xml:space="preserve"> </w:t>
      </w:r>
      <w:r w:rsidR="00914461" w:rsidRPr="003A0C5C">
        <w:rPr>
          <w:rStyle w:val="Italic"/>
          <w:i w:val="0"/>
        </w:rPr>
        <w:t>Edison International and Southern California Edison 2019 Annual Report</w:t>
      </w:r>
      <w:r w:rsidR="000000E0" w:rsidRPr="003A0C5C">
        <w:t xml:space="preserve">. </w:t>
      </w:r>
    </w:p>
    <w:p w14:paraId="0A5BE4E9" w14:textId="5609F10A" w:rsidR="00D414A5" w:rsidRPr="003A0C5C" w:rsidRDefault="00D414A5" w:rsidP="00F871DA">
      <w:pPr>
        <w:pStyle w:val="Bibliography"/>
      </w:pPr>
      <w:r w:rsidRPr="003A0C5C">
        <w:t>USEPA (United States Environmental Protection Agency). 2011. Fact Sheet: EPA and NHTSA Adopt First-Ever Program to Reduce Greenhouse Gas Emissions and Improve Fuel Efficiency of Medium- and Heavy-Duty Vehicles, August.</w:t>
      </w:r>
    </w:p>
    <w:p w14:paraId="16AF8627" w14:textId="23F6AAFD" w:rsidR="00D414A5" w:rsidRPr="003A0C5C" w:rsidRDefault="00D414A5" w:rsidP="00F871DA">
      <w:pPr>
        <w:pStyle w:val="Bibliography"/>
        <w:rPr>
          <w:spacing w:val="2"/>
        </w:rPr>
      </w:pPr>
      <w:r w:rsidRPr="003A0C5C">
        <w:rPr>
          <w:spacing w:val="2"/>
        </w:rPr>
        <w:t>USEPA. 2016. Federal Register/Vol. 81, No. 206/Tuesday, Greenhouse Gas Emissions and Fuel Efficiency Standards for Medium- and Heavy-Duty Engines and Vehicles—Phase 2, October 25.</w:t>
      </w:r>
    </w:p>
    <w:p w14:paraId="2BFE8E4A" w14:textId="71ED7EC1" w:rsidR="000000E0" w:rsidRPr="003A0C5C" w:rsidRDefault="00194CF3" w:rsidP="00957C8B">
      <w:pPr>
        <w:pStyle w:val="Heading3"/>
      </w:pPr>
      <w:bookmarkStart w:id="140" w:name="_Toc94184425"/>
      <w:bookmarkStart w:id="141" w:name="_Toc99527002"/>
      <w:bookmarkStart w:id="142" w:name="_Toc101792008"/>
      <w:r w:rsidRPr="003A0C5C">
        <w:t>Geology and Soils</w:t>
      </w:r>
      <w:bookmarkEnd w:id="140"/>
      <w:bookmarkEnd w:id="141"/>
      <w:bookmarkEnd w:id="142"/>
    </w:p>
    <w:p w14:paraId="76A6F5A4" w14:textId="29370F61" w:rsidR="00194CF3" w:rsidRPr="003A0C5C" w:rsidRDefault="006809F1" w:rsidP="00307BC9">
      <w:pPr>
        <w:pStyle w:val="Bibliography"/>
        <w:jc w:val="left"/>
      </w:pPr>
      <w:r w:rsidRPr="003A0C5C">
        <w:t>CGS (California Geological Survey</w:t>
      </w:r>
      <w:r w:rsidR="00194CF3" w:rsidRPr="003A0C5C">
        <w:t xml:space="preserve">). 2021. </w:t>
      </w:r>
      <w:r w:rsidR="00194CF3" w:rsidRPr="003A0C5C">
        <w:rPr>
          <w:rStyle w:val="Italic"/>
        </w:rPr>
        <w:t xml:space="preserve">Earthquake Zones of Required Investigation – </w:t>
      </w:r>
      <w:r w:rsidR="007874AF" w:rsidRPr="003A0C5C">
        <w:rPr>
          <w:rStyle w:val="Italic"/>
        </w:rPr>
        <w:t>21611 Perry Street, Carson, CA 90746</w:t>
      </w:r>
      <w:r w:rsidR="00194CF3" w:rsidRPr="003A0C5C">
        <w:t xml:space="preserve">. </w:t>
      </w:r>
      <w:hyperlink r:id="rId44" w:history="1">
        <w:r w:rsidR="00194CF3" w:rsidRPr="003A0C5C">
          <w:rPr>
            <w:rStyle w:val="Hyperlink"/>
          </w:rPr>
          <w:t>https://maps.conservation.ca.gov/cgs/EQZApp/app/</w:t>
        </w:r>
      </w:hyperlink>
      <w:r w:rsidR="00BD6CC7" w:rsidRPr="003A0C5C">
        <w:t>, accessed</w:t>
      </w:r>
      <w:r w:rsidR="00194CF3" w:rsidRPr="003A0C5C">
        <w:t xml:space="preserve"> </w:t>
      </w:r>
      <w:r w:rsidR="007634FE" w:rsidRPr="003A0C5C">
        <w:t>January 18, 2022</w:t>
      </w:r>
      <w:r w:rsidR="00194CF3" w:rsidRPr="003A0C5C">
        <w:t>.</w:t>
      </w:r>
    </w:p>
    <w:p w14:paraId="489EAFD4" w14:textId="4055D1E2" w:rsidR="00F92AE1" w:rsidRPr="003A0C5C" w:rsidRDefault="00194CF3" w:rsidP="00F37CBE">
      <w:pPr>
        <w:pStyle w:val="Bibliography"/>
      </w:pPr>
      <w:r w:rsidRPr="003A0C5C">
        <w:t xml:space="preserve">City of Carson. </w:t>
      </w:r>
      <w:r w:rsidR="00914461" w:rsidRPr="003A0C5C">
        <w:t xml:space="preserve">2004. </w:t>
      </w:r>
      <w:r w:rsidRPr="003A0C5C">
        <w:rPr>
          <w:rStyle w:val="Italic"/>
          <w:i w:val="0"/>
          <w:iCs/>
        </w:rPr>
        <w:t>City of Carson General Plan</w:t>
      </w:r>
      <w:r w:rsidR="00B86758" w:rsidRPr="003A0C5C">
        <w:t>,</w:t>
      </w:r>
      <w:r w:rsidRPr="003A0C5C">
        <w:t xml:space="preserve"> Safety Element.</w:t>
      </w:r>
    </w:p>
    <w:p w14:paraId="55AD1B39" w14:textId="50E47EA3" w:rsidR="00F92AE1" w:rsidRPr="003A0C5C" w:rsidRDefault="00194CF3" w:rsidP="00F37CBE">
      <w:pPr>
        <w:pStyle w:val="Bibliography"/>
      </w:pPr>
      <w:r w:rsidRPr="003A0C5C">
        <w:t xml:space="preserve">City of Carson. </w:t>
      </w:r>
      <w:r w:rsidR="00914461" w:rsidRPr="003A0C5C">
        <w:t xml:space="preserve">2002. </w:t>
      </w:r>
      <w:r w:rsidRPr="003A0C5C">
        <w:rPr>
          <w:rStyle w:val="Italic"/>
          <w:i w:val="0"/>
          <w:iCs/>
        </w:rPr>
        <w:t xml:space="preserve">City of Carson General Plan </w:t>
      </w:r>
      <w:r w:rsidR="00FE7378" w:rsidRPr="003A0C5C">
        <w:rPr>
          <w:rStyle w:val="Italic"/>
          <w:i w:val="0"/>
          <w:iCs/>
        </w:rPr>
        <w:t>Environmental Impact Report</w:t>
      </w:r>
      <w:r w:rsidR="00FE7378" w:rsidRPr="003A0C5C">
        <w:t>. SCH No. 2001091120, October</w:t>
      </w:r>
      <w:r w:rsidR="00C37E1A" w:rsidRPr="003A0C5C">
        <w:t>.</w:t>
      </w:r>
    </w:p>
    <w:p w14:paraId="3F24B696" w14:textId="6CFA381D" w:rsidR="00194CF3" w:rsidRPr="003A0C5C" w:rsidRDefault="00507893" w:rsidP="00957C8B">
      <w:pPr>
        <w:pStyle w:val="Heading3"/>
      </w:pPr>
      <w:bookmarkStart w:id="143" w:name="_Toc94184426"/>
      <w:bookmarkStart w:id="144" w:name="_Toc99527003"/>
      <w:bookmarkStart w:id="145" w:name="_Toc101792009"/>
      <w:r w:rsidRPr="003A0C5C">
        <w:t>Greenhouse Gas Emissions</w:t>
      </w:r>
      <w:bookmarkEnd w:id="143"/>
      <w:bookmarkEnd w:id="144"/>
      <w:bookmarkEnd w:id="145"/>
    </w:p>
    <w:p w14:paraId="50851FB6" w14:textId="3D1BA084" w:rsidR="00507893" w:rsidRPr="003A0C5C" w:rsidRDefault="006809F1" w:rsidP="00F37CBE">
      <w:pPr>
        <w:pStyle w:val="Bibliography"/>
        <w:rPr>
          <w:bCs/>
        </w:rPr>
      </w:pPr>
      <w:r w:rsidRPr="003A0C5C">
        <w:t>CARB (California Air Resources Board</w:t>
      </w:r>
      <w:r w:rsidR="00507893" w:rsidRPr="003A0C5C">
        <w:t>)</w:t>
      </w:r>
      <w:r w:rsidR="00914461" w:rsidRPr="003A0C5C">
        <w:t>.</w:t>
      </w:r>
      <w:r w:rsidR="00507893" w:rsidRPr="003A0C5C">
        <w:t xml:space="preserve"> 2008. </w:t>
      </w:r>
      <w:r w:rsidR="00507893" w:rsidRPr="003A0C5C">
        <w:rPr>
          <w:rStyle w:val="Italic"/>
          <w:i w:val="0"/>
          <w:iCs/>
        </w:rPr>
        <w:t>Climate Change Scoping Plan</w:t>
      </w:r>
      <w:r w:rsidR="00914461" w:rsidRPr="003A0C5C">
        <w:t>,</w:t>
      </w:r>
      <w:r w:rsidR="00507893" w:rsidRPr="003A0C5C">
        <w:rPr>
          <w:spacing w:val="-2"/>
        </w:rPr>
        <w:t xml:space="preserve"> </w:t>
      </w:r>
      <w:r w:rsidR="00914461" w:rsidRPr="003A0C5C">
        <w:rPr>
          <w:spacing w:val="-2"/>
        </w:rPr>
        <w:t>December</w:t>
      </w:r>
      <w:r w:rsidR="00507893" w:rsidRPr="003A0C5C">
        <w:rPr>
          <w:spacing w:val="-2"/>
        </w:rPr>
        <w:t xml:space="preserve">. </w:t>
      </w:r>
    </w:p>
    <w:p w14:paraId="0DAA8F7B" w14:textId="49BD143C" w:rsidR="00507893" w:rsidRPr="003A0C5C" w:rsidRDefault="00507893" w:rsidP="00F37CBE">
      <w:pPr>
        <w:pStyle w:val="Bibliography"/>
      </w:pPr>
      <w:r w:rsidRPr="003A0C5C">
        <w:t>CARB</w:t>
      </w:r>
      <w:r w:rsidR="00914461" w:rsidRPr="003A0C5C">
        <w:t>.</w:t>
      </w:r>
      <w:r w:rsidRPr="003A0C5C">
        <w:t xml:space="preserve"> 2017. </w:t>
      </w:r>
      <w:r w:rsidRPr="003A0C5C">
        <w:rPr>
          <w:rStyle w:val="Italic"/>
          <w:i w:val="0"/>
          <w:iCs/>
        </w:rPr>
        <w:t xml:space="preserve">The 2017 Climate Change Scoping Plan Update – The Proposed Strategy </w:t>
      </w:r>
      <w:r w:rsidR="00914461" w:rsidRPr="003A0C5C">
        <w:rPr>
          <w:rStyle w:val="Italic"/>
          <w:i w:val="0"/>
          <w:iCs/>
        </w:rPr>
        <w:t xml:space="preserve">for </w:t>
      </w:r>
      <w:r w:rsidRPr="003A0C5C">
        <w:rPr>
          <w:rStyle w:val="Italic"/>
          <w:i w:val="0"/>
          <w:iCs/>
        </w:rPr>
        <w:t>Achieving California</w:t>
      </w:r>
      <w:r w:rsidR="00D678AB" w:rsidRPr="003A0C5C">
        <w:rPr>
          <w:rStyle w:val="Italic"/>
          <w:i w:val="0"/>
          <w:iCs/>
        </w:rPr>
        <w:t>’</w:t>
      </w:r>
      <w:r w:rsidRPr="003A0C5C">
        <w:rPr>
          <w:rStyle w:val="Italic"/>
          <w:i w:val="0"/>
          <w:iCs/>
        </w:rPr>
        <w:t>s 2030 Greenhouse Gas Target</w:t>
      </w:r>
      <w:r w:rsidR="00914461" w:rsidRPr="003A0C5C">
        <w:t>, January</w:t>
      </w:r>
      <w:r w:rsidRPr="003A0C5C">
        <w:t xml:space="preserve">. </w:t>
      </w:r>
    </w:p>
    <w:p w14:paraId="6EAE8DED" w14:textId="56AB3C8D" w:rsidR="00FC320E" w:rsidRPr="003A0C5C" w:rsidRDefault="00FC320E" w:rsidP="00307BC9">
      <w:pPr>
        <w:pStyle w:val="Bibliography"/>
        <w:jc w:val="left"/>
      </w:pPr>
      <w:r w:rsidRPr="003A0C5C">
        <w:t>CARB. 2021</w:t>
      </w:r>
      <w:r w:rsidR="004E003D" w:rsidRPr="003A0C5C">
        <w:t>a</w:t>
      </w:r>
      <w:r w:rsidRPr="003A0C5C">
        <w:t xml:space="preserve">. California Greenhouse Gas Emissions for 2000-2019 Trends of Emissions and Other Indicators, July 28. </w:t>
      </w:r>
    </w:p>
    <w:p w14:paraId="57AABF1C" w14:textId="68965244" w:rsidR="00F92AE1" w:rsidRPr="003A0C5C" w:rsidRDefault="00507893" w:rsidP="00F37CBE">
      <w:pPr>
        <w:pStyle w:val="Bibliography"/>
      </w:pPr>
      <w:r w:rsidRPr="003A0C5C">
        <w:t>CARB</w:t>
      </w:r>
      <w:r w:rsidR="00914461" w:rsidRPr="003A0C5C">
        <w:t>.</w:t>
      </w:r>
      <w:r w:rsidR="004E003D" w:rsidRPr="003A0C5C">
        <w:t xml:space="preserve"> 2021b</w:t>
      </w:r>
      <w:r w:rsidRPr="003A0C5C">
        <w:t xml:space="preserve">. </w:t>
      </w:r>
      <w:r w:rsidRPr="003A0C5C">
        <w:rPr>
          <w:rStyle w:val="Italic"/>
          <w:i w:val="0"/>
          <w:iCs/>
        </w:rPr>
        <w:t>Low Carbon Fuel Standard and Alternative Diesel Fuels Regulation</w:t>
      </w:r>
      <w:r w:rsidR="00914461" w:rsidRPr="003A0C5C">
        <w:rPr>
          <w:rStyle w:val="Italic"/>
          <w:i w:val="0"/>
          <w:iCs/>
        </w:rPr>
        <w:t> </w:t>
      </w:r>
      <w:r w:rsidRPr="003A0C5C">
        <w:rPr>
          <w:rStyle w:val="Italic"/>
          <w:i w:val="0"/>
          <w:iCs/>
        </w:rPr>
        <w:t>2018</w:t>
      </w:r>
      <w:r w:rsidRPr="003A0C5C">
        <w:t xml:space="preserve">. </w:t>
      </w:r>
      <w:hyperlink r:id="rId45" w:history="1">
        <w:r w:rsidR="00BD6CC7" w:rsidRPr="003A0C5C">
          <w:rPr>
            <w:rStyle w:val="Hyperlink"/>
          </w:rPr>
          <w:t>https://ww2.arb.ca.gov/rulemaking/2018/low-carbon-fuel-standard-and-alternative-diesel-fuels-regulation-2018</w:t>
        </w:r>
      </w:hyperlink>
      <w:r w:rsidR="00BD6CC7" w:rsidRPr="003A0C5C">
        <w:t>, accessed</w:t>
      </w:r>
      <w:r w:rsidRPr="003A0C5C">
        <w:t xml:space="preserve"> </w:t>
      </w:r>
      <w:r w:rsidR="004E003D" w:rsidRPr="003A0C5C">
        <w:t>December</w:t>
      </w:r>
      <w:r w:rsidR="00733310" w:rsidRPr="003A0C5C">
        <w:t xml:space="preserve"> 15,</w:t>
      </w:r>
      <w:r w:rsidRPr="003A0C5C">
        <w:t xml:space="preserve"> 2021.</w:t>
      </w:r>
    </w:p>
    <w:p w14:paraId="5D81131B" w14:textId="53A0FBF9" w:rsidR="00F92AE1" w:rsidRPr="003A0C5C" w:rsidRDefault="00507893" w:rsidP="00F37CBE">
      <w:pPr>
        <w:pStyle w:val="Bibliography"/>
      </w:pPr>
      <w:r w:rsidRPr="003A0C5C">
        <w:t>CARB</w:t>
      </w:r>
      <w:r w:rsidR="00914461" w:rsidRPr="003A0C5C">
        <w:t>.</w:t>
      </w:r>
      <w:r w:rsidR="004E003D" w:rsidRPr="003A0C5C">
        <w:t xml:space="preserve"> 2021c</w:t>
      </w:r>
      <w:r w:rsidRPr="003A0C5C">
        <w:t xml:space="preserve">. LCFS Regulation. </w:t>
      </w:r>
      <w:hyperlink r:id="rId46" w:history="1">
        <w:r w:rsidR="00BD6CC7" w:rsidRPr="003A0C5C">
          <w:rPr>
            <w:rStyle w:val="Hyperlink"/>
          </w:rPr>
          <w:t>https://ww2.arb.ca.gov/our-work/programs/low-carbon-fuel-standard/lcfs-regulation</w:t>
        </w:r>
      </w:hyperlink>
      <w:r w:rsidR="00BD6CC7" w:rsidRPr="003A0C5C">
        <w:t>, accessed</w:t>
      </w:r>
      <w:r w:rsidRPr="003A0C5C">
        <w:t xml:space="preserve"> </w:t>
      </w:r>
      <w:r w:rsidR="004E003D" w:rsidRPr="003A0C5C">
        <w:t>December</w:t>
      </w:r>
      <w:r w:rsidRPr="003A0C5C">
        <w:t xml:space="preserve"> </w:t>
      </w:r>
      <w:r w:rsidR="00733310" w:rsidRPr="003A0C5C">
        <w:t xml:space="preserve">15, </w:t>
      </w:r>
      <w:r w:rsidRPr="003A0C5C">
        <w:t>2021.</w:t>
      </w:r>
    </w:p>
    <w:p w14:paraId="31E06230" w14:textId="30476953" w:rsidR="00507893" w:rsidRPr="003A0C5C" w:rsidRDefault="00507893" w:rsidP="00F37CBE">
      <w:pPr>
        <w:pStyle w:val="Bibliography"/>
      </w:pPr>
      <w:r w:rsidRPr="003A0C5C">
        <w:t>City of Carson</w:t>
      </w:r>
      <w:r w:rsidR="00914461" w:rsidRPr="003A0C5C">
        <w:t>.</w:t>
      </w:r>
      <w:r w:rsidRPr="003A0C5C">
        <w:t xml:space="preserve"> 2015. </w:t>
      </w:r>
      <w:r w:rsidRPr="003A0C5C">
        <w:rPr>
          <w:rStyle w:val="Italic"/>
          <w:i w:val="0"/>
          <w:iCs/>
        </w:rPr>
        <w:t>Energy Efficiency Climate Action Plan</w:t>
      </w:r>
      <w:r w:rsidR="00914461" w:rsidRPr="003A0C5C">
        <w:t>,</w:t>
      </w:r>
      <w:r w:rsidRPr="003A0C5C">
        <w:t xml:space="preserve"> December. </w:t>
      </w:r>
    </w:p>
    <w:p w14:paraId="123F9F74" w14:textId="68B74E70" w:rsidR="00F37CBE" w:rsidRPr="003A0C5C" w:rsidRDefault="00F37CBE" w:rsidP="00F37CBE">
      <w:pPr>
        <w:pStyle w:val="Bibliography"/>
      </w:pPr>
      <w:r w:rsidRPr="003A0C5C">
        <w:t xml:space="preserve">Fehr &amp; Peers. 2022. </w:t>
      </w:r>
      <w:r w:rsidRPr="003A0C5C">
        <w:rPr>
          <w:iCs/>
        </w:rPr>
        <w:t>21611 South Perry Street Local Transportation Assessment</w:t>
      </w:r>
      <w:r w:rsidRPr="003A0C5C">
        <w:t xml:space="preserve">. January 18. </w:t>
      </w:r>
    </w:p>
    <w:p w14:paraId="597472E1" w14:textId="5B49100D" w:rsidR="00507893" w:rsidRPr="003A0C5C" w:rsidRDefault="006809F1" w:rsidP="00F37CBE">
      <w:pPr>
        <w:pStyle w:val="Bibliography"/>
      </w:pPr>
      <w:r w:rsidRPr="003A0C5C">
        <w:t>IPCC (</w:t>
      </w:r>
      <w:r w:rsidR="00507893" w:rsidRPr="003A0C5C">
        <w:t>Intergovern</w:t>
      </w:r>
      <w:r w:rsidRPr="003A0C5C">
        <w:t>mental Panel on Climate Change</w:t>
      </w:r>
      <w:r w:rsidR="00507893" w:rsidRPr="003A0C5C">
        <w:t>)</w:t>
      </w:r>
      <w:r w:rsidR="00914461" w:rsidRPr="003A0C5C">
        <w:t>.</w:t>
      </w:r>
      <w:r w:rsidR="00507893" w:rsidRPr="003A0C5C">
        <w:t xml:space="preserve"> 2001. </w:t>
      </w:r>
      <w:r w:rsidR="00507893" w:rsidRPr="003A0C5C">
        <w:rPr>
          <w:rStyle w:val="Italic"/>
          <w:i w:val="0"/>
          <w:iCs/>
        </w:rPr>
        <w:t>Climate Change 2001: Working Group I: The Scientific Basis</w:t>
      </w:r>
      <w:r w:rsidR="00A0585C" w:rsidRPr="003A0C5C">
        <w:t>,</w:t>
      </w:r>
      <w:r w:rsidR="00507893" w:rsidRPr="003A0C5C">
        <w:t xml:space="preserve"> </w:t>
      </w:r>
      <w:hyperlink r:id="rId47" w:history="1">
        <w:r w:rsidR="00BD6CC7" w:rsidRPr="003A0C5C">
          <w:rPr>
            <w:rStyle w:val="Hyperlink"/>
          </w:rPr>
          <w:t>https://www.ipcc.ch/report/ar3/wg1/</w:t>
        </w:r>
      </w:hyperlink>
      <w:r w:rsidR="00BD6CC7" w:rsidRPr="003A0C5C">
        <w:t>,</w:t>
      </w:r>
      <w:r w:rsidR="00507893" w:rsidRPr="003A0C5C">
        <w:t xml:space="preserve"> </w:t>
      </w:r>
      <w:r w:rsidR="00BD6CC7" w:rsidRPr="003A0C5C">
        <w:t xml:space="preserve">accessed </w:t>
      </w:r>
      <w:r w:rsidR="00FC320E" w:rsidRPr="003A0C5C">
        <w:t>December</w:t>
      </w:r>
      <w:r w:rsidR="00507893" w:rsidRPr="003A0C5C">
        <w:t xml:space="preserve"> </w:t>
      </w:r>
      <w:r w:rsidR="00733310" w:rsidRPr="003A0C5C">
        <w:t xml:space="preserve">15, </w:t>
      </w:r>
      <w:r w:rsidR="00507893" w:rsidRPr="003A0C5C">
        <w:t>2021.</w:t>
      </w:r>
    </w:p>
    <w:p w14:paraId="65FCD01D" w14:textId="77777777" w:rsidR="00945E8B" w:rsidRPr="003A0C5C" w:rsidRDefault="00945E8B" w:rsidP="00945E8B">
      <w:pPr>
        <w:pStyle w:val="Bibliography"/>
      </w:pPr>
      <w:r w:rsidRPr="003A0C5C">
        <w:t xml:space="preserve">SCAG (Southern California Association of Governments). 2020. Connect SoCal: </w:t>
      </w:r>
      <w:r w:rsidRPr="003A0C5C">
        <w:rPr>
          <w:rStyle w:val="Italic"/>
          <w:i w:val="0"/>
          <w:iCs/>
        </w:rPr>
        <w:t>2020–2045 Regional Transportation Plan/Sustainable Communities Strategy</w:t>
      </w:r>
      <w:r w:rsidRPr="003A0C5C">
        <w:t>, May 2020.</w:t>
      </w:r>
    </w:p>
    <w:p w14:paraId="6368071D" w14:textId="4F585369" w:rsidR="00507893" w:rsidRPr="003A0C5C" w:rsidRDefault="006809F1" w:rsidP="00307BC9">
      <w:pPr>
        <w:pStyle w:val="Bibliography"/>
        <w:jc w:val="left"/>
        <w:rPr>
          <w:spacing w:val="-2"/>
        </w:rPr>
      </w:pPr>
      <w:r w:rsidRPr="003A0C5C">
        <w:t>SCAQMD (</w:t>
      </w:r>
      <w:r w:rsidR="00507893" w:rsidRPr="003A0C5C">
        <w:t>South Coast A</w:t>
      </w:r>
      <w:r w:rsidRPr="003A0C5C">
        <w:t>ir Quality Management District</w:t>
      </w:r>
      <w:r w:rsidR="00507893" w:rsidRPr="003A0C5C">
        <w:t>)</w:t>
      </w:r>
      <w:r w:rsidR="00914461" w:rsidRPr="003A0C5C">
        <w:rPr>
          <w:spacing w:val="-2"/>
        </w:rPr>
        <w:t>.</w:t>
      </w:r>
      <w:r w:rsidR="00507893" w:rsidRPr="003A0C5C">
        <w:rPr>
          <w:spacing w:val="-2"/>
        </w:rPr>
        <w:t xml:space="preserve"> 2008. </w:t>
      </w:r>
      <w:r w:rsidR="00507893" w:rsidRPr="003A0C5C">
        <w:rPr>
          <w:rStyle w:val="Italic"/>
          <w:i w:val="0"/>
          <w:iCs/>
        </w:rPr>
        <w:t>Draft Guidance Document – Interim CEQA Greenhouse Gas (GHG) Significance Threshold</w:t>
      </w:r>
      <w:r w:rsidR="00914461" w:rsidRPr="003A0C5C">
        <w:rPr>
          <w:spacing w:val="-2"/>
        </w:rPr>
        <w:t>, October</w:t>
      </w:r>
      <w:r w:rsidR="00507893" w:rsidRPr="003A0C5C">
        <w:rPr>
          <w:spacing w:val="-2"/>
        </w:rPr>
        <w:t>.</w:t>
      </w:r>
    </w:p>
    <w:p w14:paraId="3433B9F1" w14:textId="1634EC8A" w:rsidR="004E003D" w:rsidRPr="003A0C5C" w:rsidRDefault="004E003D" w:rsidP="00307BC9">
      <w:pPr>
        <w:pStyle w:val="Bibliography"/>
        <w:jc w:val="left"/>
      </w:pPr>
      <w:r w:rsidRPr="003A0C5C">
        <w:t>SCE (Southern California Edison). 2020. 2019 Power Content Label.</w:t>
      </w:r>
    </w:p>
    <w:p w14:paraId="29B9052E" w14:textId="3BC6D14B" w:rsidR="00507893" w:rsidRPr="003A0C5C" w:rsidRDefault="006711BC" w:rsidP="00957C8B">
      <w:pPr>
        <w:pStyle w:val="Heading3"/>
      </w:pPr>
      <w:bookmarkStart w:id="146" w:name="_Toc94184427"/>
      <w:bookmarkStart w:id="147" w:name="_Toc99527004"/>
      <w:bookmarkStart w:id="148" w:name="_Toc101792010"/>
      <w:r w:rsidRPr="003A0C5C">
        <w:t>Hazards and Hazardous Materials</w:t>
      </w:r>
      <w:bookmarkEnd w:id="146"/>
      <w:bookmarkEnd w:id="147"/>
      <w:bookmarkEnd w:id="148"/>
    </w:p>
    <w:p w14:paraId="6FB0955B" w14:textId="36403AC5" w:rsidR="002B062D" w:rsidRPr="003A0C5C" w:rsidRDefault="00AE2184" w:rsidP="002B062D">
      <w:pPr>
        <w:pStyle w:val="Bibliography"/>
      </w:pPr>
      <w:r w:rsidRPr="003A0C5C">
        <w:t>CAL FIRE (</w:t>
      </w:r>
      <w:r w:rsidR="002B062D" w:rsidRPr="003A0C5C">
        <w:t>California Department of Forestry and Fire Protectio</w:t>
      </w:r>
      <w:r w:rsidRPr="003A0C5C">
        <w:t>n</w:t>
      </w:r>
      <w:r w:rsidR="002B062D" w:rsidRPr="003A0C5C">
        <w:t>). 2022. FHSZ Viewer, https://egis.fire.ca.gov/FHSZ/, accessed April 25, 2022.</w:t>
      </w:r>
    </w:p>
    <w:p w14:paraId="42D9A0F8" w14:textId="0C4A98BC" w:rsidR="00F92AE1" w:rsidRPr="003A0C5C" w:rsidRDefault="006711BC" w:rsidP="00357172">
      <w:pPr>
        <w:pStyle w:val="Bibliography"/>
      </w:pPr>
      <w:r w:rsidRPr="003A0C5C">
        <w:t xml:space="preserve">City of Carson. </w:t>
      </w:r>
      <w:r w:rsidR="00914461" w:rsidRPr="003A0C5C">
        <w:t xml:space="preserve">2004. </w:t>
      </w:r>
      <w:r w:rsidRPr="003A0C5C">
        <w:rPr>
          <w:rStyle w:val="Italic"/>
          <w:i w:val="0"/>
          <w:iCs/>
        </w:rPr>
        <w:t>City of Carson General Plan</w:t>
      </w:r>
      <w:r w:rsidR="00B86758" w:rsidRPr="003A0C5C">
        <w:t>,</w:t>
      </w:r>
      <w:r w:rsidRPr="003A0C5C">
        <w:t xml:space="preserve"> Safety Element.</w:t>
      </w:r>
    </w:p>
    <w:p w14:paraId="066DE003" w14:textId="73FB9072" w:rsidR="00F92AE1" w:rsidRPr="003A0C5C" w:rsidRDefault="006711BC" w:rsidP="00357172">
      <w:pPr>
        <w:pStyle w:val="Bibliography"/>
      </w:pPr>
      <w:r w:rsidRPr="003A0C5C">
        <w:t>Los Angeles County Airport Land Use Commission. 200</w:t>
      </w:r>
      <w:r w:rsidR="00914461" w:rsidRPr="003A0C5C">
        <w:t>4</w:t>
      </w:r>
      <w:r w:rsidRPr="003A0C5C">
        <w:t xml:space="preserve">. </w:t>
      </w:r>
      <w:r w:rsidRPr="003A0C5C">
        <w:rPr>
          <w:rStyle w:val="Italic"/>
          <w:i w:val="0"/>
          <w:iCs/>
        </w:rPr>
        <w:t>Comprehensive Airport Land Use Plan</w:t>
      </w:r>
      <w:r w:rsidR="00914461" w:rsidRPr="003A0C5C">
        <w:t>,</w:t>
      </w:r>
      <w:r w:rsidRPr="003A0C5C">
        <w:t xml:space="preserve"> </w:t>
      </w:r>
      <w:r w:rsidR="00914461" w:rsidRPr="003A0C5C">
        <w:t xml:space="preserve">adopted </w:t>
      </w:r>
      <w:r w:rsidRPr="003A0C5C">
        <w:t>1991, revised 2004.</w:t>
      </w:r>
    </w:p>
    <w:p w14:paraId="6E2E5978" w14:textId="5935F7BC" w:rsidR="006711BC" w:rsidRPr="003A0C5C" w:rsidRDefault="00A964A8" w:rsidP="00957C8B">
      <w:pPr>
        <w:pStyle w:val="Heading3"/>
      </w:pPr>
      <w:bookmarkStart w:id="149" w:name="_Toc94184428"/>
      <w:bookmarkStart w:id="150" w:name="_Toc99527005"/>
      <w:bookmarkStart w:id="151" w:name="_Toc101792011"/>
      <w:r w:rsidRPr="003A0C5C">
        <w:t>Hydrology and Water Quality</w:t>
      </w:r>
      <w:bookmarkEnd w:id="149"/>
      <w:bookmarkEnd w:id="150"/>
      <w:bookmarkEnd w:id="151"/>
    </w:p>
    <w:p w14:paraId="0B92E64C" w14:textId="77777777" w:rsidR="004021DF" w:rsidRPr="003A0C5C" w:rsidRDefault="004021DF" w:rsidP="004021DF">
      <w:pPr>
        <w:pStyle w:val="Bibliography"/>
        <w:jc w:val="left"/>
        <w:rPr>
          <w:rStyle w:val="Hyperlink"/>
          <w:rFonts w:eastAsia="Times New Roman" w:cs="Times New Roman"/>
          <w:szCs w:val="22"/>
        </w:rPr>
      </w:pPr>
      <w:r w:rsidRPr="003A0C5C">
        <w:rPr>
          <w:rFonts w:eastAsia="Times New Roman" w:cs="Times New Roman"/>
          <w:szCs w:val="22"/>
        </w:rPr>
        <w:t>California Water Service. 2020. 2020 Urban Water Management Plan Dominguez District, California Water Service, June.</w:t>
      </w:r>
    </w:p>
    <w:p w14:paraId="2AF71988" w14:textId="41FF3E1E" w:rsidR="00A964A8" w:rsidRPr="003A0C5C" w:rsidRDefault="00A964A8" w:rsidP="00F37CBE">
      <w:pPr>
        <w:pStyle w:val="Bibliography"/>
        <w:rPr>
          <w:rStyle w:val="Hyperlink"/>
        </w:rPr>
      </w:pPr>
      <w:r w:rsidRPr="003A0C5C">
        <w:t xml:space="preserve">City of Carson. </w:t>
      </w:r>
      <w:r w:rsidR="00914461" w:rsidRPr="003A0C5C">
        <w:t xml:space="preserve">2004. </w:t>
      </w:r>
      <w:r w:rsidRPr="003A0C5C">
        <w:rPr>
          <w:rStyle w:val="Italic"/>
          <w:i w:val="0"/>
          <w:iCs/>
        </w:rPr>
        <w:t>City of Carson General Plan</w:t>
      </w:r>
      <w:r w:rsidRPr="003A0C5C">
        <w:rPr>
          <w:rStyle w:val="Hyperlink"/>
        </w:rPr>
        <w:t>.</w:t>
      </w:r>
    </w:p>
    <w:p w14:paraId="6F6494D7" w14:textId="04D3EB72" w:rsidR="00257DDE" w:rsidRPr="003A0C5C" w:rsidRDefault="00A17EE6" w:rsidP="009C66F7">
      <w:pPr>
        <w:pStyle w:val="Bibliography"/>
        <w:jc w:val="left"/>
        <w:rPr>
          <w:rStyle w:val="Hyperlink"/>
        </w:rPr>
      </w:pPr>
      <w:r w:rsidRPr="003A0C5C">
        <w:rPr>
          <w:rStyle w:val="Hyperlink"/>
        </w:rPr>
        <w:t>FEMA (</w:t>
      </w:r>
      <w:r w:rsidR="00A964A8" w:rsidRPr="003A0C5C">
        <w:rPr>
          <w:rStyle w:val="Hyperlink"/>
        </w:rPr>
        <w:t>Fede</w:t>
      </w:r>
      <w:r w:rsidRPr="003A0C5C">
        <w:rPr>
          <w:rStyle w:val="Hyperlink"/>
        </w:rPr>
        <w:t>ral Emergency Management Agency</w:t>
      </w:r>
      <w:r w:rsidR="00A964A8" w:rsidRPr="003A0C5C">
        <w:rPr>
          <w:rStyle w:val="Hyperlink"/>
        </w:rPr>
        <w:t xml:space="preserve">). 2020. FIRMETTE for </w:t>
      </w:r>
      <w:r w:rsidR="00964F6C" w:rsidRPr="003A0C5C">
        <w:rPr>
          <w:rStyle w:val="Hyperlink"/>
        </w:rPr>
        <w:t>21611 Perry Street, Carson, CA 90746</w:t>
      </w:r>
      <w:r w:rsidR="00A0585C" w:rsidRPr="003A0C5C">
        <w:rPr>
          <w:rStyle w:val="Hyperlink"/>
        </w:rPr>
        <w:t xml:space="preserve">, </w:t>
      </w:r>
      <w:hyperlink r:id="rId48" w:history="1">
        <w:r w:rsidR="00A0585C" w:rsidRPr="003A0C5C">
          <w:rPr>
            <w:rStyle w:val="Hyperlink"/>
          </w:rPr>
          <w:t>https://hazardsfema.maps.arcgis.com/apps/webappviewer/index.html?id=8b0adb51996444‌d4879338b5529aa9cd&amp;extent=-118.26116474264134,33.87484125518119,-118.2509938060566,33.8837484827554</w:t>
        </w:r>
      </w:hyperlink>
      <w:r w:rsidR="00BD6CC7" w:rsidRPr="003A0C5C">
        <w:rPr>
          <w:rStyle w:val="Hyperlink"/>
        </w:rPr>
        <w:t>, accessed</w:t>
      </w:r>
      <w:r w:rsidR="00A964A8" w:rsidRPr="003A0C5C">
        <w:rPr>
          <w:rStyle w:val="Hyperlink"/>
        </w:rPr>
        <w:t xml:space="preserve"> </w:t>
      </w:r>
      <w:r w:rsidR="001737CD" w:rsidRPr="003A0C5C">
        <w:rPr>
          <w:rStyle w:val="Hyperlink"/>
        </w:rPr>
        <w:t xml:space="preserve">December </w:t>
      </w:r>
      <w:r w:rsidR="00964F6C" w:rsidRPr="003A0C5C">
        <w:rPr>
          <w:rStyle w:val="Hyperlink"/>
        </w:rPr>
        <w:t>15</w:t>
      </w:r>
      <w:r w:rsidR="00A964A8" w:rsidRPr="003A0C5C">
        <w:rPr>
          <w:rStyle w:val="Hyperlink"/>
        </w:rPr>
        <w:t>, 202</w:t>
      </w:r>
      <w:r w:rsidR="00964F6C" w:rsidRPr="003A0C5C">
        <w:rPr>
          <w:rStyle w:val="Hyperlink"/>
        </w:rPr>
        <w:t>1</w:t>
      </w:r>
      <w:r w:rsidR="00A964A8" w:rsidRPr="003A0C5C">
        <w:rPr>
          <w:rStyle w:val="Hyperlink"/>
        </w:rPr>
        <w:t>.</w:t>
      </w:r>
    </w:p>
    <w:p w14:paraId="450869E4" w14:textId="26309421" w:rsidR="00CF17E1" w:rsidRPr="003A0C5C" w:rsidRDefault="00CF17E1" w:rsidP="009C66F7">
      <w:pPr>
        <w:pStyle w:val="Heading3"/>
      </w:pPr>
      <w:bookmarkStart w:id="152" w:name="_Toc94184429"/>
      <w:bookmarkStart w:id="153" w:name="_Toc99527006"/>
      <w:bookmarkStart w:id="154" w:name="_Toc101792012"/>
      <w:r w:rsidRPr="003A0C5C">
        <w:t>Land Use</w:t>
      </w:r>
      <w:bookmarkEnd w:id="152"/>
      <w:bookmarkEnd w:id="153"/>
      <w:bookmarkEnd w:id="154"/>
    </w:p>
    <w:p w14:paraId="29391947" w14:textId="45E7ABD8" w:rsidR="00CF17E1" w:rsidRPr="003A0C5C" w:rsidRDefault="00CF17E1" w:rsidP="00F37CBE">
      <w:pPr>
        <w:pStyle w:val="Bibliography"/>
      </w:pPr>
      <w:r w:rsidRPr="003A0C5C">
        <w:t xml:space="preserve">City of Carson. 2002. </w:t>
      </w:r>
      <w:r w:rsidRPr="003A0C5C">
        <w:rPr>
          <w:rStyle w:val="Italic"/>
          <w:i w:val="0"/>
          <w:iCs/>
        </w:rPr>
        <w:t>City of Carson General Plan Environmental Impact Report</w:t>
      </w:r>
      <w:r w:rsidRPr="003A0C5C">
        <w:t xml:space="preserve">. SCH </w:t>
      </w:r>
      <w:r w:rsidR="00FE7378" w:rsidRPr="003A0C5C">
        <w:t>N</w:t>
      </w:r>
      <w:r w:rsidRPr="003A0C5C">
        <w:t>o. 2001091120</w:t>
      </w:r>
      <w:r w:rsidR="00C34564" w:rsidRPr="003A0C5C">
        <w:t>, October</w:t>
      </w:r>
      <w:r w:rsidRPr="003A0C5C">
        <w:t xml:space="preserve">. </w:t>
      </w:r>
    </w:p>
    <w:p w14:paraId="4D0AC747" w14:textId="6F4097EB" w:rsidR="00B16F7A" w:rsidRPr="003A0C5C" w:rsidRDefault="00B16F7A" w:rsidP="00307BC9">
      <w:pPr>
        <w:pStyle w:val="Bibliography"/>
        <w:jc w:val="left"/>
      </w:pPr>
      <w:r w:rsidRPr="003A0C5C">
        <w:t xml:space="preserve">City of Carson. 2004. </w:t>
      </w:r>
      <w:r w:rsidRPr="003A0C5C">
        <w:rPr>
          <w:iCs/>
        </w:rPr>
        <w:t>City of Carson General Plan</w:t>
      </w:r>
      <w:r w:rsidRPr="003A0C5C">
        <w:t xml:space="preserve">. </w:t>
      </w:r>
    </w:p>
    <w:p w14:paraId="7A0FBE4D" w14:textId="4037781B" w:rsidR="00A964A8" w:rsidRPr="003A0C5C" w:rsidRDefault="001142E4" w:rsidP="00957C8B">
      <w:pPr>
        <w:pStyle w:val="Heading3"/>
      </w:pPr>
      <w:bookmarkStart w:id="155" w:name="_Toc94184430"/>
      <w:bookmarkStart w:id="156" w:name="_Toc99527007"/>
      <w:bookmarkStart w:id="157" w:name="_Toc101792013"/>
      <w:r w:rsidRPr="003A0C5C">
        <w:t>Minerals</w:t>
      </w:r>
      <w:bookmarkEnd w:id="155"/>
      <w:bookmarkEnd w:id="156"/>
      <w:bookmarkEnd w:id="157"/>
    </w:p>
    <w:p w14:paraId="315EAD4D" w14:textId="55DFE4B3" w:rsidR="00F92AE1" w:rsidRPr="003A0C5C" w:rsidRDefault="00A17EE6" w:rsidP="009C66F7">
      <w:pPr>
        <w:pStyle w:val="Bibliography"/>
        <w:jc w:val="left"/>
        <w:rPr>
          <w:spacing w:val="-2"/>
        </w:rPr>
      </w:pPr>
      <w:r w:rsidRPr="003A0C5C">
        <w:rPr>
          <w:spacing w:val="-2"/>
        </w:rPr>
        <w:t>CDC (</w:t>
      </w:r>
      <w:r w:rsidR="001142E4" w:rsidRPr="003A0C5C">
        <w:rPr>
          <w:spacing w:val="-2"/>
        </w:rPr>
        <w:t xml:space="preserve">California Department of Conservation, Division of Mines and Geology). </w:t>
      </w:r>
      <w:r w:rsidR="00B86758" w:rsidRPr="003A0C5C">
        <w:rPr>
          <w:spacing w:val="-2"/>
        </w:rPr>
        <w:t>2022</w:t>
      </w:r>
      <w:r w:rsidR="00FE2BC8" w:rsidRPr="003A0C5C">
        <w:rPr>
          <w:spacing w:val="-2"/>
        </w:rPr>
        <w:t xml:space="preserve">. </w:t>
      </w:r>
      <w:r w:rsidR="00B86758" w:rsidRPr="003A0C5C">
        <w:rPr>
          <w:spacing w:val="-2"/>
        </w:rPr>
        <w:t xml:space="preserve">CGS Information Warehouse: Mineral Land Classification, </w:t>
      </w:r>
      <w:hyperlink r:id="rId49" w:history="1">
        <w:r w:rsidR="00B86758" w:rsidRPr="003A0C5C">
          <w:rPr>
            <w:rStyle w:val="Hyperlink"/>
            <w:spacing w:val="-2"/>
          </w:rPr>
          <w:t>https://maps.conservation.ca.gov/cgs/informationwarehouse/mlc/</w:t>
        </w:r>
      </w:hyperlink>
      <w:r w:rsidR="00B86758" w:rsidRPr="003A0C5C">
        <w:rPr>
          <w:spacing w:val="-2"/>
        </w:rPr>
        <w:t>, accessed January 18, 2022.</w:t>
      </w:r>
    </w:p>
    <w:p w14:paraId="4A0B944D" w14:textId="0955927A" w:rsidR="00F92AE1" w:rsidRPr="003A0C5C" w:rsidRDefault="001142E4" w:rsidP="00F37CBE">
      <w:pPr>
        <w:pStyle w:val="Bibliography"/>
      </w:pPr>
      <w:r w:rsidRPr="003A0C5C">
        <w:t>City of Carson.</w:t>
      </w:r>
      <w:r w:rsidR="00FE2BC8" w:rsidRPr="003A0C5C">
        <w:t xml:space="preserve"> 2004.</w:t>
      </w:r>
      <w:r w:rsidRPr="003A0C5C">
        <w:t xml:space="preserve"> </w:t>
      </w:r>
      <w:r w:rsidRPr="003A0C5C">
        <w:rPr>
          <w:rStyle w:val="Italic"/>
          <w:i w:val="0"/>
          <w:iCs/>
        </w:rPr>
        <w:t>City of Carson General Plan</w:t>
      </w:r>
      <w:r w:rsidR="00B86758" w:rsidRPr="003A0C5C">
        <w:t>,</w:t>
      </w:r>
      <w:r w:rsidRPr="003A0C5C">
        <w:t xml:space="preserve"> Safety Element.</w:t>
      </w:r>
    </w:p>
    <w:p w14:paraId="7B2AC19A" w14:textId="49931F2C" w:rsidR="001D624B" w:rsidRPr="003A0C5C" w:rsidRDefault="001D624B" w:rsidP="001D624B">
      <w:pPr>
        <w:pStyle w:val="Bibliography"/>
      </w:pPr>
      <w:r w:rsidRPr="003A0C5C">
        <w:t xml:space="preserve">County of Los Angeles. 2015. Los Angeles County General Plan 2035, </w:t>
      </w:r>
      <w:r w:rsidRPr="003A0C5C">
        <w:rPr>
          <w:rStyle w:val="Italic"/>
          <w:i w:val="0"/>
          <w:iCs/>
        </w:rPr>
        <w:t>Figure 9.6, Mineral Resources</w:t>
      </w:r>
      <w:r w:rsidRPr="003A0C5C">
        <w:t>.</w:t>
      </w:r>
    </w:p>
    <w:p w14:paraId="0EC3116E" w14:textId="373BAF61" w:rsidR="00EC1D19" w:rsidRPr="003A0C5C" w:rsidRDefault="00EC1D19" w:rsidP="00957C8B">
      <w:pPr>
        <w:pStyle w:val="Heading3"/>
      </w:pPr>
      <w:bookmarkStart w:id="158" w:name="_Toc94184431"/>
      <w:bookmarkStart w:id="159" w:name="_Toc99527008"/>
      <w:bookmarkStart w:id="160" w:name="_Toc101792014"/>
      <w:r w:rsidRPr="003A0C5C">
        <w:t>Noise</w:t>
      </w:r>
      <w:bookmarkEnd w:id="158"/>
      <w:bookmarkEnd w:id="159"/>
      <w:bookmarkEnd w:id="160"/>
    </w:p>
    <w:p w14:paraId="4A409C6A" w14:textId="005FD57D" w:rsidR="00712E67" w:rsidRPr="003A0C5C" w:rsidRDefault="0043639E" w:rsidP="00060F65">
      <w:pPr>
        <w:pStyle w:val="Bibliography"/>
      </w:pPr>
      <w:r w:rsidRPr="003A0C5C">
        <w:t>ASHRAE (</w:t>
      </w:r>
      <w:r w:rsidR="00712E67" w:rsidRPr="003A0C5C">
        <w:t>America Society of Heating, Refrigerating and Air-Conditioning Engineers). 1999. Heating, Ventilating, and Air-Conditioning Applications.</w:t>
      </w:r>
    </w:p>
    <w:p w14:paraId="1ABDE280" w14:textId="582F1B2A" w:rsidR="00712E67" w:rsidRPr="003A0C5C" w:rsidRDefault="00712E67" w:rsidP="00060F65">
      <w:pPr>
        <w:pStyle w:val="Bibliography"/>
      </w:pPr>
      <w:r w:rsidRPr="003A0C5C">
        <w:t>Caltrans</w:t>
      </w:r>
      <w:r w:rsidR="007A0592" w:rsidRPr="003A0C5C">
        <w:t xml:space="preserve"> (California Department of Transportation)</w:t>
      </w:r>
      <w:r w:rsidRPr="003A0C5C">
        <w:t>. 2013</w:t>
      </w:r>
      <w:r w:rsidR="007A0592" w:rsidRPr="003A0C5C">
        <w:t>a</w:t>
      </w:r>
      <w:r w:rsidRPr="003A0C5C">
        <w:t xml:space="preserve">. </w:t>
      </w:r>
      <w:r w:rsidRPr="003A0C5C">
        <w:rPr>
          <w:rStyle w:val="Italic"/>
          <w:i w:val="0"/>
          <w:iCs/>
        </w:rPr>
        <w:t>Technical Noise Supplement to the Traffic Noise Analysis Protocol</w:t>
      </w:r>
      <w:r w:rsidRPr="003A0C5C">
        <w:t>, September.</w:t>
      </w:r>
    </w:p>
    <w:p w14:paraId="28141267" w14:textId="1F1C7A01" w:rsidR="007A0592" w:rsidRPr="003A0C5C" w:rsidRDefault="007A0592" w:rsidP="007A0592">
      <w:pPr>
        <w:pStyle w:val="Bibliography"/>
      </w:pPr>
      <w:r w:rsidRPr="003A0C5C">
        <w:t xml:space="preserve">Caltrans. 2013b. </w:t>
      </w:r>
      <w:r w:rsidRPr="003A0C5C">
        <w:rPr>
          <w:rStyle w:val="Italic"/>
          <w:i w:val="0"/>
          <w:iCs/>
        </w:rPr>
        <w:t>Transportation and Construction Vibration Guidance Manual</w:t>
      </w:r>
      <w:r w:rsidRPr="003A0C5C">
        <w:t xml:space="preserve">, September. </w:t>
      </w:r>
    </w:p>
    <w:p w14:paraId="01A70964" w14:textId="4BAD62CB" w:rsidR="00712E67" w:rsidRPr="003A0C5C" w:rsidRDefault="00712E67" w:rsidP="00060F65">
      <w:pPr>
        <w:pStyle w:val="Bibliography"/>
      </w:pPr>
      <w:r w:rsidRPr="003A0C5C">
        <w:t xml:space="preserve">City of Carson. 2002. </w:t>
      </w:r>
      <w:r w:rsidRPr="003A0C5C">
        <w:rPr>
          <w:rStyle w:val="Italic"/>
          <w:i w:val="0"/>
          <w:iCs/>
        </w:rPr>
        <w:t>City of Carson General Plan</w:t>
      </w:r>
      <w:r w:rsidRPr="003A0C5C">
        <w:t xml:space="preserve">. Noise Element. </w:t>
      </w:r>
    </w:p>
    <w:p w14:paraId="00200059" w14:textId="6DCC01BD" w:rsidR="00712E67" w:rsidRPr="003A0C5C" w:rsidRDefault="00712E67" w:rsidP="00313C31">
      <w:pPr>
        <w:pStyle w:val="Bibliography"/>
      </w:pPr>
      <w:r w:rsidRPr="003A0C5C">
        <w:t xml:space="preserve">City of Carson Municipal Code, </w:t>
      </w:r>
      <w:r w:rsidR="00CE4A3F" w:rsidRPr="003A0C5C">
        <w:t>A</w:t>
      </w:r>
      <w:r w:rsidRPr="003A0C5C">
        <w:t xml:space="preserve">rticle 5, </w:t>
      </w:r>
      <w:r w:rsidR="00CE4A3F" w:rsidRPr="003A0C5C">
        <w:t>C</w:t>
      </w:r>
      <w:r w:rsidRPr="003A0C5C">
        <w:t xml:space="preserve">hapter 5, Noise Control Ordinance. </w:t>
      </w:r>
      <w:hyperlink r:id="rId50" w:history="1">
        <w:r w:rsidRPr="003A0C5C">
          <w:rPr>
            <w:rStyle w:val="Hyperlink"/>
          </w:rPr>
          <w:t>https://www.codepublishing.com/CA/Carson/html/Carson05/Carson050500.html</w:t>
        </w:r>
      </w:hyperlink>
      <w:r w:rsidRPr="003A0C5C">
        <w:t xml:space="preserve">, accessed </w:t>
      </w:r>
      <w:r w:rsidR="0090570A" w:rsidRPr="003A0C5C">
        <w:t>January 18, 2022</w:t>
      </w:r>
      <w:r w:rsidRPr="003A0C5C">
        <w:t>.</w:t>
      </w:r>
    </w:p>
    <w:p w14:paraId="202A4FAF" w14:textId="6235752C" w:rsidR="00F37CBE" w:rsidRPr="003A0C5C" w:rsidRDefault="00F37CBE" w:rsidP="00F37CBE">
      <w:pPr>
        <w:pStyle w:val="Bibliography"/>
      </w:pPr>
      <w:r w:rsidRPr="003A0C5C">
        <w:t xml:space="preserve">Fehr &amp; Peers. 2022. </w:t>
      </w:r>
      <w:r w:rsidRPr="003A0C5C">
        <w:rPr>
          <w:iCs/>
        </w:rPr>
        <w:t>21611 South Perry Street Local Transportation Assessment</w:t>
      </w:r>
      <w:r w:rsidRPr="003A0C5C">
        <w:t xml:space="preserve">. January 18. </w:t>
      </w:r>
    </w:p>
    <w:p w14:paraId="43A926CA" w14:textId="3AC16B2D" w:rsidR="00712E67" w:rsidRPr="003A0C5C" w:rsidRDefault="00712E67" w:rsidP="00060F65">
      <w:pPr>
        <w:pStyle w:val="Bibliography"/>
      </w:pPr>
      <w:r w:rsidRPr="003A0C5C">
        <w:t>FHWA</w:t>
      </w:r>
      <w:r w:rsidR="00A20412" w:rsidRPr="003A0C5C">
        <w:t xml:space="preserve"> (Federal Highway Administration)</w:t>
      </w:r>
      <w:r w:rsidRPr="003A0C5C">
        <w:t xml:space="preserve">. 2018. </w:t>
      </w:r>
      <w:r w:rsidRPr="003A0C5C">
        <w:rPr>
          <w:rStyle w:val="Italic"/>
          <w:i w:val="0"/>
          <w:iCs/>
        </w:rPr>
        <w:t>Techniques for Reviewing Noise Analyses and Associated Noise Reports</w:t>
      </w:r>
      <w:r w:rsidRPr="003A0C5C">
        <w:t xml:space="preserve">, June 1. </w:t>
      </w:r>
    </w:p>
    <w:p w14:paraId="4B41ECEC" w14:textId="57F8E55C" w:rsidR="00712E67" w:rsidRPr="003A0C5C" w:rsidRDefault="00712E67" w:rsidP="00060F65">
      <w:pPr>
        <w:pStyle w:val="Bibliography"/>
      </w:pPr>
      <w:r w:rsidRPr="003A0C5C">
        <w:t xml:space="preserve">FTA (Federal Transit Administration). 2006. Transit Noise and Vibration Impact Assessment, May. </w:t>
      </w:r>
    </w:p>
    <w:p w14:paraId="3B2AF5E6" w14:textId="0E5A8BD0" w:rsidR="00712E67" w:rsidRPr="003A0C5C" w:rsidRDefault="00712E67" w:rsidP="00313C31">
      <w:pPr>
        <w:pStyle w:val="Bibliography"/>
      </w:pPr>
      <w:r w:rsidRPr="003A0C5C">
        <w:t>Los Angeles County Municipal Code</w:t>
      </w:r>
      <w:r w:rsidR="00FE7378" w:rsidRPr="003A0C5C">
        <w:t>. 2022.</w:t>
      </w:r>
      <w:r w:rsidRPr="003A0C5C">
        <w:t xml:space="preserve"> Noise Control Ordinance, </w:t>
      </w:r>
      <w:r w:rsidR="00CE4A3F" w:rsidRPr="003A0C5C">
        <w:t>T</w:t>
      </w:r>
      <w:r w:rsidRPr="003A0C5C">
        <w:t xml:space="preserve">itle 12, </w:t>
      </w:r>
      <w:r w:rsidR="00CE4A3F" w:rsidRPr="003A0C5C">
        <w:t>C</w:t>
      </w:r>
      <w:r w:rsidRPr="003A0C5C">
        <w:t xml:space="preserve">hapter 12.08. </w:t>
      </w:r>
      <w:hyperlink r:id="rId51" w:history="1">
        <w:r w:rsidRPr="003A0C5C">
          <w:rPr>
            <w:rStyle w:val="Hyperlink"/>
          </w:rPr>
          <w:t>https://library.municode.com/ca/los_angeles_county/codes/code_of_ordinances?nodeId=16274</w:t>
        </w:r>
      </w:hyperlink>
      <w:r w:rsidR="00673BCF" w:rsidRPr="003A0C5C">
        <w:rPr>
          <w:rStyle w:val="Hyperlink"/>
        </w:rPr>
        <w:t>, accessed April 25, 2022.</w:t>
      </w:r>
    </w:p>
    <w:p w14:paraId="00BFE3ED" w14:textId="5976BA96" w:rsidR="00712E67" w:rsidRPr="003A0C5C" w:rsidRDefault="00712E67" w:rsidP="00060F65">
      <w:pPr>
        <w:pStyle w:val="Bibliography"/>
      </w:pPr>
      <w:r w:rsidRPr="003A0C5C">
        <w:t xml:space="preserve">Office of Planning and Research. </w:t>
      </w:r>
      <w:r w:rsidR="00B86758" w:rsidRPr="003A0C5C">
        <w:t>2017</w:t>
      </w:r>
      <w:r w:rsidRPr="003A0C5C">
        <w:t xml:space="preserve">. </w:t>
      </w:r>
      <w:r w:rsidRPr="003A0C5C">
        <w:rPr>
          <w:iCs/>
        </w:rPr>
        <w:t>General Plan Guidelines</w:t>
      </w:r>
      <w:hyperlink w:history="1"/>
      <w:r w:rsidR="00060F65" w:rsidRPr="003A0C5C">
        <w:t>.</w:t>
      </w:r>
    </w:p>
    <w:p w14:paraId="6EBAA6C3" w14:textId="420739DF" w:rsidR="00945E8B" w:rsidRPr="003A0C5C" w:rsidRDefault="00945E8B" w:rsidP="00945E8B">
      <w:pPr>
        <w:pStyle w:val="Heading3"/>
      </w:pPr>
      <w:r w:rsidRPr="003A0C5C">
        <w:t>Population and Housing</w:t>
      </w:r>
    </w:p>
    <w:p w14:paraId="0892F9EA" w14:textId="5CE16B29" w:rsidR="00945E8B" w:rsidRPr="003A0C5C" w:rsidRDefault="00945E8B" w:rsidP="00945E8B">
      <w:pPr>
        <w:pStyle w:val="Bibliography"/>
      </w:pPr>
      <w:r w:rsidRPr="003A0C5C">
        <w:t xml:space="preserve">SCAG (Southern California Association of Governments). 2020. Connect SoCal: </w:t>
      </w:r>
      <w:r w:rsidRPr="003A0C5C">
        <w:rPr>
          <w:rStyle w:val="Italic"/>
          <w:i w:val="0"/>
          <w:iCs/>
        </w:rPr>
        <w:t>2020–2045 Regional Transportation Plan/Sustainable Communities Strategy</w:t>
      </w:r>
      <w:r w:rsidRPr="003A0C5C">
        <w:t xml:space="preserve">, </w:t>
      </w:r>
      <w:r w:rsidR="00E80221" w:rsidRPr="003A0C5C">
        <w:t xml:space="preserve">Demographics and Growth Forecast, </w:t>
      </w:r>
      <w:r w:rsidRPr="003A0C5C">
        <w:t>May.</w:t>
      </w:r>
    </w:p>
    <w:p w14:paraId="4DC5435E" w14:textId="23E07EA3" w:rsidR="00EC1D19" w:rsidRPr="003A0C5C" w:rsidRDefault="004B12A7" w:rsidP="00957C8B">
      <w:pPr>
        <w:pStyle w:val="Heading3"/>
      </w:pPr>
      <w:bookmarkStart w:id="161" w:name="_Toc94184432"/>
      <w:bookmarkStart w:id="162" w:name="_Toc99527009"/>
      <w:bookmarkStart w:id="163" w:name="_Toc101792015"/>
      <w:r w:rsidRPr="003A0C5C">
        <w:t>Public Services</w:t>
      </w:r>
      <w:bookmarkEnd w:id="161"/>
      <w:bookmarkEnd w:id="162"/>
      <w:bookmarkEnd w:id="163"/>
    </w:p>
    <w:p w14:paraId="3911F6A7" w14:textId="437FE115" w:rsidR="004B12A7" w:rsidRPr="003A0C5C" w:rsidRDefault="004B12A7" w:rsidP="00060F65">
      <w:pPr>
        <w:pStyle w:val="Bibliography"/>
        <w:rPr>
          <w:rStyle w:val="Hyperlink"/>
        </w:rPr>
      </w:pPr>
      <w:r w:rsidRPr="003A0C5C">
        <w:t xml:space="preserve">City of Carson. </w:t>
      </w:r>
      <w:r w:rsidR="00FA2E86" w:rsidRPr="003A0C5C">
        <w:t xml:space="preserve">2004. </w:t>
      </w:r>
      <w:r w:rsidRPr="003A0C5C">
        <w:rPr>
          <w:rStyle w:val="Italic"/>
          <w:i w:val="0"/>
          <w:iCs/>
        </w:rPr>
        <w:t>City of Carson General Plan</w:t>
      </w:r>
      <w:r w:rsidRPr="003A0C5C">
        <w:rPr>
          <w:rStyle w:val="Hyperlink"/>
        </w:rPr>
        <w:t>.</w:t>
      </w:r>
    </w:p>
    <w:p w14:paraId="41DC6B13" w14:textId="1BEAAD7C" w:rsidR="00F92AE1" w:rsidRPr="003A0C5C" w:rsidRDefault="00A17EE6" w:rsidP="00060F65">
      <w:pPr>
        <w:pStyle w:val="Bibliography"/>
        <w:rPr>
          <w:rStyle w:val="Hyperlink"/>
        </w:rPr>
      </w:pPr>
      <w:r w:rsidRPr="003A0C5C">
        <w:rPr>
          <w:rStyle w:val="Hyperlink"/>
        </w:rPr>
        <w:t>LACFD (</w:t>
      </w:r>
      <w:r w:rsidR="004B12A7" w:rsidRPr="003A0C5C">
        <w:rPr>
          <w:rStyle w:val="Hyperlink"/>
        </w:rPr>
        <w:t xml:space="preserve">Los </w:t>
      </w:r>
      <w:r w:rsidRPr="003A0C5C">
        <w:rPr>
          <w:rStyle w:val="Hyperlink"/>
        </w:rPr>
        <w:t>Angeles County Fire Department</w:t>
      </w:r>
      <w:r w:rsidR="004B12A7" w:rsidRPr="003A0C5C">
        <w:rPr>
          <w:rStyle w:val="Hyperlink"/>
        </w:rPr>
        <w:t>). 202</w:t>
      </w:r>
      <w:r w:rsidR="00646128" w:rsidRPr="003A0C5C">
        <w:rPr>
          <w:rStyle w:val="Hyperlink"/>
        </w:rPr>
        <w:t>2</w:t>
      </w:r>
      <w:r w:rsidR="004B12A7" w:rsidRPr="003A0C5C">
        <w:rPr>
          <w:rStyle w:val="Hyperlink"/>
        </w:rPr>
        <w:t>. Los Angeles County Fire Department – Station</w:t>
      </w:r>
      <w:r w:rsidR="00FA2E86" w:rsidRPr="003A0C5C">
        <w:rPr>
          <w:rStyle w:val="Hyperlink"/>
        </w:rPr>
        <w:t> </w:t>
      </w:r>
      <w:r w:rsidR="004B12A7" w:rsidRPr="003A0C5C">
        <w:rPr>
          <w:rStyle w:val="Hyperlink"/>
        </w:rPr>
        <w:t>1</w:t>
      </w:r>
      <w:r w:rsidR="00646128" w:rsidRPr="003A0C5C">
        <w:rPr>
          <w:rStyle w:val="Hyperlink"/>
        </w:rPr>
        <w:t>27</w:t>
      </w:r>
      <w:r w:rsidR="008A540A" w:rsidRPr="003A0C5C">
        <w:rPr>
          <w:rStyle w:val="Hyperlink"/>
        </w:rPr>
        <w:t>,</w:t>
      </w:r>
      <w:r w:rsidR="004B12A7" w:rsidRPr="003A0C5C">
        <w:rPr>
          <w:rStyle w:val="Hyperlink"/>
        </w:rPr>
        <w:t xml:space="preserve"> </w:t>
      </w:r>
      <w:r w:rsidR="00646128" w:rsidRPr="003A0C5C">
        <w:t>https://locator.lacounty.gov/fire/Location/3069582/los-angeles-county-fire-department---station-127</w:t>
      </w:r>
      <w:r w:rsidR="00BD6CC7" w:rsidRPr="003A0C5C">
        <w:rPr>
          <w:rStyle w:val="Hyperlink"/>
        </w:rPr>
        <w:t>, accessed</w:t>
      </w:r>
      <w:r w:rsidR="004B12A7" w:rsidRPr="003A0C5C">
        <w:rPr>
          <w:rStyle w:val="Hyperlink"/>
        </w:rPr>
        <w:t xml:space="preserve"> </w:t>
      </w:r>
      <w:r w:rsidR="00646128" w:rsidRPr="003A0C5C">
        <w:rPr>
          <w:rStyle w:val="Hyperlink"/>
        </w:rPr>
        <w:t>January</w:t>
      </w:r>
      <w:r w:rsidR="00733310" w:rsidRPr="003A0C5C">
        <w:rPr>
          <w:rStyle w:val="Hyperlink"/>
        </w:rPr>
        <w:t xml:space="preserve"> 18</w:t>
      </w:r>
      <w:r w:rsidR="004B12A7" w:rsidRPr="003A0C5C">
        <w:rPr>
          <w:rStyle w:val="Hyperlink"/>
        </w:rPr>
        <w:t>, 202</w:t>
      </w:r>
      <w:r w:rsidR="00646128" w:rsidRPr="003A0C5C">
        <w:rPr>
          <w:rStyle w:val="Hyperlink"/>
        </w:rPr>
        <w:t>2</w:t>
      </w:r>
      <w:r w:rsidR="004B12A7" w:rsidRPr="003A0C5C">
        <w:rPr>
          <w:rStyle w:val="Hyperlink"/>
        </w:rPr>
        <w:t>.</w:t>
      </w:r>
    </w:p>
    <w:p w14:paraId="549AD51B" w14:textId="0102D114" w:rsidR="004B12A7" w:rsidRPr="003A0C5C" w:rsidRDefault="00A17EE6" w:rsidP="00060F65">
      <w:pPr>
        <w:pStyle w:val="Bibliography"/>
      </w:pPr>
      <w:r w:rsidRPr="003A0C5C">
        <w:rPr>
          <w:rStyle w:val="Hyperlink"/>
        </w:rPr>
        <w:t>LASD (</w:t>
      </w:r>
      <w:r w:rsidR="004B12A7" w:rsidRPr="003A0C5C">
        <w:rPr>
          <w:rStyle w:val="Hyperlink"/>
        </w:rPr>
        <w:t>Los Angel</w:t>
      </w:r>
      <w:r w:rsidRPr="003A0C5C">
        <w:rPr>
          <w:rStyle w:val="Hyperlink"/>
        </w:rPr>
        <w:t>es County Sheriff</w:t>
      </w:r>
      <w:r w:rsidR="00D678AB" w:rsidRPr="003A0C5C">
        <w:rPr>
          <w:rStyle w:val="Hyperlink"/>
        </w:rPr>
        <w:t>’</w:t>
      </w:r>
      <w:r w:rsidRPr="003A0C5C">
        <w:rPr>
          <w:rStyle w:val="Hyperlink"/>
        </w:rPr>
        <w:t>s Department</w:t>
      </w:r>
      <w:r w:rsidR="004B12A7" w:rsidRPr="003A0C5C">
        <w:rPr>
          <w:rStyle w:val="Hyperlink"/>
        </w:rPr>
        <w:t xml:space="preserve">). </w:t>
      </w:r>
      <w:r w:rsidR="00F56BC0" w:rsidRPr="003A0C5C">
        <w:rPr>
          <w:rStyle w:val="Hyperlink"/>
        </w:rPr>
        <w:t>2022</w:t>
      </w:r>
      <w:r w:rsidR="004B12A7" w:rsidRPr="003A0C5C">
        <w:rPr>
          <w:rStyle w:val="Hyperlink"/>
        </w:rPr>
        <w:t>. Station Finder</w:t>
      </w:r>
      <w:r w:rsidR="00343009" w:rsidRPr="003A0C5C">
        <w:rPr>
          <w:rStyle w:val="Hyperlink"/>
        </w:rPr>
        <w:t>,</w:t>
      </w:r>
      <w:r w:rsidR="004B12A7" w:rsidRPr="003A0C5C">
        <w:rPr>
          <w:rStyle w:val="Hyperlink"/>
        </w:rPr>
        <w:t xml:space="preserve"> </w:t>
      </w:r>
      <w:hyperlink r:id="rId52" w:history="1">
        <w:r w:rsidR="004B12A7" w:rsidRPr="003A0C5C">
          <w:rPr>
            <w:rStyle w:val="Hyperlink"/>
          </w:rPr>
          <w:t>https://lasd.org/stations/</w:t>
        </w:r>
      </w:hyperlink>
      <w:r w:rsidR="00BD6CC7" w:rsidRPr="003A0C5C">
        <w:rPr>
          <w:rStyle w:val="Hyperlink"/>
        </w:rPr>
        <w:t>, accessed</w:t>
      </w:r>
      <w:r w:rsidR="004B12A7" w:rsidRPr="003A0C5C">
        <w:rPr>
          <w:rStyle w:val="Hyperlink"/>
        </w:rPr>
        <w:t xml:space="preserve"> </w:t>
      </w:r>
      <w:r w:rsidR="00346B95" w:rsidRPr="003A0C5C">
        <w:rPr>
          <w:rStyle w:val="Hyperlink"/>
        </w:rPr>
        <w:t>April 25, 2022</w:t>
      </w:r>
      <w:r w:rsidR="004B12A7" w:rsidRPr="003A0C5C">
        <w:rPr>
          <w:rStyle w:val="Hyperlink"/>
        </w:rPr>
        <w:t>.</w:t>
      </w:r>
    </w:p>
    <w:p w14:paraId="0C9BAE31" w14:textId="2E44EFED" w:rsidR="004B12A7" w:rsidRPr="003A0C5C" w:rsidRDefault="004B12A7" w:rsidP="00957C8B">
      <w:pPr>
        <w:pStyle w:val="Heading3"/>
      </w:pPr>
      <w:bookmarkStart w:id="164" w:name="_Toc94184433"/>
      <w:bookmarkStart w:id="165" w:name="_Toc99527010"/>
      <w:bookmarkStart w:id="166" w:name="_Toc101792016"/>
      <w:r w:rsidRPr="003A0C5C">
        <w:t>Transportation</w:t>
      </w:r>
      <w:bookmarkEnd w:id="164"/>
      <w:bookmarkEnd w:id="165"/>
      <w:bookmarkEnd w:id="166"/>
    </w:p>
    <w:p w14:paraId="7CD7DFC8" w14:textId="5713E7A7" w:rsidR="004944F3" w:rsidRPr="003A0C5C" w:rsidRDefault="004944F3" w:rsidP="00307BC9">
      <w:pPr>
        <w:pStyle w:val="Bibliography"/>
        <w:jc w:val="left"/>
      </w:pPr>
      <w:r w:rsidRPr="003A0C5C">
        <w:t xml:space="preserve">City of Carson. 2013. </w:t>
      </w:r>
      <w:r w:rsidRPr="003A0C5C">
        <w:rPr>
          <w:iCs/>
        </w:rPr>
        <w:t>Carson Master Plan of Bikeways</w:t>
      </w:r>
      <w:r w:rsidR="00343009" w:rsidRPr="003A0C5C">
        <w:t>,</w:t>
      </w:r>
      <w:r w:rsidRPr="003A0C5C">
        <w:t xml:space="preserve"> August. </w:t>
      </w:r>
    </w:p>
    <w:p w14:paraId="01A9C2F9" w14:textId="1CF75E3B" w:rsidR="00B47915" w:rsidRPr="003A0C5C" w:rsidRDefault="00B47915" w:rsidP="00060F65">
      <w:pPr>
        <w:pStyle w:val="Bibliography"/>
      </w:pPr>
      <w:r w:rsidRPr="003A0C5C">
        <w:t xml:space="preserve">City of Carson. 2004. </w:t>
      </w:r>
      <w:r w:rsidR="00FE7378" w:rsidRPr="003A0C5C">
        <w:t xml:space="preserve">City of Carson </w:t>
      </w:r>
      <w:r w:rsidRPr="003A0C5C">
        <w:rPr>
          <w:iCs/>
        </w:rPr>
        <w:t>General Plan, Chapter 4 Transportation and Infrastructure Element</w:t>
      </w:r>
      <w:r w:rsidRPr="003A0C5C">
        <w:t xml:space="preserve">. </w:t>
      </w:r>
    </w:p>
    <w:p w14:paraId="5BDB06C3" w14:textId="5062DF76" w:rsidR="00F92AE1" w:rsidRPr="003A0C5C" w:rsidRDefault="004B12A7" w:rsidP="00307BC9">
      <w:pPr>
        <w:pStyle w:val="Bibliography"/>
        <w:jc w:val="left"/>
      </w:pPr>
      <w:r w:rsidRPr="003A0C5C">
        <w:t>Metro</w:t>
      </w:r>
      <w:r w:rsidR="00343009" w:rsidRPr="003A0C5C">
        <w:t xml:space="preserve"> (</w:t>
      </w:r>
      <w:r w:rsidR="00343009" w:rsidRPr="003A0C5C">
        <w:rPr>
          <w:lang w:eastAsia="ko-KR"/>
        </w:rPr>
        <w:t>Los Angeles Metropolitan Transportation Authority)</w:t>
      </w:r>
      <w:r w:rsidR="00FA2E86" w:rsidRPr="003A0C5C">
        <w:t>.</w:t>
      </w:r>
      <w:r w:rsidRPr="003A0C5C">
        <w:t xml:space="preserve"> 201</w:t>
      </w:r>
      <w:r w:rsidR="00AE79EE" w:rsidRPr="003A0C5C">
        <w:t>6</w:t>
      </w:r>
      <w:r w:rsidRPr="003A0C5C">
        <w:t xml:space="preserve">. </w:t>
      </w:r>
      <w:r w:rsidRPr="003A0C5C">
        <w:rPr>
          <w:rStyle w:val="Italic"/>
          <w:i w:val="0"/>
          <w:iCs/>
        </w:rPr>
        <w:t>Active Transportation Strategic Plan</w:t>
      </w:r>
      <w:r w:rsidRPr="003A0C5C">
        <w:t>.</w:t>
      </w:r>
    </w:p>
    <w:p w14:paraId="76265327" w14:textId="580F87A1" w:rsidR="00A17EE6" w:rsidRPr="003A0C5C" w:rsidRDefault="00887DD6" w:rsidP="00060F65">
      <w:pPr>
        <w:pStyle w:val="Bibliography"/>
      </w:pPr>
      <w:r w:rsidRPr="003A0C5C">
        <w:t xml:space="preserve">Fehr &amp; Peers. 2022. </w:t>
      </w:r>
      <w:r w:rsidRPr="003A0C5C">
        <w:rPr>
          <w:iCs/>
        </w:rPr>
        <w:t>21611 South Perry Street Local Transportation Assessment</w:t>
      </w:r>
      <w:r w:rsidR="00343009" w:rsidRPr="003A0C5C">
        <w:rPr>
          <w:iCs/>
        </w:rPr>
        <w:t>,</w:t>
      </w:r>
      <w:r w:rsidRPr="003A0C5C">
        <w:t xml:space="preserve"> January 18. </w:t>
      </w:r>
    </w:p>
    <w:p w14:paraId="5A116648" w14:textId="73D468F0" w:rsidR="00887DD6" w:rsidRPr="003A0C5C" w:rsidRDefault="00887DD6" w:rsidP="00060F65">
      <w:pPr>
        <w:pStyle w:val="Bibliography"/>
      </w:pPr>
      <w:r w:rsidRPr="003A0C5C">
        <w:t xml:space="preserve">Office of Planning and Research. 2018. </w:t>
      </w:r>
      <w:r w:rsidRPr="003A0C5C">
        <w:rPr>
          <w:iCs/>
        </w:rPr>
        <w:t>Technical Advisory on Evaluating Transportation Impacts in CEQA</w:t>
      </w:r>
      <w:r w:rsidR="003B45D3" w:rsidRPr="003A0C5C">
        <w:t>,</w:t>
      </w:r>
      <w:r w:rsidRPr="003A0C5C">
        <w:t xml:space="preserve"> December.</w:t>
      </w:r>
    </w:p>
    <w:p w14:paraId="7FA6035A" w14:textId="7C9F4B64" w:rsidR="008F3D17" w:rsidRPr="003A0C5C" w:rsidRDefault="008F3D17" w:rsidP="00957C8B">
      <w:pPr>
        <w:pStyle w:val="Heading3"/>
      </w:pPr>
      <w:bookmarkStart w:id="167" w:name="_Toc94184434"/>
      <w:bookmarkStart w:id="168" w:name="_Toc99527011"/>
      <w:bookmarkStart w:id="169" w:name="_Toc101792017"/>
      <w:r w:rsidRPr="003A0C5C">
        <w:t>Utilities and Service Systems</w:t>
      </w:r>
      <w:bookmarkEnd w:id="167"/>
      <w:bookmarkEnd w:id="168"/>
      <w:bookmarkEnd w:id="169"/>
    </w:p>
    <w:p w14:paraId="7A7F676F" w14:textId="1C0BC66B" w:rsidR="00F25C65" w:rsidRPr="003A0C5C" w:rsidRDefault="00F25C65" w:rsidP="00F25C65">
      <w:pPr>
        <w:pStyle w:val="Bibliography"/>
        <w:rPr>
          <w:szCs w:val="22"/>
        </w:rPr>
      </w:pPr>
      <w:proofErr w:type="spellStart"/>
      <w:r w:rsidRPr="003A0C5C">
        <w:rPr>
          <w:szCs w:val="22"/>
        </w:rPr>
        <w:t>CalRecycle</w:t>
      </w:r>
      <w:proofErr w:type="spellEnd"/>
      <w:r w:rsidRPr="003A0C5C">
        <w:rPr>
          <w:szCs w:val="22"/>
        </w:rPr>
        <w:t xml:space="preserve"> (California Department of Resources Recycling and Recovery). 2022</w:t>
      </w:r>
      <w:r w:rsidR="00B57EBB" w:rsidRPr="003A0C5C">
        <w:rPr>
          <w:szCs w:val="22"/>
        </w:rPr>
        <w:t>.</w:t>
      </w:r>
      <w:r w:rsidRPr="003A0C5C">
        <w:rPr>
          <w:szCs w:val="22"/>
        </w:rPr>
        <w:t xml:space="preserve"> SWIS Facility/Site Data Exports</w:t>
      </w:r>
      <w:r w:rsidR="00B57EBB" w:rsidRPr="003A0C5C">
        <w:rPr>
          <w:szCs w:val="22"/>
        </w:rPr>
        <w:t>,</w:t>
      </w:r>
      <w:r w:rsidRPr="003A0C5C">
        <w:rPr>
          <w:szCs w:val="22"/>
        </w:rPr>
        <w:t> </w:t>
      </w:r>
      <w:hyperlink r:id="rId53" w:tgtFrame="_blank" w:history="1">
        <w:r w:rsidRPr="003A0C5C">
          <w:rPr>
            <w:rStyle w:val="Hyperlink"/>
            <w:szCs w:val="22"/>
          </w:rPr>
          <w:t>https://www2.calrecycle.ca.gov/SolidWaste/Site/DataExport</w:t>
        </w:r>
      </w:hyperlink>
      <w:r w:rsidRPr="003A0C5C">
        <w:rPr>
          <w:szCs w:val="22"/>
        </w:rPr>
        <w:t xml:space="preserve">, accessed </w:t>
      </w:r>
      <w:r w:rsidR="008C02A4" w:rsidRPr="003A0C5C">
        <w:rPr>
          <w:szCs w:val="22"/>
        </w:rPr>
        <w:t>April 25, 2022</w:t>
      </w:r>
      <w:r w:rsidRPr="003A0C5C">
        <w:rPr>
          <w:szCs w:val="22"/>
        </w:rPr>
        <w:t>.</w:t>
      </w:r>
    </w:p>
    <w:p w14:paraId="4E8B736B" w14:textId="0697137E" w:rsidR="00D150DC" w:rsidRPr="003A0C5C" w:rsidRDefault="00D150DC" w:rsidP="00307BC9">
      <w:pPr>
        <w:pStyle w:val="Bibliography"/>
        <w:jc w:val="left"/>
        <w:rPr>
          <w:rFonts w:eastAsia="Times New Roman" w:cs="Times New Roman"/>
          <w:szCs w:val="22"/>
        </w:rPr>
      </w:pPr>
      <w:r w:rsidRPr="003A0C5C">
        <w:rPr>
          <w:rFonts w:eastAsia="Times New Roman" w:cs="Times New Roman"/>
          <w:szCs w:val="22"/>
        </w:rPr>
        <w:t xml:space="preserve">California Water Service. </w:t>
      </w:r>
      <w:r w:rsidR="00B57EBB" w:rsidRPr="003A0C5C">
        <w:rPr>
          <w:rFonts w:eastAsia="Times New Roman" w:cs="Times New Roman"/>
          <w:szCs w:val="22"/>
        </w:rPr>
        <w:t xml:space="preserve">2020. </w:t>
      </w:r>
      <w:r w:rsidRPr="003A0C5C">
        <w:rPr>
          <w:rFonts w:eastAsia="Times New Roman" w:cs="Times New Roman"/>
          <w:szCs w:val="22"/>
        </w:rPr>
        <w:t>2020 Urban Water Management Plan Dominguez District</w:t>
      </w:r>
      <w:r w:rsidR="003B45D3" w:rsidRPr="003A0C5C">
        <w:rPr>
          <w:rFonts w:eastAsia="Times New Roman" w:cs="Times New Roman"/>
          <w:szCs w:val="22"/>
        </w:rPr>
        <w:t>,</w:t>
      </w:r>
      <w:r w:rsidRPr="003A0C5C">
        <w:rPr>
          <w:rFonts w:eastAsia="Times New Roman" w:cs="Times New Roman"/>
          <w:szCs w:val="22"/>
        </w:rPr>
        <w:t xml:space="preserve"> California Water Service, June</w:t>
      </w:r>
      <w:r w:rsidR="000A76A3" w:rsidRPr="003A0C5C">
        <w:rPr>
          <w:rFonts w:eastAsia="Times New Roman" w:cs="Times New Roman"/>
          <w:szCs w:val="22"/>
        </w:rPr>
        <w:t>.</w:t>
      </w:r>
    </w:p>
    <w:p w14:paraId="372F6B40" w14:textId="501D2853" w:rsidR="008F3D17" w:rsidRPr="003A0C5C" w:rsidRDefault="008F3D17" w:rsidP="00060F65">
      <w:pPr>
        <w:pStyle w:val="Bibliography"/>
        <w:rPr>
          <w:szCs w:val="22"/>
        </w:rPr>
      </w:pPr>
      <w:r w:rsidRPr="003A0C5C">
        <w:rPr>
          <w:szCs w:val="22"/>
        </w:rPr>
        <w:t xml:space="preserve">County of Los Angeles. 2020. </w:t>
      </w:r>
      <w:r w:rsidRPr="003A0C5C">
        <w:rPr>
          <w:rStyle w:val="Italic"/>
          <w:i w:val="0"/>
          <w:iCs/>
          <w:szCs w:val="22"/>
        </w:rPr>
        <w:t>2019 Annual Report – Los Angeles County Countywide Integrated Waste Management Plan</w:t>
      </w:r>
      <w:r w:rsidR="006809F1" w:rsidRPr="003A0C5C">
        <w:rPr>
          <w:szCs w:val="22"/>
        </w:rPr>
        <w:t>, September</w:t>
      </w:r>
      <w:r w:rsidRPr="003A0C5C">
        <w:rPr>
          <w:szCs w:val="22"/>
        </w:rPr>
        <w:t>.</w:t>
      </w:r>
    </w:p>
    <w:p w14:paraId="3281F9B0" w14:textId="0A99FAAC" w:rsidR="00D150DC" w:rsidRPr="003A0C5C" w:rsidRDefault="00D150DC" w:rsidP="00F25C65">
      <w:pPr>
        <w:pStyle w:val="Bibliography"/>
        <w:rPr>
          <w:rFonts w:eastAsia="Times New Roman" w:cs="Times New Roman"/>
          <w:szCs w:val="22"/>
        </w:rPr>
      </w:pPr>
      <w:r w:rsidRPr="003A0C5C">
        <w:rPr>
          <w:rFonts w:eastAsia="Times New Roman" w:cs="Times New Roman"/>
          <w:szCs w:val="22"/>
        </w:rPr>
        <w:t xml:space="preserve">LACSD (Los Angeles County Sanitation Districts). </w:t>
      </w:r>
      <w:r w:rsidR="00B57EBB" w:rsidRPr="003A0C5C">
        <w:rPr>
          <w:rFonts w:eastAsia="Times New Roman" w:cs="Times New Roman"/>
          <w:szCs w:val="22"/>
        </w:rPr>
        <w:t xml:space="preserve">2022. </w:t>
      </w:r>
      <w:r w:rsidRPr="003A0C5C">
        <w:rPr>
          <w:rFonts w:eastAsia="Times New Roman" w:cs="Times New Roman"/>
          <w:szCs w:val="22"/>
        </w:rPr>
        <w:t xml:space="preserve">Wastewater Treatment Process at JWPCP, </w:t>
      </w:r>
      <w:hyperlink r:id="rId54" w:history="1">
        <w:r w:rsidR="000A76A3" w:rsidRPr="003A0C5C">
          <w:rPr>
            <w:rStyle w:val="Hyperlink"/>
            <w:rFonts w:eastAsia="Times New Roman" w:cs="Times New Roman"/>
            <w:szCs w:val="22"/>
          </w:rPr>
          <w:t>www.lacsd.org/services/wastewater-sewage/facilities/joint-water-pollution-control-plant/wastewater-treatment-process-at-jwpcp</w:t>
        </w:r>
      </w:hyperlink>
      <w:r w:rsidR="000A76A3" w:rsidRPr="003A0C5C">
        <w:rPr>
          <w:rFonts w:eastAsia="Times New Roman" w:cs="Times New Roman"/>
          <w:szCs w:val="22"/>
        </w:rPr>
        <w:t xml:space="preserve">, accessed </w:t>
      </w:r>
      <w:r w:rsidR="00B57EBB" w:rsidRPr="003A0C5C">
        <w:rPr>
          <w:rFonts w:eastAsia="Times New Roman" w:cs="Times New Roman"/>
          <w:szCs w:val="22"/>
        </w:rPr>
        <w:t>April 25, 2022</w:t>
      </w:r>
      <w:r w:rsidR="000A76A3" w:rsidRPr="003A0C5C">
        <w:rPr>
          <w:rFonts w:eastAsia="Times New Roman" w:cs="Times New Roman"/>
          <w:szCs w:val="22"/>
        </w:rPr>
        <w:t>.</w:t>
      </w:r>
      <w:r w:rsidRPr="003A0C5C">
        <w:rPr>
          <w:rFonts w:eastAsia="Times New Roman" w:cs="Times New Roman"/>
          <w:szCs w:val="22"/>
        </w:rPr>
        <w:t xml:space="preserve"> </w:t>
      </w:r>
    </w:p>
    <w:p w14:paraId="3FB6E541" w14:textId="02C5F1EF" w:rsidR="008F3D17" w:rsidRPr="003A0C5C" w:rsidRDefault="00C87ED8" w:rsidP="00957C8B">
      <w:pPr>
        <w:pStyle w:val="Heading3"/>
      </w:pPr>
      <w:bookmarkStart w:id="170" w:name="_Toc94184435"/>
      <w:bookmarkStart w:id="171" w:name="_Toc99527012"/>
      <w:bookmarkStart w:id="172" w:name="_Toc101792018"/>
      <w:r w:rsidRPr="003A0C5C">
        <w:t>Wildfire</w:t>
      </w:r>
      <w:bookmarkEnd w:id="170"/>
      <w:bookmarkEnd w:id="171"/>
      <w:bookmarkEnd w:id="172"/>
    </w:p>
    <w:p w14:paraId="48FA64EB" w14:textId="608E907B" w:rsidR="00F92AE1" w:rsidRPr="003A0C5C" w:rsidRDefault="00A17EE6" w:rsidP="00060F65">
      <w:pPr>
        <w:pStyle w:val="Bibliography"/>
      </w:pPr>
      <w:r w:rsidRPr="003A0C5C">
        <w:t>CAL FIRE (</w:t>
      </w:r>
      <w:r w:rsidR="00C87ED8" w:rsidRPr="003A0C5C">
        <w:t>California Department o</w:t>
      </w:r>
      <w:r w:rsidRPr="003A0C5C">
        <w:t>f Forestry and Fire Protection</w:t>
      </w:r>
      <w:r w:rsidR="00C87ED8" w:rsidRPr="003A0C5C">
        <w:t xml:space="preserve">). </w:t>
      </w:r>
      <w:r w:rsidR="002D78A5" w:rsidRPr="003A0C5C">
        <w:t>2022</w:t>
      </w:r>
      <w:r w:rsidR="00C87ED8" w:rsidRPr="003A0C5C">
        <w:t xml:space="preserve">. </w:t>
      </w:r>
      <w:r w:rsidR="002D78A5" w:rsidRPr="003A0C5C">
        <w:t>FHSZ Viewer</w:t>
      </w:r>
      <w:r w:rsidR="003B45D3" w:rsidRPr="003A0C5C">
        <w:t>,</w:t>
      </w:r>
      <w:r w:rsidR="00C87ED8" w:rsidRPr="003A0C5C">
        <w:t xml:space="preserve"> </w:t>
      </w:r>
      <w:r w:rsidR="002D78A5" w:rsidRPr="003A0C5C">
        <w:t>https://egis.fire.ca.gov/FHSZ/</w:t>
      </w:r>
      <w:r w:rsidR="00BD6CC7" w:rsidRPr="003A0C5C">
        <w:t>, accessed</w:t>
      </w:r>
      <w:r w:rsidR="006809F1" w:rsidRPr="003A0C5C">
        <w:t xml:space="preserve"> </w:t>
      </w:r>
      <w:r w:rsidR="002D78A5" w:rsidRPr="003A0C5C">
        <w:t>April 25, 2022</w:t>
      </w:r>
      <w:r w:rsidR="00C87ED8" w:rsidRPr="003A0C5C">
        <w:t>.</w:t>
      </w:r>
    </w:p>
    <w:p w14:paraId="618F0505" w14:textId="5849A350" w:rsidR="00F92AE1" w:rsidRPr="003A0C5C" w:rsidRDefault="00C87ED8" w:rsidP="00060F65">
      <w:pPr>
        <w:pStyle w:val="Bibliography"/>
      </w:pPr>
      <w:r w:rsidRPr="003A0C5C">
        <w:t xml:space="preserve">City of Carson. </w:t>
      </w:r>
      <w:r w:rsidR="006809F1" w:rsidRPr="003A0C5C">
        <w:t xml:space="preserve">2004. </w:t>
      </w:r>
      <w:r w:rsidRPr="003A0C5C">
        <w:rPr>
          <w:rStyle w:val="Italic"/>
          <w:i w:val="0"/>
          <w:iCs/>
        </w:rPr>
        <w:t>City of Carson General Plan</w:t>
      </w:r>
      <w:r w:rsidR="003B45D3" w:rsidRPr="003A0C5C">
        <w:t>,</w:t>
      </w:r>
      <w:r w:rsidRPr="003A0C5C">
        <w:t xml:space="preserve"> Safety Element.</w:t>
      </w:r>
    </w:p>
    <w:p w14:paraId="52E6F243" w14:textId="6F00E33B" w:rsidR="00C87ED8" w:rsidRPr="003A0C5C" w:rsidRDefault="00C87ED8" w:rsidP="009C66F7">
      <w:pPr>
        <w:pStyle w:val="Bibliography"/>
      </w:pPr>
      <w:r w:rsidRPr="003A0C5C">
        <w:t xml:space="preserve">City of Carson. </w:t>
      </w:r>
      <w:r w:rsidR="006809F1" w:rsidRPr="003A0C5C">
        <w:t xml:space="preserve">2002. </w:t>
      </w:r>
      <w:r w:rsidR="00C34564" w:rsidRPr="003A0C5C">
        <w:rPr>
          <w:rStyle w:val="Italic"/>
          <w:i w:val="0"/>
          <w:iCs/>
        </w:rPr>
        <w:t>City of Carson General Plan Environmental Impact Report</w:t>
      </w:r>
      <w:r w:rsidR="00C34564" w:rsidRPr="003A0C5C">
        <w:t xml:space="preserve">. SCH </w:t>
      </w:r>
      <w:r w:rsidR="00FE7378" w:rsidRPr="003A0C5C">
        <w:t>N</w:t>
      </w:r>
      <w:r w:rsidR="00C34564" w:rsidRPr="003A0C5C">
        <w:t>o. 2001091120, October</w:t>
      </w:r>
      <w:r w:rsidRPr="003A0C5C">
        <w:t>.</w:t>
      </w:r>
    </w:p>
    <w:sectPr w:rsidR="00C87ED8" w:rsidRPr="003A0C5C" w:rsidSect="008B0DDC">
      <w:headerReference w:type="even" r:id="rId55"/>
      <w:headerReference w:type="default" r:id="rId56"/>
      <w:type w:val="oddPage"/>
      <w:pgSz w:w="12240" w:h="15840" w:code="1"/>
      <w:pgMar w:top="1440" w:right="1800" w:bottom="1440" w:left="180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E6E7F" w14:textId="77777777" w:rsidR="00D80B89" w:rsidRDefault="00D80B89" w:rsidP="00907E03">
      <w:r>
        <w:separator/>
      </w:r>
    </w:p>
  </w:endnote>
  <w:endnote w:type="continuationSeparator" w:id="0">
    <w:p w14:paraId="34422648" w14:textId="77777777" w:rsidR="00D80B89" w:rsidRDefault="00D80B89" w:rsidP="00907E03">
      <w:r>
        <w:continuationSeparator/>
      </w:r>
    </w:p>
  </w:endnote>
  <w:endnote w:type="continuationNotice" w:id="1">
    <w:p w14:paraId="06B6F84F" w14:textId="77777777" w:rsidR="00D80B89" w:rsidRDefault="00D80B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2000509000000000000"/>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7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panose1 w:val="020B0604020202020204"/>
    <w:charset w:val="00"/>
    <w:family w:val="swiss"/>
    <w:notTrueType/>
    <w:pitch w:val="variable"/>
    <w:sig w:usb0="800000AF" w:usb1="4000204A" w:usb2="00000000" w:usb3="00000000" w:csb0="00000001" w:csb1="00000000"/>
  </w:font>
  <w:font w:name="HelveticaNeueLT Std Thin">
    <w:panose1 w:val="020B0403020202020204"/>
    <w:charset w:val="00"/>
    <w:family w:val="swiss"/>
    <w:notTrueType/>
    <w:pitch w:val="variable"/>
    <w:sig w:usb0="800000AF" w:usb1="4000204A" w:usb2="00000000" w:usb3="00000000" w:csb0="00000001" w:csb1="00000000"/>
  </w:font>
  <w:font w:name="Helvetica 25 UltraLight">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E238F" w14:textId="77777777" w:rsidR="00D80B89" w:rsidRPr="00843ABA" w:rsidRDefault="00D80B89" w:rsidP="00843AB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7CC68" w14:textId="2A3689F0" w:rsidR="00D80B89" w:rsidRPr="00133AD7" w:rsidRDefault="00D80B89" w:rsidP="004F7A7C">
    <w:pPr>
      <w:pBdr>
        <w:top w:val="single" w:sz="2" w:space="1" w:color="auto"/>
      </w:pBdr>
      <w:tabs>
        <w:tab w:val="center" w:pos="4320"/>
        <w:tab w:val="right" w:pos="8640"/>
      </w:tabs>
      <w:spacing w:before="40" w:line="168" w:lineRule="exact"/>
      <w:rPr>
        <w:rFonts w:ascii="Arial" w:hAnsi="Arial"/>
        <w:sz w:val="12"/>
        <w:szCs w:val="22"/>
      </w:rPr>
    </w:pPr>
    <w:r>
      <w:rPr>
        <w:rFonts w:ascii="Arial" w:hAnsi="Arial"/>
        <w:sz w:val="12"/>
        <w:szCs w:val="22"/>
      </w:rPr>
      <w:t>21611 Perry Street Self-Storage Project</w:t>
    </w:r>
    <w:r w:rsidRPr="00133AD7">
      <w:rPr>
        <w:rFonts w:ascii="Arial" w:hAnsi="Arial"/>
        <w:sz w:val="12"/>
        <w:szCs w:val="22"/>
      </w:rPr>
      <w:tab/>
    </w:r>
    <w:r w:rsidRPr="00133AD7">
      <w:rPr>
        <w:rFonts w:ascii="Arial" w:hAnsi="Arial"/>
        <w:sz w:val="18"/>
        <w:szCs w:val="22"/>
      </w:rPr>
      <w:fldChar w:fldCharType="begin"/>
    </w:r>
    <w:r w:rsidRPr="00133AD7">
      <w:rPr>
        <w:rFonts w:ascii="Arial" w:hAnsi="Arial"/>
        <w:sz w:val="18"/>
        <w:szCs w:val="22"/>
      </w:rPr>
      <w:instrText>PAGE</w:instrText>
    </w:r>
    <w:r w:rsidRPr="00133AD7">
      <w:rPr>
        <w:rFonts w:ascii="Arial" w:hAnsi="Arial"/>
        <w:sz w:val="18"/>
        <w:szCs w:val="22"/>
      </w:rPr>
      <w:fldChar w:fldCharType="separate"/>
    </w:r>
    <w:r>
      <w:rPr>
        <w:rFonts w:ascii="Arial" w:hAnsi="Arial"/>
        <w:noProof/>
        <w:sz w:val="18"/>
        <w:szCs w:val="22"/>
      </w:rPr>
      <w:t>v</w:t>
    </w:r>
    <w:r w:rsidRPr="00133AD7">
      <w:rPr>
        <w:rFonts w:ascii="Arial" w:hAnsi="Arial"/>
        <w:sz w:val="18"/>
        <w:szCs w:val="22"/>
      </w:rPr>
      <w:fldChar w:fldCharType="end"/>
    </w:r>
    <w:r w:rsidRPr="00133AD7">
      <w:rPr>
        <w:rFonts w:ascii="Arial" w:hAnsi="Arial"/>
        <w:sz w:val="12"/>
        <w:szCs w:val="22"/>
      </w:rPr>
      <w:tab/>
    </w:r>
    <w:sdt>
      <w:sdtPr>
        <w:rPr>
          <w:rFonts w:ascii="Arial" w:hAnsi="Arial"/>
          <w:sz w:val="12"/>
          <w:szCs w:val="22"/>
        </w:rPr>
        <w:alias w:val="ESA Name"/>
        <w:tag w:val="ESA Name"/>
        <w:id w:val="-106975662"/>
        <w:docPartList>
          <w:docPartGallery w:val="AutoText"/>
          <w:docPartCategory w:val="ESA Name"/>
        </w:docPartList>
      </w:sdtPr>
      <w:sdtEndPr/>
      <w:sdtContent>
        <w:r w:rsidRPr="00133AD7">
          <w:rPr>
            <w:rFonts w:ascii="Arial" w:hAnsi="Arial"/>
            <w:sz w:val="12"/>
            <w:szCs w:val="22"/>
          </w:rPr>
          <w:t>ESA</w:t>
        </w:r>
      </w:sdtContent>
    </w:sdt>
    <w:r>
      <w:rPr>
        <w:rFonts w:ascii="Arial" w:hAnsi="Arial"/>
        <w:sz w:val="12"/>
        <w:szCs w:val="22"/>
      </w:rPr>
      <w:t xml:space="preserve"> / </w:t>
    </w:r>
    <w:r w:rsidRPr="00530294">
      <w:rPr>
        <w:rFonts w:ascii="Arial" w:hAnsi="Arial"/>
        <w:sz w:val="12"/>
        <w:szCs w:val="22"/>
      </w:rPr>
      <w:t>D202001315.01</w:t>
    </w:r>
  </w:p>
  <w:p w14:paraId="0569A33A" w14:textId="2EB062C5" w:rsidR="00D80B89" w:rsidRPr="001E32E8" w:rsidRDefault="00D80B89" w:rsidP="004F7A7C">
    <w:pPr>
      <w:pBdr>
        <w:top w:val="single" w:sz="2" w:space="1" w:color="auto"/>
      </w:pBdr>
      <w:tabs>
        <w:tab w:val="center" w:pos="4320"/>
        <w:tab w:val="right" w:pos="8640"/>
      </w:tabs>
      <w:spacing w:line="168" w:lineRule="exact"/>
      <w:rPr>
        <w:rFonts w:ascii="Arial" w:hAnsi="Arial"/>
        <w:sz w:val="12"/>
        <w:szCs w:val="22"/>
      </w:rPr>
    </w:pPr>
    <w:r w:rsidRPr="00133AD7">
      <w:rPr>
        <w:rFonts w:ascii="Arial" w:hAnsi="Arial"/>
        <w:sz w:val="12"/>
        <w:szCs w:val="22"/>
      </w:rPr>
      <w:t>IS/MND</w:t>
    </w:r>
    <w:r w:rsidRPr="00133AD7">
      <w:rPr>
        <w:rFonts w:ascii="Arial" w:hAnsi="Arial"/>
        <w:sz w:val="12"/>
        <w:szCs w:val="22"/>
      </w:rPr>
      <w:tab/>
    </w:r>
    <w:r w:rsidRPr="00133AD7">
      <w:rPr>
        <w:rFonts w:ascii="Arial" w:hAnsi="Arial"/>
        <w:sz w:val="12"/>
        <w:szCs w:val="22"/>
      </w:rPr>
      <w:tab/>
    </w:r>
    <w:r w:rsidR="005B19BF">
      <w:rPr>
        <w:rFonts w:ascii="Arial" w:hAnsi="Arial"/>
        <w:sz w:val="12"/>
        <w:szCs w:val="22"/>
      </w:rPr>
      <w:t>May</w:t>
    </w:r>
    <w:r>
      <w:rPr>
        <w:rFonts w:ascii="Arial" w:hAnsi="Arial"/>
        <w:sz w:val="12"/>
        <w:szCs w:val="22"/>
      </w:rPr>
      <w:t xml:space="preserve">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8E6D7" w14:textId="77777777" w:rsidR="00D80B89" w:rsidRPr="00CE20B1" w:rsidRDefault="00D80B89" w:rsidP="00CE20B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D6BAE" w14:textId="489554E2" w:rsidR="00D80B89" w:rsidRPr="00133AD7" w:rsidRDefault="00D80B89" w:rsidP="00F10738">
    <w:pPr>
      <w:pBdr>
        <w:top w:val="single" w:sz="2" w:space="1" w:color="auto"/>
      </w:pBdr>
      <w:tabs>
        <w:tab w:val="center" w:pos="4320"/>
        <w:tab w:val="right" w:pos="8640"/>
      </w:tabs>
      <w:spacing w:before="40" w:line="168" w:lineRule="exact"/>
      <w:rPr>
        <w:rFonts w:ascii="Arial" w:hAnsi="Arial"/>
        <w:sz w:val="12"/>
        <w:szCs w:val="22"/>
      </w:rPr>
    </w:pPr>
    <w:r>
      <w:rPr>
        <w:rFonts w:ascii="Arial" w:hAnsi="Arial"/>
        <w:sz w:val="12"/>
        <w:szCs w:val="22"/>
      </w:rPr>
      <w:t>21611 Perry Street Self-Storage Project</w:t>
    </w:r>
    <w:r w:rsidRPr="00133AD7">
      <w:rPr>
        <w:rFonts w:ascii="Arial" w:hAnsi="Arial"/>
        <w:sz w:val="12"/>
        <w:szCs w:val="22"/>
      </w:rPr>
      <w:tab/>
    </w:r>
    <w:r w:rsidRPr="00133AD7">
      <w:rPr>
        <w:rFonts w:ascii="Arial" w:hAnsi="Arial"/>
        <w:sz w:val="18"/>
        <w:szCs w:val="22"/>
      </w:rPr>
      <w:fldChar w:fldCharType="begin"/>
    </w:r>
    <w:r w:rsidRPr="00133AD7">
      <w:rPr>
        <w:rFonts w:ascii="Arial" w:hAnsi="Arial"/>
        <w:sz w:val="18"/>
        <w:szCs w:val="22"/>
      </w:rPr>
      <w:instrText>PAGE</w:instrText>
    </w:r>
    <w:r w:rsidRPr="00133AD7">
      <w:rPr>
        <w:rFonts w:ascii="Arial" w:hAnsi="Arial"/>
        <w:sz w:val="18"/>
        <w:szCs w:val="22"/>
      </w:rPr>
      <w:fldChar w:fldCharType="separate"/>
    </w:r>
    <w:r>
      <w:rPr>
        <w:rFonts w:ascii="Arial" w:hAnsi="Arial"/>
        <w:noProof/>
        <w:sz w:val="18"/>
        <w:szCs w:val="22"/>
      </w:rPr>
      <w:t>50</w:t>
    </w:r>
    <w:r w:rsidRPr="00133AD7">
      <w:rPr>
        <w:rFonts w:ascii="Arial" w:hAnsi="Arial"/>
        <w:sz w:val="18"/>
        <w:szCs w:val="22"/>
      </w:rPr>
      <w:fldChar w:fldCharType="end"/>
    </w:r>
    <w:r w:rsidRPr="00133AD7">
      <w:rPr>
        <w:rFonts w:ascii="Arial" w:hAnsi="Arial"/>
        <w:sz w:val="12"/>
        <w:szCs w:val="22"/>
      </w:rPr>
      <w:tab/>
    </w:r>
    <w:sdt>
      <w:sdtPr>
        <w:rPr>
          <w:rFonts w:ascii="Arial" w:hAnsi="Arial"/>
          <w:sz w:val="12"/>
          <w:szCs w:val="22"/>
        </w:rPr>
        <w:alias w:val="ESA Name"/>
        <w:tag w:val="ESA Name"/>
        <w:id w:val="-1259977968"/>
        <w:docPartList>
          <w:docPartGallery w:val="AutoText"/>
          <w:docPartCategory w:val="ESA Name"/>
        </w:docPartList>
      </w:sdtPr>
      <w:sdtEndPr/>
      <w:sdtContent>
        <w:r w:rsidRPr="00133AD7">
          <w:rPr>
            <w:rFonts w:ascii="Arial" w:hAnsi="Arial"/>
            <w:sz w:val="12"/>
            <w:szCs w:val="22"/>
          </w:rPr>
          <w:t>ESA</w:t>
        </w:r>
      </w:sdtContent>
    </w:sdt>
    <w:r>
      <w:rPr>
        <w:rFonts w:ascii="Arial" w:hAnsi="Arial"/>
        <w:sz w:val="12"/>
        <w:szCs w:val="22"/>
      </w:rPr>
      <w:t xml:space="preserve"> / </w:t>
    </w:r>
    <w:r w:rsidRPr="003075DE">
      <w:rPr>
        <w:rFonts w:ascii="Arial" w:hAnsi="Arial"/>
        <w:sz w:val="12"/>
        <w:szCs w:val="22"/>
      </w:rPr>
      <w:t>D202001315.01</w:t>
    </w:r>
  </w:p>
  <w:p w14:paraId="44D71331" w14:textId="5EF6503B" w:rsidR="00D80B89" w:rsidRPr="001E32E8" w:rsidRDefault="00D80B89" w:rsidP="001E32E8">
    <w:pPr>
      <w:pBdr>
        <w:top w:val="single" w:sz="2" w:space="1" w:color="auto"/>
      </w:pBdr>
      <w:tabs>
        <w:tab w:val="center" w:pos="4320"/>
        <w:tab w:val="right" w:pos="8640"/>
      </w:tabs>
      <w:spacing w:line="168" w:lineRule="exact"/>
      <w:rPr>
        <w:rFonts w:ascii="Arial" w:hAnsi="Arial"/>
        <w:sz w:val="12"/>
        <w:szCs w:val="22"/>
      </w:rPr>
    </w:pPr>
    <w:r w:rsidRPr="00133AD7">
      <w:rPr>
        <w:rFonts w:ascii="Arial" w:hAnsi="Arial"/>
        <w:sz w:val="12"/>
        <w:szCs w:val="22"/>
      </w:rPr>
      <w:t>IS/MND</w:t>
    </w:r>
    <w:r w:rsidRPr="00133AD7">
      <w:rPr>
        <w:rFonts w:ascii="Arial" w:hAnsi="Arial"/>
        <w:sz w:val="12"/>
        <w:szCs w:val="22"/>
      </w:rPr>
      <w:tab/>
    </w:r>
    <w:r w:rsidRPr="00133AD7">
      <w:rPr>
        <w:rFonts w:ascii="Arial" w:hAnsi="Arial"/>
        <w:sz w:val="12"/>
        <w:szCs w:val="22"/>
      </w:rPr>
      <w:tab/>
    </w:r>
    <w:r w:rsidR="005B19BF">
      <w:rPr>
        <w:rFonts w:ascii="Arial" w:hAnsi="Arial"/>
        <w:sz w:val="12"/>
        <w:szCs w:val="22"/>
      </w:rPr>
      <w:t>May</w:t>
    </w:r>
    <w:r>
      <w:rPr>
        <w:rFonts w:ascii="Arial" w:hAnsi="Arial"/>
        <w:sz w:val="12"/>
        <w:szCs w:val="22"/>
      </w:rPr>
      <w:t xml:space="preserve"> 2022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3191" w14:textId="75DB21AB" w:rsidR="00D80B89" w:rsidRPr="00133AD7" w:rsidRDefault="00D80B89" w:rsidP="00843ABA">
    <w:pPr>
      <w:pBdr>
        <w:top w:val="single" w:sz="2" w:space="1" w:color="auto"/>
      </w:pBdr>
      <w:tabs>
        <w:tab w:val="center" w:pos="4320"/>
        <w:tab w:val="right" w:pos="8640"/>
      </w:tabs>
      <w:spacing w:before="40" w:line="168" w:lineRule="exact"/>
      <w:rPr>
        <w:rFonts w:ascii="Arial" w:hAnsi="Arial"/>
        <w:sz w:val="12"/>
        <w:szCs w:val="22"/>
      </w:rPr>
    </w:pPr>
    <w:r>
      <w:rPr>
        <w:rFonts w:ascii="Arial" w:hAnsi="Arial"/>
        <w:sz w:val="12"/>
        <w:szCs w:val="22"/>
      </w:rPr>
      <w:t>21611 Perry Street Self-Storage Project</w:t>
    </w:r>
    <w:r w:rsidRPr="00133AD7">
      <w:rPr>
        <w:rFonts w:ascii="Arial" w:hAnsi="Arial"/>
        <w:sz w:val="12"/>
        <w:szCs w:val="22"/>
      </w:rPr>
      <w:tab/>
    </w:r>
    <w:r w:rsidRPr="00133AD7">
      <w:rPr>
        <w:rFonts w:ascii="Arial" w:hAnsi="Arial"/>
        <w:sz w:val="18"/>
        <w:szCs w:val="22"/>
      </w:rPr>
      <w:fldChar w:fldCharType="begin"/>
    </w:r>
    <w:r w:rsidRPr="00133AD7">
      <w:rPr>
        <w:rFonts w:ascii="Arial" w:hAnsi="Arial"/>
        <w:sz w:val="18"/>
        <w:szCs w:val="22"/>
      </w:rPr>
      <w:instrText>PAGE</w:instrText>
    </w:r>
    <w:r w:rsidRPr="00133AD7">
      <w:rPr>
        <w:rFonts w:ascii="Arial" w:hAnsi="Arial"/>
        <w:sz w:val="18"/>
        <w:szCs w:val="22"/>
      </w:rPr>
      <w:fldChar w:fldCharType="separate"/>
    </w:r>
    <w:r>
      <w:rPr>
        <w:rFonts w:ascii="Arial" w:hAnsi="Arial"/>
        <w:noProof/>
        <w:sz w:val="18"/>
        <w:szCs w:val="22"/>
      </w:rPr>
      <w:t>iii</w:t>
    </w:r>
    <w:r w:rsidRPr="00133AD7">
      <w:rPr>
        <w:rFonts w:ascii="Arial" w:hAnsi="Arial"/>
        <w:sz w:val="18"/>
        <w:szCs w:val="22"/>
      </w:rPr>
      <w:fldChar w:fldCharType="end"/>
    </w:r>
    <w:r w:rsidRPr="00133AD7">
      <w:rPr>
        <w:rFonts w:ascii="Arial" w:hAnsi="Arial"/>
        <w:sz w:val="12"/>
        <w:szCs w:val="22"/>
      </w:rPr>
      <w:tab/>
    </w:r>
    <w:sdt>
      <w:sdtPr>
        <w:rPr>
          <w:rFonts w:ascii="Arial" w:hAnsi="Arial"/>
          <w:sz w:val="12"/>
          <w:szCs w:val="22"/>
        </w:rPr>
        <w:alias w:val="ESA Name"/>
        <w:tag w:val="ESA Name"/>
        <w:id w:val="1612087452"/>
        <w:docPartList>
          <w:docPartGallery w:val="AutoText"/>
          <w:docPartCategory w:val="ESA Name"/>
        </w:docPartList>
      </w:sdtPr>
      <w:sdtEndPr/>
      <w:sdtContent>
        <w:r w:rsidRPr="00133AD7">
          <w:rPr>
            <w:rFonts w:ascii="Arial" w:hAnsi="Arial"/>
            <w:sz w:val="12"/>
            <w:szCs w:val="22"/>
          </w:rPr>
          <w:t>ESA</w:t>
        </w:r>
      </w:sdtContent>
    </w:sdt>
    <w:r>
      <w:rPr>
        <w:rFonts w:ascii="Arial" w:hAnsi="Arial"/>
        <w:sz w:val="12"/>
        <w:szCs w:val="22"/>
      </w:rPr>
      <w:t xml:space="preserve"> / </w:t>
    </w:r>
    <w:r w:rsidRPr="00177643">
      <w:rPr>
        <w:rFonts w:ascii="Arial" w:hAnsi="Arial"/>
        <w:sz w:val="12"/>
        <w:szCs w:val="22"/>
      </w:rPr>
      <w:t>D202001315.01</w:t>
    </w:r>
  </w:p>
  <w:p w14:paraId="15C27C91" w14:textId="6B28CB24" w:rsidR="00D80B89" w:rsidRPr="001E32E8" w:rsidRDefault="00D80B89" w:rsidP="001E32E8">
    <w:pPr>
      <w:pBdr>
        <w:top w:val="single" w:sz="2" w:space="1" w:color="auto"/>
      </w:pBdr>
      <w:tabs>
        <w:tab w:val="center" w:pos="4320"/>
        <w:tab w:val="right" w:pos="8640"/>
      </w:tabs>
      <w:spacing w:line="168" w:lineRule="exact"/>
      <w:rPr>
        <w:rFonts w:ascii="Arial" w:hAnsi="Arial"/>
        <w:sz w:val="12"/>
        <w:szCs w:val="22"/>
      </w:rPr>
    </w:pPr>
    <w:r w:rsidRPr="00133AD7">
      <w:rPr>
        <w:rFonts w:ascii="Arial" w:hAnsi="Arial"/>
        <w:sz w:val="12"/>
        <w:szCs w:val="22"/>
      </w:rPr>
      <w:t>IS/MND</w:t>
    </w:r>
    <w:r w:rsidRPr="00133AD7">
      <w:rPr>
        <w:rFonts w:ascii="Arial" w:hAnsi="Arial"/>
        <w:sz w:val="12"/>
        <w:szCs w:val="22"/>
      </w:rPr>
      <w:tab/>
    </w:r>
    <w:r w:rsidRPr="00133AD7">
      <w:rPr>
        <w:rFonts w:ascii="Arial" w:hAnsi="Arial"/>
        <w:sz w:val="12"/>
        <w:szCs w:val="22"/>
      </w:rPr>
      <w:tab/>
    </w:r>
    <w:r w:rsidR="005B19BF">
      <w:rPr>
        <w:rFonts w:ascii="Arial" w:hAnsi="Arial"/>
        <w:sz w:val="12"/>
        <w:szCs w:val="22"/>
      </w:rPr>
      <w:t>May</w:t>
    </w:r>
    <w:r>
      <w:rPr>
        <w:rFonts w:ascii="Arial" w:hAnsi="Arial"/>
        <w:sz w:val="12"/>
        <w:szCs w:val="22"/>
      </w:rPr>
      <w:t xml:space="preserve"> 2022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12FA" w14:textId="62CFBAE8" w:rsidR="00D80B89" w:rsidRPr="00133AD7" w:rsidRDefault="00D80B89" w:rsidP="000E4A1E">
    <w:pPr>
      <w:pBdr>
        <w:top w:val="single" w:sz="2" w:space="1" w:color="auto"/>
      </w:pBdr>
      <w:tabs>
        <w:tab w:val="center" w:pos="4320"/>
        <w:tab w:val="right" w:pos="8640"/>
      </w:tabs>
      <w:spacing w:before="40" w:line="168" w:lineRule="exact"/>
      <w:rPr>
        <w:rFonts w:ascii="Arial" w:hAnsi="Arial"/>
        <w:sz w:val="12"/>
        <w:szCs w:val="22"/>
      </w:rPr>
    </w:pPr>
    <w:r>
      <w:rPr>
        <w:rFonts w:ascii="Arial" w:hAnsi="Arial"/>
        <w:sz w:val="12"/>
        <w:szCs w:val="22"/>
      </w:rPr>
      <w:t>21611 Perry Street Self-Storage Project</w:t>
    </w:r>
    <w:r w:rsidRPr="00133AD7">
      <w:rPr>
        <w:rFonts w:ascii="Arial" w:hAnsi="Arial"/>
        <w:sz w:val="12"/>
        <w:szCs w:val="22"/>
      </w:rPr>
      <w:tab/>
    </w:r>
    <w:r w:rsidRPr="00133AD7">
      <w:rPr>
        <w:rFonts w:ascii="Arial" w:hAnsi="Arial"/>
        <w:sz w:val="18"/>
        <w:szCs w:val="22"/>
      </w:rPr>
      <w:fldChar w:fldCharType="begin"/>
    </w:r>
    <w:r w:rsidRPr="00133AD7">
      <w:rPr>
        <w:rFonts w:ascii="Arial" w:hAnsi="Arial"/>
        <w:sz w:val="18"/>
        <w:szCs w:val="22"/>
      </w:rPr>
      <w:instrText>PAGE</w:instrText>
    </w:r>
    <w:r w:rsidRPr="00133AD7">
      <w:rPr>
        <w:rFonts w:ascii="Arial" w:hAnsi="Arial"/>
        <w:sz w:val="18"/>
        <w:szCs w:val="22"/>
      </w:rPr>
      <w:fldChar w:fldCharType="separate"/>
    </w:r>
    <w:r>
      <w:rPr>
        <w:rFonts w:ascii="Arial" w:hAnsi="Arial"/>
        <w:noProof/>
        <w:sz w:val="18"/>
        <w:szCs w:val="22"/>
      </w:rPr>
      <w:t>49</w:t>
    </w:r>
    <w:r w:rsidRPr="00133AD7">
      <w:rPr>
        <w:rFonts w:ascii="Arial" w:hAnsi="Arial"/>
        <w:sz w:val="18"/>
        <w:szCs w:val="22"/>
      </w:rPr>
      <w:fldChar w:fldCharType="end"/>
    </w:r>
    <w:r w:rsidRPr="00133AD7">
      <w:rPr>
        <w:rFonts w:ascii="Arial" w:hAnsi="Arial"/>
        <w:sz w:val="12"/>
        <w:szCs w:val="22"/>
      </w:rPr>
      <w:tab/>
    </w:r>
    <w:sdt>
      <w:sdtPr>
        <w:rPr>
          <w:rFonts w:ascii="Arial" w:hAnsi="Arial"/>
          <w:sz w:val="12"/>
          <w:szCs w:val="22"/>
        </w:rPr>
        <w:alias w:val="ESA Name"/>
        <w:tag w:val="ESA Name"/>
        <w:id w:val="-2104553505"/>
        <w:docPartList>
          <w:docPartGallery w:val="AutoText"/>
          <w:docPartCategory w:val="ESA Name"/>
        </w:docPartList>
      </w:sdtPr>
      <w:sdtEndPr/>
      <w:sdtContent>
        <w:r w:rsidRPr="00133AD7">
          <w:rPr>
            <w:rFonts w:ascii="Arial" w:hAnsi="Arial"/>
            <w:sz w:val="12"/>
            <w:szCs w:val="22"/>
          </w:rPr>
          <w:t>ESA</w:t>
        </w:r>
      </w:sdtContent>
    </w:sdt>
    <w:r>
      <w:rPr>
        <w:rFonts w:ascii="Arial" w:hAnsi="Arial"/>
        <w:sz w:val="12"/>
        <w:szCs w:val="22"/>
      </w:rPr>
      <w:t xml:space="preserve"> / </w:t>
    </w:r>
    <w:r w:rsidRPr="003075DE">
      <w:rPr>
        <w:rFonts w:ascii="Arial" w:hAnsi="Arial"/>
        <w:sz w:val="12"/>
        <w:szCs w:val="22"/>
      </w:rPr>
      <w:t>D202001315.01</w:t>
    </w:r>
  </w:p>
  <w:p w14:paraId="5E14C279" w14:textId="6CC0412E" w:rsidR="00D80B89" w:rsidRPr="00036923" w:rsidRDefault="00D80B89" w:rsidP="001E32E8">
    <w:pPr>
      <w:pBdr>
        <w:top w:val="single" w:sz="2" w:space="1" w:color="auto"/>
      </w:pBdr>
      <w:tabs>
        <w:tab w:val="center" w:pos="4320"/>
        <w:tab w:val="right" w:pos="8640"/>
      </w:tabs>
      <w:spacing w:line="168" w:lineRule="exact"/>
      <w:rPr>
        <w:rFonts w:ascii="Arial" w:hAnsi="Arial"/>
        <w:sz w:val="2"/>
        <w:szCs w:val="22"/>
      </w:rPr>
    </w:pPr>
    <w:r w:rsidRPr="00133AD7">
      <w:rPr>
        <w:rFonts w:ascii="Arial" w:hAnsi="Arial"/>
        <w:sz w:val="12"/>
        <w:szCs w:val="22"/>
      </w:rPr>
      <w:t>IS/MND</w:t>
    </w:r>
    <w:r w:rsidRPr="00133AD7">
      <w:rPr>
        <w:rFonts w:ascii="Arial" w:hAnsi="Arial"/>
        <w:sz w:val="12"/>
        <w:szCs w:val="22"/>
      </w:rPr>
      <w:tab/>
    </w:r>
    <w:r w:rsidRPr="00133AD7">
      <w:rPr>
        <w:rFonts w:ascii="Arial" w:hAnsi="Arial"/>
        <w:sz w:val="12"/>
        <w:szCs w:val="22"/>
      </w:rPr>
      <w:tab/>
    </w:r>
    <w:r w:rsidR="005B19BF">
      <w:rPr>
        <w:rFonts w:ascii="Arial" w:hAnsi="Arial"/>
        <w:sz w:val="12"/>
        <w:szCs w:val="22"/>
      </w:rPr>
      <w:t>May</w:t>
    </w:r>
    <w:r>
      <w:rPr>
        <w:rFonts w:ascii="Arial" w:hAnsi="Arial"/>
        <w:sz w:val="12"/>
        <w:szCs w:val="22"/>
      </w:rPr>
      <w:t xml:space="preserve"> 2022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B6C4" w14:textId="3B0E2B6F" w:rsidR="00D80B89" w:rsidRPr="00133AD7" w:rsidRDefault="00D80B89" w:rsidP="00F10738">
    <w:pPr>
      <w:pBdr>
        <w:top w:val="single" w:sz="2" w:space="1" w:color="auto"/>
      </w:pBdr>
      <w:tabs>
        <w:tab w:val="center" w:pos="4320"/>
        <w:tab w:val="right" w:pos="8640"/>
      </w:tabs>
      <w:spacing w:before="40" w:line="168" w:lineRule="exact"/>
      <w:rPr>
        <w:rFonts w:ascii="Arial" w:hAnsi="Arial"/>
        <w:sz w:val="12"/>
        <w:szCs w:val="22"/>
      </w:rPr>
    </w:pPr>
    <w:r>
      <w:rPr>
        <w:rFonts w:ascii="Arial" w:hAnsi="Arial"/>
        <w:sz w:val="12"/>
        <w:szCs w:val="22"/>
      </w:rPr>
      <w:t>21611 Perry Street Self-Storage Project</w:t>
    </w:r>
    <w:r w:rsidRPr="00133AD7">
      <w:rPr>
        <w:rFonts w:ascii="Arial" w:hAnsi="Arial"/>
        <w:sz w:val="12"/>
        <w:szCs w:val="22"/>
      </w:rPr>
      <w:tab/>
    </w:r>
    <w:r w:rsidRPr="00133AD7">
      <w:rPr>
        <w:rFonts w:ascii="Arial" w:hAnsi="Arial"/>
        <w:sz w:val="18"/>
        <w:szCs w:val="22"/>
      </w:rPr>
      <w:fldChar w:fldCharType="begin"/>
    </w:r>
    <w:r w:rsidRPr="00133AD7">
      <w:rPr>
        <w:rFonts w:ascii="Arial" w:hAnsi="Arial"/>
        <w:sz w:val="18"/>
        <w:szCs w:val="22"/>
      </w:rPr>
      <w:instrText>PAGE</w:instrText>
    </w:r>
    <w:r w:rsidRPr="00133AD7">
      <w:rPr>
        <w:rFonts w:ascii="Arial" w:hAnsi="Arial"/>
        <w:sz w:val="18"/>
        <w:szCs w:val="22"/>
      </w:rPr>
      <w:fldChar w:fldCharType="separate"/>
    </w:r>
    <w:r>
      <w:rPr>
        <w:rFonts w:ascii="Arial" w:hAnsi="Arial"/>
        <w:noProof/>
        <w:sz w:val="18"/>
        <w:szCs w:val="22"/>
      </w:rPr>
      <w:t>1</w:t>
    </w:r>
    <w:r w:rsidRPr="00133AD7">
      <w:rPr>
        <w:rFonts w:ascii="Arial" w:hAnsi="Arial"/>
        <w:sz w:val="18"/>
        <w:szCs w:val="22"/>
      </w:rPr>
      <w:fldChar w:fldCharType="end"/>
    </w:r>
    <w:r w:rsidRPr="00133AD7">
      <w:rPr>
        <w:rFonts w:ascii="Arial" w:hAnsi="Arial"/>
        <w:sz w:val="12"/>
        <w:szCs w:val="22"/>
      </w:rPr>
      <w:tab/>
    </w:r>
    <w:sdt>
      <w:sdtPr>
        <w:rPr>
          <w:rFonts w:ascii="Arial" w:hAnsi="Arial"/>
          <w:sz w:val="12"/>
          <w:szCs w:val="22"/>
        </w:rPr>
        <w:alias w:val="ESA Name"/>
        <w:tag w:val="ESA Name"/>
        <w:id w:val="-514453379"/>
        <w:docPartList>
          <w:docPartGallery w:val="AutoText"/>
          <w:docPartCategory w:val="ESA Name"/>
        </w:docPartList>
      </w:sdtPr>
      <w:sdtEndPr/>
      <w:sdtContent>
        <w:r w:rsidRPr="00133AD7">
          <w:rPr>
            <w:rFonts w:ascii="Arial" w:hAnsi="Arial"/>
            <w:sz w:val="12"/>
            <w:szCs w:val="22"/>
          </w:rPr>
          <w:t>ESA</w:t>
        </w:r>
      </w:sdtContent>
    </w:sdt>
    <w:r>
      <w:rPr>
        <w:rFonts w:ascii="Arial" w:hAnsi="Arial"/>
        <w:sz w:val="12"/>
        <w:szCs w:val="22"/>
      </w:rPr>
      <w:t xml:space="preserve"> / </w:t>
    </w:r>
    <w:r w:rsidRPr="003075DE">
      <w:rPr>
        <w:rFonts w:ascii="Arial" w:hAnsi="Arial"/>
        <w:sz w:val="12"/>
        <w:szCs w:val="22"/>
      </w:rPr>
      <w:t>D202001315.01</w:t>
    </w:r>
  </w:p>
  <w:p w14:paraId="55B61931" w14:textId="5958E2EE" w:rsidR="00D80B89" w:rsidRPr="001E32E8" w:rsidRDefault="00D80B89" w:rsidP="001E32E8">
    <w:pPr>
      <w:pBdr>
        <w:top w:val="single" w:sz="2" w:space="1" w:color="auto"/>
      </w:pBdr>
      <w:tabs>
        <w:tab w:val="center" w:pos="4320"/>
        <w:tab w:val="right" w:pos="8640"/>
      </w:tabs>
      <w:spacing w:line="168" w:lineRule="exact"/>
      <w:rPr>
        <w:rFonts w:ascii="Arial" w:hAnsi="Arial"/>
        <w:sz w:val="12"/>
        <w:szCs w:val="22"/>
      </w:rPr>
    </w:pPr>
    <w:r w:rsidRPr="00133AD7">
      <w:rPr>
        <w:rFonts w:ascii="Arial" w:hAnsi="Arial"/>
        <w:sz w:val="12"/>
        <w:szCs w:val="22"/>
      </w:rPr>
      <w:t>IS/MND</w:t>
    </w:r>
    <w:r w:rsidRPr="00133AD7">
      <w:rPr>
        <w:rFonts w:ascii="Arial" w:hAnsi="Arial"/>
        <w:sz w:val="12"/>
        <w:szCs w:val="22"/>
      </w:rPr>
      <w:tab/>
    </w:r>
    <w:r w:rsidRPr="00133AD7">
      <w:rPr>
        <w:rFonts w:ascii="Arial" w:hAnsi="Arial"/>
        <w:sz w:val="12"/>
        <w:szCs w:val="22"/>
      </w:rPr>
      <w:tab/>
    </w:r>
    <w:r w:rsidR="005B19BF">
      <w:rPr>
        <w:rFonts w:ascii="Arial" w:hAnsi="Arial"/>
        <w:sz w:val="12"/>
        <w:szCs w:val="22"/>
      </w:rPr>
      <w:t>May</w:t>
    </w:r>
    <w:r>
      <w:rPr>
        <w:rFonts w:ascii="Arial" w:hAnsi="Arial"/>
        <w:sz w:val="12"/>
        <w:szCs w:val="22"/>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8F22A" w14:textId="77777777" w:rsidR="00D80B89" w:rsidRDefault="00D80B89" w:rsidP="00907E03">
      <w:r>
        <w:separator/>
      </w:r>
    </w:p>
  </w:footnote>
  <w:footnote w:type="continuationSeparator" w:id="0">
    <w:p w14:paraId="2F2B98F7" w14:textId="77777777" w:rsidR="00D80B89" w:rsidRDefault="00D80B89" w:rsidP="00907E03">
      <w:r>
        <w:continuationSeparator/>
      </w:r>
    </w:p>
  </w:footnote>
  <w:footnote w:type="continuationNotice" w:id="1">
    <w:p w14:paraId="013BADD7" w14:textId="77777777" w:rsidR="00D80B89" w:rsidRDefault="00D80B89"/>
  </w:footnote>
  <w:footnote w:id="2">
    <w:p w14:paraId="30D0F99E" w14:textId="09CBDDD3" w:rsidR="00D80B89" w:rsidRDefault="00D80B89" w:rsidP="00F90D5B">
      <w:pPr>
        <w:pStyle w:val="FootnoteText"/>
      </w:pPr>
      <w:r w:rsidRPr="00294DC9">
        <w:rPr>
          <w:rStyle w:val="FootnoteReference"/>
        </w:rPr>
        <w:footnoteRef/>
      </w:r>
      <w:r>
        <w:tab/>
        <w:t>The most recent version of the AQMP (2016 AQMD) is based on the 2016-2040 RTP/SCS and will therefore rely on the 2016-2040 RTP/SCS when discussing plan consistency.</w:t>
      </w:r>
    </w:p>
  </w:footnote>
  <w:footnote w:id="3">
    <w:p w14:paraId="59C4D2B1" w14:textId="5CD03927" w:rsidR="00D80B89" w:rsidRDefault="00D80B89" w:rsidP="00F90D5B">
      <w:pPr>
        <w:pStyle w:val="FootnoteText"/>
      </w:pPr>
      <w:r w:rsidRPr="00294DC9">
        <w:rPr>
          <w:rStyle w:val="FootnoteReference"/>
        </w:rPr>
        <w:footnoteRef/>
      </w:r>
      <w:r>
        <w:rPr>
          <w:rStyle w:val="FootnoteReference"/>
          <w:position w:val="0"/>
          <w:sz w:val="20"/>
          <w:vertAlign w:val="superscript"/>
        </w:rPr>
        <w:tab/>
      </w:r>
      <w:r w:rsidRPr="00F93618">
        <w:t xml:space="preserve">The Los Angeles County portion of the Basin is designated as nonattainment for the federal lead standard; however, this was due to localized emissions from two lead-acid battery recycling facilities in the </w:t>
      </w:r>
      <w:r>
        <w:t>C</w:t>
      </w:r>
      <w:r w:rsidRPr="00F93618">
        <w:t xml:space="preserve">ity of Vernon and the </w:t>
      </w:r>
      <w:r>
        <w:t>C</w:t>
      </w:r>
      <w:r w:rsidRPr="00F93618">
        <w:t>ity of Industry that are no longer operating</w:t>
      </w:r>
      <w:r>
        <w:t>. For reference refer to South Coast Air Quality Management District, Board Meeting, Agenda No. 30, Adopt the 2012 Lead State Implementation Plan for Los Angeles County, May 4, 2012.</w:t>
      </w:r>
    </w:p>
  </w:footnote>
  <w:footnote w:id="4">
    <w:p w14:paraId="71F1D6E6" w14:textId="2F077639" w:rsidR="00D80B89" w:rsidRDefault="00D80B89" w:rsidP="00F90D5B">
      <w:pPr>
        <w:pStyle w:val="FootnoteText"/>
      </w:pPr>
      <w:r w:rsidRPr="00294DC9">
        <w:rPr>
          <w:rStyle w:val="FootnoteReference"/>
        </w:rPr>
        <w:footnoteRef/>
      </w:r>
      <w:r>
        <w:tab/>
      </w:r>
      <w:r w:rsidRPr="00BF1D18">
        <w:rPr>
          <w:lang w:eastAsia="ko-KR"/>
        </w:rPr>
        <w:t>SCAQMD’s Localized Significance Threshold Methodology</w:t>
      </w:r>
      <w:r>
        <w:rPr>
          <w:lang w:eastAsia="ko-KR"/>
        </w:rPr>
        <w:t xml:space="preserve"> (refer to page 3-3) states for project boundaries located closer than 25 meters (82 feet) to the nearest receptor, such as the proposed project where the nearest receptors are located approximately 50 feet to the north of the project site, should use the LSTs for receptors located at 25 meters. </w:t>
      </w:r>
    </w:p>
  </w:footnote>
  <w:footnote w:id="5">
    <w:p w14:paraId="49247DCC" w14:textId="77777777" w:rsidR="00D80B89" w:rsidRPr="00DF67AB" w:rsidRDefault="00D80B89" w:rsidP="00F90D5B">
      <w:pPr>
        <w:pStyle w:val="FootnoteText"/>
        <w:rPr>
          <w:i/>
          <w:szCs w:val="18"/>
        </w:rPr>
      </w:pPr>
      <w:r w:rsidRPr="00294DC9">
        <w:rPr>
          <w:rStyle w:val="FootnoteReference"/>
        </w:rPr>
        <w:footnoteRef/>
      </w:r>
      <w:r w:rsidRPr="00DF67AB">
        <w:rPr>
          <w:szCs w:val="18"/>
        </w:rPr>
        <w:tab/>
      </w:r>
      <w:r>
        <w:t>The most recent year that SCE data was available.</w:t>
      </w:r>
    </w:p>
  </w:footnote>
  <w:footnote w:id="6">
    <w:p w14:paraId="4DF825B7" w14:textId="03836576" w:rsidR="00D80B89" w:rsidRDefault="00D80B89" w:rsidP="00F90D5B">
      <w:pPr>
        <w:pStyle w:val="FootnoteText"/>
      </w:pPr>
      <w:r w:rsidRPr="00294DC9">
        <w:rPr>
          <w:rStyle w:val="FootnoteReference"/>
        </w:rPr>
        <w:footnoteRef/>
      </w:r>
      <w:r w:rsidRPr="001E6E20">
        <w:tab/>
        <w:t xml:space="preserve">For the purposes of estimating </w:t>
      </w:r>
      <w:r>
        <w:t>energy demand</w:t>
      </w:r>
      <w:r w:rsidRPr="001E6E20">
        <w:t>, the analysis conservatively assumes</w:t>
      </w:r>
      <w:r>
        <w:t xml:space="preserve"> the</w:t>
      </w:r>
      <w:r w:rsidRPr="001E6E20">
        <w:t xml:space="preserve"> </w:t>
      </w:r>
      <w:r>
        <w:t>proposed project</w:t>
      </w:r>
      <w:r w:rsidRPr="001E6E20">
        <w:t xml:space="preserve"> would not switch electricity providers from SCE to the </w:t>
      </w:r>
      <w:r>
        <w:t>CPA</w:t>
      </w:r>
      <w:r w:rsidRPr="001E6E20">
        <w:t xml:space="preserve"> (i.e., does not take any credit for 36 percent, 50 percent, or 100 percent renewable electricity, depending on the selected </w:t>
      </w:r>
      <w:r>
        <w:t>CPA</w:t>
      </w:r>
      <w:r w:rsidRPr="001E6E20">
        <w:t xml:space="preserve"> plan). Should the </w:t>
      </w:r>
      <w:r>
        <w:t>proposed project</w:t>
      </w:r>
      <w:r w:rsidRPr="001E6E20">
        <w:t xml:space="preserve"> switch electricity providers from SCE to the </w:t>
      </w:r>
      <w:r>
        <w:t>CPA</w:t>
      </w:r>
      <w:r w:rsidRPr="001E6E20">
        <w:t xml:space="preserve">, the </w:t>
      </w:r>
      <w:r>
        <w:t>proposed project</w:t>
      </w:r>
      <w:r w:rsidRPr="001E6E20">
        <w:t xml:space="preserve">’s electricity-related emissions would be lower than those disclosed in this </w:t>
      </w:r>
      <w:r>
        <w:t>se</w:t>
      </w:r>
      <w:r w:rsidRPr="001E6E20">
        <w:t>ction.</w:t>
      </w:r>
    </w:p>
  </w:footnote>
  <w:footnote w:id="7">
    <w:p w14:paraId="66B08836" w14:textId="77777777" w:rsidR="00D80B89" w:rsidRDefault="00D80B89" w:rsidP="00F90D5B">
      <w:pPr>
        <w:pStyle w:val="FootnoteText"/>
      </w:pPr>
      <w:r w:rsidRPr="00294DC9">
        <w:rPr>
          <w:rStyle w:val="FootnoteReference"/>
        </w:rPr>
        <w:footnoteRef/>
      </w:r>
      <w:r>
        <w:tab/>
        <w:t>A metric ton is 1,000 kilograms; it is equal to approximately 1.1 U.S. tons and approximately 2,204.6 pounds.</w:t>
      </w:r>
    </w:p>
  </w:footnote>
  <w:footnote w:id="8">
    <w:p w14:paraId="07515098" w14:textId="77777777" w:rsidR="00D80B89" w:rsidRDefault="00D80B89" w:rsidP="00F90D5B">
      <w:pPr>
        <w:pStyle w:val="FootnoteText"/>
      </w:pPr>
      <w:r w:rsidRPr="00294DC9">
        <w:rPr>
          <w:rStyle w:val="FootnoteReference"/>
        </w:rPr>
        <w:footnoteRef/>
      </w:r>
      <w:r>
        <w:tab/>
      </w:r>
      <w:r w:rsidRPr="003313C4">
        <w:t xml:space="preserve">Noise from a localized source (i.e., point source) propagates uniformly outward in a spherical pattern, referred to as </w:t>
      </w:r>
      <w:r>
        <w:t>“</w:t>
      </w:r>
      <w:r w:rsidRPr="003313C4">
        <w:t>spherical spreading.</w:t>
      </w:r>
      <w:r>
        <w:t>”</w:t>
      </w:r>
      <w:r w:rsidRPr="003313C4">
        <w:t xml:space="preserve"> Stationary point sources of noise, including stationary mobile sources such as idling vehicles, attenuate (i.e., reduce) at a rate between 6 dBA for acoustically </w:t>
      </w:r>
      <w:r>
        <w:t>“</w:t>
      </w:r>
      <w:r w:rsidRPr="003313C4">
        <w:t>hard</w:t>
      </w:r>
      <w:r>
        <w:t>”</w:t>
      </w:r>
      <w:r w:rsidRPr="003313C4">
        <w:t xml:space="preserve"> sites for each doubling of distance from the reference measurement, Caltrans, Technical Noise Supplement, September, 2013.</w:t>
      </w:r>
    </w:p>
  </w:footnote>
  <w:footnote w:id="9">
    <w:p w14:paraId="1A8A1D30" w14:textId="6E9A2318" w:rsidR="00D80B89" w:rsidRDefault="00D80B89" w:rsidP="00F90D5B">
      <w:pPr>
        <w:pStyle w:val="FootnoteText"/>
      </w:pPr>
      <w:r w:rsidRPr="00294DC9">
        <w:rPr>
          <w:rStyle w:val="FootnoteReference"/>
        </w:rPr>
        <w:footnoteRef/>
      </w:r>
      <w:r>
        <w:t xml:space="preserve"> </w:t>
      </w:r>
      <w:r>
        <w:tab/>
        <w:t xml:space="preserve">Available capacity derived from the total </w:t>
      </w:r>
      <w:r w:rsidRPr="00FE10E7">
        <w:t xml:space="preserve">capacity of 400 million mgd </w:t>
      </w:r>
      <w:r>
        <w:t>subtracted by</w:t>
      </w:r>
      <w:r w:rsidRPr="00FE10E7">
        <w:t xml:space="preserve"> 261.1 mgd</w:t>
      </w:r>
      <w:r w:rsidRPr="001E27B1">
        <w:t xml:space="preserve"> </w:t>
      </w:r>
      <w:r w:rsidRPr="00FE10E7">
        <w:t>average flow currently processe</w:t>
      </w:r>
      <w:r>
        <w:t>d at the JWPCP.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80EDC" w14:textId="77777777" w:rsidR="00D80B89" w:rsidRDefault="00D80B89" w:rsidP="00097C9C">
    <w:pPr>
      <w:pStyle w:val="Header"/>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ED4F9" w14:textId="77777777" w:rsidR="00D80B89" w:rsidRDefault="00D80B89" w:rsidP="00133AD7"/>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E40B" w14:textId="3F368A5C" w:rsidR="00D80B89" w:rsidRPr="00CE20B1" w:rsidRDefault="00D80B89" w:rsidP="00133AD7">
    <w:pPr>
      <w:pStyle w:val="Header"/>
    </w:pPr>
    <w:r>
      <w:t>1. Introduction</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1BBAC" w14:textId="7DAE5C05" w:rsidR="00D80B89" w:rsidRPr="006E2A76" w:rsidRDefault="00D80B89" w:rsidP="00133AD7">
    <w:pPr>
      <w:pStyle w:val="Header"/>
      <w:jc w:val="right"/>
    </w:pPr>
    <w:r>
      <w:t>1. Introduction</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E3797" w14:textId="777E3542" w:rsidR="00D80B89" w:rsidRPr="00F47035" w:rsidRDefault="00D80B89" w:rsidP="00133AD7">
    <w:pPr>
      <w:pStyle w:val="Header"/>
      <w:tabs>
        <w:tab w:val="right" w:pos="4050"/>
        <w:tab w:val="left" w:pos="4140"/>
      </w:tabs>
      <w:spacing w:before="20" w:after="480"/>
      <w:rPr>
        <w:rFonts w:eastAsia="Arial Unicode MS" w:cs="Arial"/>
        <w:szCs w:val="14"/>
      </w:rPr>
    </w:pPr>
    <w:r>
      <w:rPr>
        <w:rFonts w:eastAsia="Arial Unicode MS" w:cs="Arial"/>
        <w:szCs w:val="14"/>
      </w:rPr>
      <w:t>2. Project Description</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3C635" w14:textId="7DE79BCE" w:rsidR="00D80B89" w:rsidRPr="00F47035" w:rsidRDefault="00D80B89" w:rsidP="00133AD7">
    <w:pPr>
      <w:pStyle w:val="Header"/>
      <w:tabs>
        <w:tab w:val="right" w:pos="4050"/>
        <w:tab w:val="left" w:pos="4140"/>
      </w:tabs>
      <w:jc w:val="right"/>
      <w:rPr>
        <w:rFonts w:eastAsia="Arial Unicode MS" w:cs="Arial"/>
        <w:szCs w:val="14"/>
      </w:rPr>
    </w:pPr>
    <w:r>
      <w:rPr>
        <w:rFonts w:eastAsia="Arial Unicode MS" w:cs="Arial"/>
        <w:szCs w:val="14"/>
      </w:rPr>
      <w:t>2. Project Description</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FDD02" w14:textId="77777777" w:rsidR="00D80B89" w:rsidRPr="00F47035" w:rsidRDefault="00D80B89" w:rsidP="00133AD7">
    <w:pPr>
      <w:pStyle w:val="Header"/>
      <w:tabs>
        <w:tab w:val="right" w:pos="4050"/>
        <w:tab w:val="left" w:pos="4140"/>
      </w:tabs>
      <w:spacing w:before="20" w:after="480"/>
      <w:rPr>
        <w:rFonts w:eastAsia="Arial Unicode MS" w:cs="Arial"/>
        <w:szCs w:val="14"/>
      </w:rPr>
    </w:pPr>
    <w:r>
      <w:rPr>
        <w:rFonts w:eastAsia="Arial Unicode MS" w:cs="Arial"/>
        <w:szCs w:val="14"/>
      </w:rPr>
      <w:t>3. Environmental Checklist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6704" w14:textId="77777777" w:rsidR="00D80B89" w:rsidRPr="00F47035" w:rsidRDefault="00D80B89" w:rsidP="00133AD7">
    <w:pPr>
      <w:pStyle w:val="Header"/>
      <w:tabs>
        <w:tab w:val="right" w:pos="4050"/>
        <w:tab w:val="left" w:pos="4140"/>
      </w:tabs>
      <w:jc w:val="right"/>
      <w:rPr>
        <w:rFonts w:eastAsia="Arial Unicode MS" w:cs="Arial"/>
        <w:szCs w:val="14"/>
      </w:rPr>
    </w:pPr>
    <w:r>
      <w:rPr>
        <w:rFonts w:eastAsia="Arial Unicode MS" w:cs="Arial"/>
        <w:szCs w:val="14"/>
      </w:rPr>
      <w:t>3. Environmental Checklist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A829C" w14:textId="77777777" w:rsidR="00D80B89" w:rsidRDefault="00D80B89" w:rsidP="00133AD7"/>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1CDF8" w14:textId="5486BE7E" w:rsidR="00D80B89" w:rsidRPr="00F47035" w:rsidRDefault="00D80B89" w:rsidP="00133AD7">
    <w:pPr>
      <w:pStyle w:val="Header"/>
      <w:tabs>
        <w:tab w:val="right" w:pos="4050"/>
        <w:tab w:val="left" w:pos="4140"/>
      </w:tabs>
      <w:spacing w:before="20" w:after="480"/>
      <w:rPr>
        <w:rFonts w:eastAsia="Arial Unicode MS" w:cs="Arial"/>
        <w:szCs w:val="14"/>
      </w:rPr>
    </w:pPr>
    <w:r>
      <w:rPr>
        <w:rFonts w:eastAsia="Arial Unicode MS" w:cs="Arial"/>
        <w:szCs w:val="14"/>
      </w:rPr>
      <w:t>4. References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6AB2C" w14:textId="057D95F5" w:rsidR="00D80B89" w:rsidRPr="00F47035" w:rsidRDefault="00D80B89" w:rsidP="00133AD7">
    <w:pPr>
      <w:pStyle w:val="Header"/>
      <w:tabs>
        <w:tab w:val="right" w:pos="4050"/>
        <w:tab w:val="left" w:pos="4140"/>
      </w:tabs>
      <w:jc w:val="right"/>
      <w:rPr>
        <w:rFonts w:eastAsia="Arial Unicode MS" w:cs="Arial"/>
        <w:szCs w:val="14"/>
      </w:rPr>
    </w:pPr>
    <w:r>
      <w:rPr>
        <w:rFonts w:eastAsia="Arial Unicode MS" w:cs="Arial"/>
        <w:szCs w:val="14"/>
      </w:rPr>
      <w:t>4. References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DAF0C" w14:textId="77777777" w:rsidR="00D80B89" w:rsidRDefault="00D80B89" w:rsidP="00133AD7">
    <w:r>
      <w:rPr>
        <w:noProof/>
      </w:rPr>
      <mc:AlternateContent>
        <mc:Choice Requires="wps">
          <w:drawing>
            <wp:anchor distT="0" distB="0" distL="114300" distR="114300" simplePos="0" relativeHeight="251659264" behindDoc="1" locked="0" layoutInCell="1" allowOverlap="1" wp14:anchorId="78E8FCCE" wp14:editId="1D376A11">
              <wp:simplePos x="0" y="0"/>
              <wp:positionH relativeFrom="column">
                <wp:posOffset>-512618</wp:posOffset>
              </wp:positionH>
              <wp:positionV relativeFrom="paragraph">
                <wp:posOffset>3941618</wp:posOffset>
              </wp:positionV>
              <wp:extent cx="1275080" cy="671195"/>
              <wp:effectExtent l="0" t="0" r="127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080" cy="671195"/>
                      </a:xfrm>
                      <a:prstGeom prst="rect">
                        <a:avLst/>
                      </a:prstGeom>
                      <a:solidFill>
                        <a:srgbClr val="EC952E"/>
                      </a:solidFill>
                      <a:ln>
                        <a:noFill/>
                      </a:ln>
                    </wps:spPr>
                    <wps:txbx>
                      <w:txbxContent>
                        <w:p w14:paraId="756A878B" w14:textId="77777777" w:rsidR="00D80B89" w:rsidRDefault="00D80B89" w:rsidP="00133AD7"/>
                      </w:txbxContent>
                    </wps:txbx>
                    <wps:bodyPr rot="0" vert="horz" wrap="square" lIns="91440" tIns="45720" rIns="91440" bIns="45720" anchor="t" anchorCtr="0" upright="1">
                      <a:noAutofit/>
                    </wps:bodyPr>
                  </wps:wsp>
                </a:graphicData>
              </a:graphic>
            </wp:anchor>
          </w:drawing>
        </mc:Choice>
        <mc:Fallback xmlns:oel="http://schemas.microsoft.com/office/2019/extlst">
          <w:pict>
            <v:shapetype w14:anchorId="78E8FCCE" id="_x0000_t202" coordsize="21600,21600" o:spt="202" path="m,l,21600r21600,l21600,xe">
              <v:stroke joinstyle="miter"/>
              <v:path gradientshapeok="t" o:connecttype="rect"/>
            </v:shapetype>
            <v:shape id="Text Box 2" o:spid="_x0000_s1026" type="#_x0000_t202" style="position:absolute;margin-left:-40.35pt;margin-top:310.35pt;width:100.4pt;height:52.8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K+SCAIAAO8DAAAOAAAAZHJzL2Uyb0RvYy54bWysU8Fu2zAMvQ/YPwi6L46NpGmMOEWXtsOA&#10;rhvQ7gNkWbaF2aJGKbGzrx8lp1m23YZdBFEkH/keqc3N2HfsoNBpMAVPZ3POlJFQadMU/OvLw7tr&#10;zpwXphIdGFXwo3L8Zvv2zWawucqgha5SyAjEuHywBW+9t3mSONmqXrgZWGXIWQP2wpOJTVKhGAi9&#10;75JsPr9KBsDKIkjlHL3eTU6+jfh1raT/XNdOedYVnHrz8cR4luFMthuRNyhsq+WpDfEPXfRCGyp6&#10;hroTXrA96r+gei0RHNR+JqFPoK61VJEDsUnnf7B5boVVkQuJ4+xZJvf/YOXT4QsyXRWcBmVETyN6&#10;UaNn72FkWVBnsC6noGdLYX6kZ5pyZOrsI8hvjhnYtcI06hYRhlaJirpLQ2ZykTrhuABSDp+gojJi&#10;7yECjTX2QToSgxE6Tel4nkxoRYaS2Wo5vyaXJN/VKk3Xy1hC5K/ZFp3/oKBn4VJwpMlHdHF4dD50&#10;I/LXkFDMQaerB9110cCm3HXIDoK25H63Xmb3J/TfwjoTgg2EtAkxvESagdnE0Y/leJKthOpIhBGm&#10;raNfQpcW8AdnA21cwd33vUDFWffRkGjrdLEIKxqNxXKVkYGXnvLSI4wkqIJ7zqbrzk9rvbeom5Yq&#10;TWMycEtC1zpqECYydXXqm7YqSnP6AWFtL+0Y9eufbn8CAAD//wMAUEsDBBQABgAIAAAAIQBaQUib&#10;3QAAAAsBAAAPAAAAZHJzL2Rvd25yZXYueG1sTI9Nb4MwDIbvk/YfIlfarU2KNkAMU+1TO+y0boce&#10;U+ICKnEQSVv27xdO682WH71+3nIz2V6cafSdY4T1SoEgrp3puEH4+X5f5iB80Gx075gQfsnDprq9&#10;KXVh3IW/6LwNjYgh7AuN0IYwFFL6uiWr/coNxPF2cKPVIa5jI82oLzHc9jJRKpVWdxw/tHqgl5bq&#10;4/ZkEWymPszrQwSfPw87m/dm91YbxLvF9PQIItAU/mGY9aM6VNFp705svOgRlrnKIoqQJvMwE4la&#10;g9gjZEl6D7Iq5XWH6g8AAP//AwBQSwECLQAUAAYACAAAACEAtoM4kv4AAADhAQAAEwAAAAAAAAAA&#10;AAAAAAAAAAAAW0NvbnRlbnRfVHlwZXNdLnhtbFBLAQItABQABgAIAAAAIQA4/SH/1gAAAJQBAAAL&#10;AAAAAAAAAAAAAAAAAC8BAABfcmVscy8ucmVsc1BLAQItABQABgAIAAAAIQCY6K+SCAIAAO8DAAAO&#10;AAAAAAAAAAAAAAAAAC4CAABkcnMvZTJvRG9jLnhtbFBLAQItABQABgAIAAAAIQBaQUib3QAAAAsB&#10;AAAPAAAAAAAAAAAAAAAAAGIEAABkcnMvZG93bnJldi54bWxQSwUGAAAAAAQABADzAAAAbAUAAAAA&#10;" fillcolor="#ec952e" stroked="f">
              <v:textbox>
                <w:txbxContent>
                  <w:p w14:paraId="756A878B" w14:textId="77777777" w:rsidR="00D80B89" w:rsidRDefault="00D80B89" w:rsidP="00133AD7"/>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C48C" w14:textId="77777777" w:rsidR="00D80B89" w:rsidRPr="00CE20B1" w:rsidRDefault="00D80B89" w:rsidP="00CE20B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8E40B" w14:textId="77777777" w:rsidR="00D80B89" w:rsidRDefault="00D80B89" w:rsidP="004F7A7C">
    <w:pPr>
      <w:pStyle w:val="Header"/>
      <w:jc w:val="right"/>
    </w:pPr>
    <w:r>
      <w:t>Table of Contents</w:t>
    </w:r>
  </w:p>
  <w:p w14:paraId="1EB1660C" w14:textId="77777777" w:rsidR="00D80B89" w:rsidRDefault="00D80B89" w:rsidP="004F7A7C">
    <w:pPr>
      <w:pStyle w:val="Header2ndline"/>
      <w:spacing w:after="360"/>
      <w:jc w:val="right"/>
    </w:pPr>
  </w:p>
  <w:p w14:paraId="16A48AFE" w14:textId="77777777" w:rsidR="00D80B89" w:rsidRPr="00592CDF" w:rsidRDefault="00D80B89" w:rsidP="004F7A7C">
    <w:pPr>
      <w:pStyle w:val="Header2ndline"/>
      <w:spacing w:after="240"/>
      <w:jc w:val="right"/>
      <w:rPr>
        <w:rFonts w:cs="Arial"/>
        <w:sz w:val="21"/>
        <w:szCs w:val="21"/>
        <w:u w:val="single"/>
      </w:rPr>
    </w:pPr>
    <w:r w:rsidRPr="003B7B57">
      <w:rPr>
        <w:rFonts w:cs="Arial"/>
        <w:sz w:val="21"/>
        <w:szCs w:val="21"/>
        <w:u w:val="single"/>
      </w:rPr>
      <w:t>Page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FD66" w14:textId="77777777" w:rsidR="00D80B89" w:rsidRDefault="00D80B89" w:rsidP="00133AD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D974" w14:textId="77777777" w:rsidR="00D80B89" w:rsidRDefault="00D80B89" w:rsidP="00592CDF">
    <w:pPr>
      <w:pStyle w:val="Header"/>
    </w:pPr>
    <w:r>
      <w:t>Table of Contents</w:t>
    </w:r>
  </w:p>
  <w:p w14:paraId="152DFBC7" w14:textId="53B8284C" w:rsidR="00D80B89" w:rsidRDefault="00D80B89" w:rsidP="0073385B">
    <w:pPr>
      <w:pStyle w:val="Header2ndline"/>
      <w:spacing w:after="360"/>
    </w:pPr>
  </w:p>
  <w:p w14:paraId="14E8C0A7" w14:textId="77777777" w:rsidR="00D80B89" w:rsidRPr="0050235E" w:rsidRDefault="00D80B89" w:rsidP="004874A4">
    <w:pPr>
      <w:pStyle w:val="TOCPage"/>
      <w:spacing w:after="240"/>
    </w:pPr>
    <w:r>
      <w:t>Page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5350B" w14:textId="77777777" w:rsidR="00D80B89" w:rsidRDefault="00D80B89" w:rsidP="00133AD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BF2D3" w14:textId="77777777" w:rsidR="00D80B89" w:rsidRDefault="00D80B89" w:rsidP="00592CDF">
    <w:pPr>
      <w:pStyle w:val="Header"/>
    </w:pPr>
    <w:r>
      <w:t>Acronyms and Abbreviations</w:t>
    </w:r>
  </w:p>
  <w:p w14:paraId="4E6F7513" w14:textId="77777777" w:rsidR="00D80B89" w:rsidRDefault="00D80B89" w:rsidP="0073385B">
    <w:pPr>
      <w:pStyle w:val="Header2ndline"/>
      <w:spacing w:after="36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15D5A" w14:textId="77777777" w:rsidR="00D80B89" w:rsidRDefault="00D80B89" w:rsidP="004F7A7C">
    <w:pPr>
      <w:pStyle w:val="Header"/>
      <w:jc w:val="right"/>
    </w:pPr>
    <w:r>
      <w:t>Acronyms and Abbreviations</w:t>
    </w:r>
  </w:p>
  <w:p w14:paraId="602733B0" w14:textId="77777777" w:rsidR="00D80B89" w:rsidRDefault="00D80B89" w:rsidP="004F7A7C">
    <w:pPr>
      <w:pStyle w:val="Header2ndline"/>
      <w:spacing w:after="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D7C"/>
    <w:multiLevelType w:val="hybridMultilevel"/>
    <w:tmpl w:val="A4DE5B3A"/>
    <w:lvl w:ilvl="0" w:tplc="165E79D8">
      <w:start w:val="1"/>
      <w:numFmt w:val="bullet"/>
      <w:pStyle w:val="Tabletext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4E8705E"/>
    <w:multiLevelType w:val="hybridMultilevel"/>
    <w:tmpl w:val="F2C62A22"/>
    <w:lvl w:ilvl="0" w:tplc="61682C9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5A2308"/>
    <w:multiLevelType w:val="hybridMultilevel"/>
    <w:tmpl w:val="B122FE54"/>
    <w:lvl w:ilvl="0" w:tplc="F68637E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14141"/>
    <w:multiLevelType w:val="hybridMultilevel"/>
    <w:tmpl w:val="45285FCA"/>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 w15:restartNumberingAfterBreak="0">
    <w:nsid w:val="19F16F5C"/>
    <w:multiLevelType w:val="hybridMultilevel"/>
    <w:tmpl w:val="70446EF2"/>
    <w:lvl w:ilvl="0" w:tplc="3BD0FB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621E2"/>
    <w:multiLevelType w:val="hybridMultilevel"/>
    <w:tmpl w:val="285E1998"/>
    <w:lvl w:ilvl="0" w:tplc="22EAAEEC">
      <w:start w:val="1"/>
      <w:numFmt w:val="bullet"/>
      <w:pStyle w:val="Mitigationbulletinden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6D70D3"/>
    <w:multiLevelType w:val="multilevel"/>
    <w:tmpl w:val="3F76DB54"/>
    <w:styleLink w:val="NumberedListStyle"/>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lowerLetter"/>
      <w:pStyle w:val="ListNumber4"/>
      <w:lvlText w:val="%4)"/>
      <w:lvlJc w:val="left"/>
      <w:pPr>
        <w:ind w:left="1440" w:hanging="360"/>
      </w:pPr>
      <w:rPr>
        <w:rFonts w:hint="default"/>
      </w:rPr>
    </w:lvl>
    <w:lvl w:ilvl="4">
      <w:start w:val="1"/>
      <w:numFmt w:val="decimal"/>
      <w:pStyle w:val="ListNumber5"/>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2C5F704B"/>
    <w:multiLevelType w:val="multilevel"/>
    <w:tmpl w:val="0704A50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Times" w:hAnsi="Time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Times" w:hAnsi="Times" w:hint="default"/>
      </w:rPr>
    </w:lvl>
    <w:lvl w:ilvl="4">
      <w:start w:val="1"/>
      <w:numFmt w:val="bullet"/>
      <w:lvlText w:val="•"/>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8" w15:restartNumberingAfterBreak="0">
    <w:nsid w:val="2FFB6ED5"/>
    <w:multiLevelType w:val="multilevel"/>
    <w:tmpl w:val="0704A500"/>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Times" w:hAnsi="Times" w:hint="default"/>
      </w:rPr>
    </w:lvl>
    <w:lvl w:ilvl="2">
      <w:start w:val="1"/>
      <w:numFmt w:val="bullet"/>
      <w:pStyle w:val="ListBullet3"/>
      <w:lvlText w:val=""/>
      <w:lvlJc w:val="left"/>
      <w:pPr>
        <w:ind w:left="1080" w:hanging="360"/>
      </w:pPr>
      <w:rPr>
        <w:rFonts w:ascii="Wingdings" w:hAnsi="Wingdings" w:hint="default"/>
      </w:rPr>
    </w:lvl>
    <w:lvl w:ilvl="3">
      <w:start w:val="1"/>
      <w:numFmt w:val="bullet"/>
      <w:pStyle w:val="ListBullet4"/>
      <w:lvlText w:val="-"/>
      <w:lvlJc w:val="left"/>
      <w:pPr>
        <w:ind w:left="1440" w:hanging="360"/>
      </w:pPr>
      <w:rPr>
        <w:rFonts w:ascii="Times" w:hAnsi="Times" w:hint="default"/>
      </w:rPr>
    </w:lvl>
    <w:lvl w:ilvl="4">
      <w:start w:val="1"/>
      <w:numFmt w:val="bullet"/>
      <w:pStyle w:val="ListBullet5"/>
      <w:lvlText w:val="•"/>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9" w15:restartNumberingAfterBreak="0">
    <w:nsid w:val="3B805FE0"/>
    <w:multiLevelType w:val="hybridMultilevel"/>
    <w:tmpl w:val="B4EC6C3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DA2421"/>
    <w:multiLevelType w:val="multilevel"/>
    <w:tmpl w:val="E77E521E"/>
    <w:styleLink w:val="BulletedListStyl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Times" w:hAnsi="Time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Times" w:hAnsi="Times" w:hint="default"/>
      </w:rPr>
    </w:lvl>
    <w:lvl w:ilvl="4">
      <w:start w:val="1"/>
      <w:numFmt w:val="bullet"/>
      <w:lvlText w:val="•"/>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5C0A2B9B"/>
    <w:multiLevelType w:val="hybridMultilevel"/>
    <w:tmpl w:val="4DA4E7DE"/>
    <w:lvl w:ilvl="0" w:tplc="0B4013B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4077FA"/>
    <w:multiLevelType w:val="hybridMultilevel"/>
    <w:tmpl w:val="1C44BC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D1223C7"/>
    <w:multiLevelType w:val="multilevel"/>
    <w:tmpl w:val="04090023"/>
    <w:styleLink w:val="ArticleSection"/>
    <w:lvl w:ilvl="0">
      <w:start w:val="1"/>
      <w:numFmt w:val="upperRoman"/>
      <w:lvlText w:val="Article %1."/>
      <w:lvlJc w:val="left"/>
      <w:pPr>
        <w:tabs>
          <w:tab w:val="num" w:pos="288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72395820"/>
    <w:multiLevelType w:val="hybridMultilevel"/>
    <w:tmpl w:val="0492AA2A"/>
    <w:lvl w:ilvl="0" w:tplc="7B38B2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D504DB"/>
    <w:multiLevelType w:val="hybridMultilevel"/>
    <w:tmpl w:val="6B028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6"/>
  </w:num>
  <w:num w:numId="4">
    <w:abstractNumId w:val="0"/>
  </w:num>
  <w:num w:numId="5">
    <w:abstractNumId w:val="13"/>
  </w:num>
  <w:num w:numId="6">
    <w:abstractNumId w:val="8"/>
  </w:num>
  <w:num w:numId="7">
    <w:abstractNumId w:val="2"/>
  </w:num>
  <w:num w:numId="8">
    <w:abstractNumId w:val="9"/>
  </w:num>
  <w:num w:numId="9">
    <w:abstractNumId w:val="11"/>
  </w:num>
  <w:num w:numId="10">
    <w:abstractNumId w:val="15"/>
  </w:num>
  <w:num w:numId="11">
    <w:abstractNumId w:val="7"/>
  </w:num>
  <w:num w:numId="12">
    <w:abstractNumId w:val="3"/>
  </w:num>
  <w:num w:numId="13">
    <w:abstractNumId w:val="1"/>
  </w:num>
  <w:num w:numId="14">
    <w:abstractNumId w:val="12"/>
  </w:num>
  <w:num w:numId="15">
    <w:abstractNumId w:val="4"/>
  </w:num>
  <w:num w:numId="16">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lickAndTypeStyle w:val="12space"/>
  <w:evenAndOddHeaders/>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S1MDM3s7Q0MTIxsjBR0lEKTi0uzszPAykwrAUAxI5b2iwAAAA="/>
  </w:docVars>
  <w:rsids>
    <w:rsidRoot w:val="00446E53"/>
    <w:rsid w:val="000000E0"/>
    <w:rsid w:val="00001A2E"/>
    <w:rsid w:val="00002131"/>
    <w:rsid w:val="00003653"/>
    <w:rsid w:val="0000506B"/>
    <w:rsid w:val="00005299"/>
    <w:rsid w:val="000077C6"/>
    <w:rsid w:val="00012A0B"/>
    <w:rsid w:val="000136FB"/>
    <w:rsid w:val="00014A1E"/>
    <w:rsid w:val="00017030"/>
    <w:rsid w:val="000176BF"/>
    <w:rsid w:val="00017991"/>
    <w:rsid w:val="0002030B"/>
    <w:rsid w:val="00020F94"/>
    <w:rsid w:val="00022B3B"/>
    <w:rsid w:val="00023396"/>
    <w:rsid w:val="00026428"/>
    <w:rsid w:val="000268F3"/>
    <w:rsid w:val="000273B8"/>
    <w:rsid w:val="00027F89"/>
    <w:rsid w:val="000303E9"/>
    <w:rsid w:val="00031BA6"/>
    <w:rsid w:val="000330D2"/>
    <w:rsid w:val="000340EC"/>
    <w:rsid w:val="00034471"/>
    <w:rsid w:val="000353B6"/>
    <w:rsid w:val="00035494"/>
    <w:rsid w:val="0003561B"/>
    <w:rsid w:val="00035D8F"/>
    <w:rsid w:val="00036240"/>
    <w:rsid w:val="00036923"/>
    <w:rsid w:val="00036CCF"/>
    <w:rsid w:val="000376BB"/>
    <w:rsid w:val="00042120"/>
    <w:rsid w:val="000436BE"/>
    <w:rsid w:val="0004589A"/>
    <w:rsid w:val="00045A36"/>
    <w:rsid w:val="00045E10"/>
    <w:rsid w:val="000462A2"/>
    <w:rsid w:val="00046487"/>
    <w:rsid w:val="00046E1D"/>
    <w:rsid w:val="00047DD4"/>
    <w:rsid w:val="00050028"/>
    <w:rsid w:val="0005069E"/>
    <w:rsid w:val="00050D7B"/>
    <w:rsid w:val="00050D9F"/>
    <w:rsid w:val="000517B1"/>
    <w:rsid w:val="00052548"/>
    <w:rsid w:val="000531C0"/>
    <w:rsid w:val="00053D6E"/>
    <w:rsid w:val="000553F9"/>
    <w:rsid w:val="00057C25"/>
    <w:rsid w:val="00060F65"/>
    <w:rsid w:val="00060FD8"/>
    <w:rsid w:val="00062047"/>
    <w:rsid w:val="000634A4"/>
    <w:rsid w:val="00064009"/>
    <w:rsid w:val="0006406A"/>
    <w:rsid w:val="00064405"/>
    <w:rsid w:val="00064CE8"/>
    <w:rsid w:val="0006500A"/>
    <w:rsid w:val="00065FE9"/>
    <w:rsid w:val="000661F6"/>
    <w:rsid w:val="000669A8"/>
    <w:rsid w:val="00067737"/>
    <w:rsid w:val="000679FE"/>
    <w:rsid w:val="00070A71"/>
    <w:rsid w:val="0007228F"/>
    <w:rsid w:val="00073188"/>
    <w:rsid w:val="00073749"/>
    <w:rsid w:val="00074E38"/>
    <w:rsid w:val="00075A92"/>
    <w:rsid w:val="000769B0"/>
    <w:rsid w:val="000818F1"/>
    <w:rsid w:val="00082A2F"/>
    <w:rsid w:val="000840DF"/>
    <w:rsid w:val="00084E54"/>
    <w:rsid w:val="000851C2"/>
    <w:rsid w:val="0008535B"/>
    <w:rsid w:val="00085996"/>
    <w:rsid w:val="00086262"/>
    <w:rsid w:val="00087279"/>
    <w:rsid w:val="0008754D"/>
    <w:rsid w:val="00087840"/>
    <w:rsid w:val="000905ED"/>
    <w:rsid w:val="000917EA"/>
    <w:rsid w:val="00092845"/>
    <w:rsid w:val="000940B0"/>
    <w:rsid w:val="000949DF"/>
    <w:rsid w:val="00094CEB"/>
    <w:rsid w:val="0009506E"/>
    <w:rsid w:val="00096056"/>
    <w:rsid w:val="00097C9C"/>
    <w:rsid w:val="00097F30"/>
    <w:rsid w:val="000A0861"/>
    <w:rsid w:val="000A0A75"/>
    <w:rsid w:val="000A1190"/>
    <w:rsid w:val="000A2337"/>
    <w:rsid w:val="000A32BF"/>
    <w:rsid w:val="000A3B40"/>
    <w:rsid w:val="000A3D03"/>
    <w:rsid w:val="000A5037"/>
    <w:rsid w:val="000A53B8"/>
    <w:rsid w:val="000A59A2"/>
    <w:rsid w:val="000A5BDD"/>
    <w:rsid w:val="000A69DD"/>
    <w:rsid w:val="000A6A09"/>
    <w:rsid w:val="000A6B28"/>
    <w:rsid w:val="000A6F8A"/>
    <w:rsid w:val="000A703E"/>
    <w:rsid w:val="000A76A3"/>
    <w:rsid w:val="000A7B67"/>
    <w:rsid w:val="000A7D6B"/>
    <w:rsid w:val="000B02C2"/>
    <w:rsid w:val="000B05ED"/>
    <w:rsid w:val="000B11E5"/>
    <w:rsid w:val="000B1C6B"/>
    <w:rsid w:val="000B225C"/>
    <w:rsid w:val="000B2E36"/>
    <w:rsid w:val="000B3726"/>
    <w:rsid w:val="000B40BA"/>
    <w:rsid w:val="000B5227"/>
    <w:rsid w:val="000B577D"/>
    <w:rsid w:val="000B6EF3"/>
    <w:rsid w:val="000C0BF3"/>
    <w:rsid w:val="000C155B"/>
    <w:rsid w:val="000C24D8"/>
    <w:rsid w:val="000C30A8"/>
    <w:rsid w:val="000C3112"/>
    <w:rsid w:val="000C503C"/>
    <w:rsid w:val="000C52FD"/>
    <w:rsid w:val="000D04F7"/>
    <w:rsid w:val="000D0A73"/>
    <w:rsid w:val="000D3056"/>
    <w:rsid w:val="000D421A"/>
    <w:rsid w:val="000D5C05"/>
    <w:rsid w:val="000D60B8"/>
    <w:rsid w:val="000D74C0"/>
    <w:rsid w:val="000D7878"/>
    <w:rsid w:val="000E33EA"/>
    <w:rsid w:val="000E40BA"/>
    <w:rsid w:val="000E4235"/>
    <w:rsid w:val="000E4A1E"/>
    <w:rsid w:val="000E5DCE"/>
    <w:rsid w:val="000F123E"/>
    <w:rsid w:val="000F1416"/>
    <w:rsid w:val="000F17F5"/>
    <w:rsid w:val="000F1A74"/>
    <w:rsid w:val="000F2679"/>
    <w:rsid w:val="000F2796"/>
    <w:rsid w:val="000F2A31"/>
    <w:rsid w:val="000F4592"/>
    <w:rsid w:val="000F4DD9"/>
    <w:rsid w:val="000F50EE"/>
    <w:rsid w:val="000F5DF3"/>
    <w:rsid w:val="000F7C02"/>
    <w:rsid w:val="000F7C07"/>
    <w:rsid w:val="0010209B"/>
    <w:rsid w:val="0010254B"/>
    <w:rsid w:val="001029AA"/>
    <w:rsid w:val="00102F55"/>
    <w:rsid w:val="001034A9"/>
    <w:rsid w:val="00105013"/>
    <w:rsid w:val="00106728"/>
    <w:rsid w:val="00107530"/>
    <w:rsid w:val="001105F5"/>
    <w:rsid w:val="00111292"/>
    <w:rsid w:val="001126A1"/>
    <w:rsid w:val="00112D56"/>
    <w:rsid w:val="001132BB"/>
    <w:rsid w:val="001138D7"/>
    <w:rsid w:val="00113F4A"/>
    <w:rsid w:val="001142E4"/>
    <w:rsid w:val="001146B8"/>
    <w:rsid w:val="00114A3B"/>
    <w:rsid w:val="001157A5"/>
    <w:rsid w:val="0011594F"/>
    <w:rsid w:val="00115CB9"/>
    <w:rsid w:val="0011687B"/>
    <w:rsid w:val="001168E5"/>
    <w:rsid w:val="00116F4E"/>
    <w:rsid w:val="001173BC"/>
    <w:rsid w:val="00121C0D"/>
    <w:rsid w:val="00123532"/>
    <w:rsid w:val="001260B0"/>
    <w:rsid w:val="00126F76"/>
    <w:rsid w:val="0012706D"/>
    <w:rsid w:val="00127136"/>
    <w:rsid w:val="00127F06"/>
    <w:rsid w:val="00130CA5"/>
    <w:rsid w:val="00132BB7"/>
    <w:rsid w:val="00132F0D"/>
    <w:rsid w:val="00133623"/>
    <w:rsid w:val="001338DB"/>
    <w:rsid w:val="00133AD7"/>
    <w:rsid w:val="001341EB"/>
    <w:rsid w:val="00135551"/>
    <w:rsid w:val="00135A25"/>
    <w:rsid w:val="00136024"/>
    <w:rsid w:val="001376F5"/>
    <w:rsid w:val="00137A6D"/>
    <w:rsid w:val="00137B17"/>
    <w:rsid w:val="0014002C"/>
    <w:rsid w:val="00140D69"/>
    <w:rsid w:val="00141B0D"/>
    <w:rsid w:val="00142BEA"/>
    <w:rsid w:val="0014361E"/>
    <w:rsid w:val="00144D63"/>
    <w:rsid w:val="001460E0"/>
    <w:rsid w:val="0014755C"/>
    <w:rsid w:val="00150247"/>
    <w:rsid w:val="00150FA1"/>
    <w:rsid w:val="001515D3"/>
    <w:rsid w:val="00151E3A"/>
    <w:rsid w:val="0015240A"/>
    <w:rsid w:val="00152832"/>
    <w:rsid w:val="00152C5A"/>
    <w:rsid w:val="001536CF"/>
    <w:rsid w:val="001550AB"/>
    <w:rsid w:val="00155140"/>
    <w:rsid w:val="00155333"/>
    <w:rsid w:val="00156609"/>
    <w:rsid w:val="001573E0"/>
    <w:rsid w:val="0015771C"/>
    <w:rsid w:val="001577D4"/>
    <w:rsid w:val="00157CAC"/>
    <w:rsid w:val="001602A6"/>
    <w:rsid w:val="00160F99"/>
    <w:rsid w:val="00163D2A"/>
    <w:rsid w:val="00164276"/>
    <w:rsid w:val="00164C6B"/>
    <w:rsid w:val="00164F39"/>
    <w:rsid w:val="00164FB0"/>
    <w:rsid w:val="001651C2"/>
    <w:rsid w:val="001652BF"/>
    <w:rsid w:val="0016654A"/>
    <w:rsid w:val="0016763D"/>
    <w:rsid w:val="0016770F"/>
    <w:rsid w:val="00170F9E"/>
    <w:rsid w:val="00171A16"/>
    <w:rsid w:val="001722E3"/>
    <w:rsid w:val="001726FD"/>
    <w:rsid w:val="00172715"/>
    <w:rsid w:val="001737CD"/>
    <w:rsid w:val="001754D8"/>
    <w:rsid w:val="0017554B"/>
    <w:rsid w:val="0017650C"/>
    <w:rsid w:val="00176C5E"/>
    <w:rsid w:val="00177643"/>
    <w:rsid w:val="00177EA1"/>
    <w:rsid w:val="001804AD"/>
    <w:rsid w:val="00181BE5"/>
    <w:rsid w:val="00181EFD"/>
    <w:rsid w:val="0018209F"/>
    <w:rsid w:val="00182499"/>
    <w:rsid w:val="0018357F"/>
    <w:rsid w:val="0018433A"/>
    <w:rsid w:val="00184827"/>
    <w:rsid w:val="00184A3F"/>
    <w:rsid w:val="00185880"/>
    <w:rsid w:val="0018615E"/>
    <w:rsid w:val="00193A9D"/>
    <w:rsid w:val="00193AE7"/>
    <w:rsid w:val="00193BEF"/>
    <w:rsid w:val="001948EF"/>
    <w:rsid w:val="00194CF3"/>
    <w:rsid w:val="0019519F"/>
    <w:rsid w:val="0019567A"/>
    <w:rsid w:val="00196699"/>
    <w:rsid w:val="00196A76"/>
    <w:rsid w:val="001971FA"/>
    <w:rsid w:val="00197D75"/>
    <w:rsid w:val="001A2806"/>
    <w:rsid w:val="001A2A53"/>
    <w:rsid w:val="001A2F7A"/>
    <w:rsid w:val="001A3198"/>
    <w:rsid w:val="001A39FC"/>
    <w:rsid w:val="001A3B8F"/>
    <w:rsid w:val="001A45CE"/>
    <w:rsid w:val="001A51C4"/>
    <w:rsid w:val="001A6708"/>
    <w:rsid w:val="001A6E22"/>
    <w:rsid w:val="001B04B5"/>
    <w:rsid w:val="001B4501"/>
    <w:rsid w:val="001B5633"/>
    <w:rsid w:val="001B5C21"/>
    <w:rsid w:val="001B798A"/>
    <w:rsid w:val="001B7B46"/>
    <w:rsid w:val="001C0A8D"/>
    <w:rsid w:val="001C16CC"/>
    <w:rsid w:val="001C20F9"/>
    <w:rsid w:val="001C2EC9"/>
    <w:rsid w:val="001C3CD9"/>
    <w:rsid w:val="001C4769"/>
    <w:rsid w:val="001C55ED"/>
    <w:rsid w:val="001C7375"/>
    <w:rsid w:val="001C7E32"/>
    <w:rsid w:val="001D09ED"/>
    <w:rsid w:val="001D1298"/>
    <w:rsid w:val="001D3AEF"/>
    <w:rsid w:val="001D4DF9"/>
    <w:rsid w:val="001D53F4"/>
    <w:rsid w:val="001D5BCC"/>
    <w:rsid w:val="001D624B"/>
    <w:rsid w:val="001D7B92"/>
    <w:rsid w:val="001E18DB"/>
    <w:rsid w:val="001E1C40"/>
    <w:rsid w:val="001E27B1"/>
    <w:rsid w:val="001E3077"/>
    <w:rsid w:val="001E30C0"/>
    <w:rsid w:val="001E32E8"/>
    <w:rsid w:val="001E7C2C"/>
    <w:rsid w:val="001F00CF"/>
    <w:rsid w:val="001F10B5"/>
    <w:rsid w:val="001F1237"/>
    <w:rsid w:val="001F2190"/>
    <w:rsid w:val="001F25BB"/>
    <w:rsid w:val="001F2788"/>
    <w:rsid w:val="001F31FE"/>
    <w:rsid w:val="001F340F"/>
    <w:rsid w:val="001F38B5"/>
    <w:rsid w:val="001F58D3"/>
    <w:rsid w:val="001F5A95"/>
    <w:rsid w:val="001F5C22"/>
    <w:rsid w:val="001F6FAB"/>
    <w:rsid w:val="001F75B4"/>
    <w:rsid w:val="001F7E24"/>
    <w:rsid w:val="001F7E4A"/>
    <w:rsid w:val="0020004D"/>
    <w:rsid w:val="0020012D"/>
    <w:rsid w:val="00200315"/>
    <w:rsid w:val="002007C6"/>
    <w:rsid w:val="00201704"/>
    <w:rsid w:val="0020432B"/>
    <w:rsid w:val="00204525"/>
    <w:rsid w:val="00204D22"/>
    <w:rsid w:val="00204F42"/>
    <w:rsid w:val="00205F51"/>
    <w:rsid w:val="00206BB4"/>
    <w:rsid w:val="0021016A"/>
    <w:rsid w:val="00210AD9"/>
    <w:rsid w:val="00210DE2"/>
    <w:rsid w:val="00212939"/>
    <w:rsid w:val="00215043"/>
    <w:rsid w:val="00215684"/>
    <w:rsid w:val="00215CFB"/>
    <w:rsid w:val="00217134"/>
    <w:rsid w:val="00217175"/>
    <w:rsid w:val="002179E3"/>
    <w:rsid w:val="0022082A"/>
    <w:rsid w:val="00222D70"/>
    <w:rsid w:val="002237C8"/>
    <w:rsid w:val="00223F20"/>
    <w:rsid w:val="00224DF5"/>
    <w:rsid w:val="00226EBF"/>
    <w:rsid w:val="00227DEF"/>
    <w:rsid w:val="00230AE8"/>
    <w:rsid w:val="002312D3"/>
    <w:rsid w:val="00231CDE"/>
    <w:rsid w:val="0023473B"/>
    <w:rsid w:val="002348BC"/>
    <w:rsid w:val="00240CD8"/>
    <w:rsid w:val="0024305C"/>
    <w:rsid w:val="00243C52"/>
    <w:rsid w:val="00243E60"/>
    <w:rsid w:val="0024520C"/>
    <w:rsid w:val="00245275"/>
    <w:rsid w:val="002456A6"/>
    <w:rsid w:val="00246C30"/>
    <w:rsid w:val="002506EF"/>
    <w:rsid w:val="00250E05"/>
    <w:rsid w:val="002539C1"/>
    <w:rsid w:val="00253B43"/>
    <w:rsid w:val="00253E5A"/>
    <w:rsid w:val="002548F9"/>
    <w:rsid w:val="00254D4C"/>
    <w:rsid w:val="0025623E"/>
    <w:rsid w:val="0025674B"/>
    <w:rsid w:val="00257DDE"/>
    <w:rsid w:val="0026147F"/>
    <w:rsid w:val="00261611"/>
    <w:rsid w:val="0026180B"/>
    <w:rsid w:val="00261CC2"/>
    <w:rsid w:val="00262B5F"/>
    <w:rsid w:val="00263790"/>
    <w:rsid w:val="00264125"/>
    <w:rsid w:val="002643BF"/>
    <w:rsid w:val="002653DB"/>
    <w:rsid w:val="00265801"/>
    <w:rsid w:val="00266354"/>
    <w:rsid w:val="002669BA"/>
    <w:rsid w:val="00266B9C"/>
    <w:rsid w:val="00270DD2"/>
    <w:rsid w:val="0027179D"/>
    <w:rsid w:val="00272176"/>
    <w:rsid w:val="00272B4D"/>
    <w:rsid w:val="00273EEE"/>
    <w:rsid w:val="002749F5"/>
    <w:rsid w:val="00275BD6"/>
    <w:rsid w:val="002777CF"/>
    <w:rsid w:val="00277FE7"/>
    <w:rsid w:val="0028014F"/>
    <w:rsid w:val="00281443"/>
    <w:rsid w:val="00281942"/>
    <w:rsid w:val="002823D3"/>
    <w:rsid w:val="0028333B"/>
    <w:rsid w:val="002857E0"/>
    <w:rsid w:val="00285C9A"/>
    <w:rsid w:val="002863E0"/>
    <w:rsid w:val="00286A93"/>
    <w:rsid w:val="0028704B"/>
    <w:rsid w:val="00287AFC"/>
    <w:rsid w:val="00290CFF"/>
    <w:rsid w:val="00290F5D"/>
    <w:rsid w:val="00292154"/>
    <w:rsid w:val="002923F9"/>
    <w:rsid w:val="00292D64"/>
    <w:rsid w:val="0029308F"/>
    <w:rsid w:val="00293650"/>
    <w:rsid w:val="00293754"/>
    <w:rsid w:val="00294DC9"/>
    <w:rsid w:val="0029555A"/>
    <w:rsid w:val="00296EF6"/>
    <w:rsid w:val="00297625"/>
    <w:rsid w:val="00297CEA"/>
    <w:rsid w:val="00297E4B"/>
    <w:rsid w:val="002A19C1"/>
    <w:rsid w:val="002A1C10"/>
    <w:rsid w:val="002A508D"/>
    <w:rsid w:val="002A5489"/>
    <w:rsid w:val="002A581E"/>
    <w:rsid w:val="002A6570"/>
    <w:rsid w:val="002A759A"/>
    <w:rsid w:val="002A77B9"/>
    <w:rsid w:val="002B062D"/>
    <w:rsid w:val="002B1774"/>
    <w:rsid w:val="002B18B9"/>
    <w:rsid w:val="002B1AA8"/>
    <w:rsid w:val="002B2A20"/>
    <w:rsid w:val="002B2D25"/>
    <w:rsid w:val="002B3325"/>
    <w:rsid w:val="002B6142"/>
    <w:rsid w:val="002B6967"/>
    <w:rsid w:val="002B70F1"/>
    <w:rsid w:val="002B7C44"/>
    <w:rsid w:val="002C124F"/>
    <w:rsid w:val="002C1660"/>
    <w:rsid w:val="002C174F"/>
    <w:rsid w:val="002C32EE"/>
    <w:rsid w:val="002C350D"/>
    <w:rsid w:val="002C468F"/>
    <w:rsid w:val="002C5219"/>
    <w:rsid w:val="002C59C2"/>
    <w:rsid w:val="002C675D"/>
    <w:rsid w:val="002C79FA"/>
    <w:rsid w:val="002D114D"/>
    <w:rsid w:val="002D25EA"/>
    <w:rsid w:val="002D26EE"/>
    <w:rsid w:val="002D3471"/>
    <w:rsid w:val="002D56D0"/>
    <w:rsid w:val="002D78A5"/>
    <w:rsid w:val="002D7FF1"/>
    <w:rsid w:val="002E1860"/>
    <w:rsid w:val="002E259F"/>
    <w:rsid w:val="002E2BE8"/>
    <w:rsid w:val="002E41CD"/>
    <w:rsid w:val="002E48F2"/>
    <w:rsid w:val="002E5076"/>
    <w:rsid w:val="002E6215"/>
    <w:rsid w:val="002E63D1"/>
    <w:rsid w:val="002E6D8D"/>
    <w:rsid w:val="002E729D"/>
    <w:rsid w:val="002E7767"/>
    <w:rsid w:val="002F05EC"/>
    <w:rsid w:val="002F0FE0"/>
    <w:rsid w:val="002F1BFE"/>
    <w:rsid w:val="002F28FD"/>
    <w:rsid w:val="002F3AC5"/>
    <w:rsid w:val="002F5906"/>
    <w:rsid w:val="002F689E"/>
    <w:rsid w:val="002F6A84"/>
    <w:rsid w:val="002F7E86"/>
    <w:rsid w:val="00300876"/>
    <w:rsid w:val="00300CBF"/>
    <w:rsid w:val="00301DDB"/>
    <w:rsid w:val="003028CD"/>
    <w:rsid w:val="00303004"/>
    <w:rsid w:val="0030445A"/>
    <w:rsid w:val="003047F7"/>
    <w:rsid w:val="0030697F"/>
    <w:rsid w:val="003075DE"/>
    <w:rsid w:val="00307A08"/>
    <w:rsid w:val="00307A6E"/>
    <w:rsid w:val="00307A7A"/>
    <w:rsid w:val="00307BC9"/>
    <w:rsid w:val="003103D2"/>
    <w:rsid w:val="00310896"/>
    <w:rsid w:val="00311EF5"/>
    <w:rsid w:val="0031316C"/>
    <w:rsid w:val="00313B2A"/>
    <w:rsid w:val="00313C31"/>
    <w:rsid w:val="00315AA1"/>
    <w:rsid w:val="00316061"/>
    <w:rsid w:val="003166E2"/>
    <w:rsid w:val="00316CBC"/>
    <w:rsid w:val="00317AD6"/>
    <w:rsid w:val="003211B1"/>
    <w:rsid w:val="00321B19"/>
    <w:rsid w:val="0032238D"/>
    <w:rsid w:val="003226C5"/>
    <w:rsid w:val="00322BDD"/>
    <w:rsid w:val="003255F2"/>
    <w:rsid w:val="00325EE6"/>
    <w:rsid w:val="00326283"/>
    <w:rsid w:val="00327034"/>
    <w:rsid w:val="003275B0"/>
    <w:rsid w:val="00327731"/>
    <w:rsid w:val="00327982"/>
    <w:rsid w:val="0033132C"/>
    <w:rsid w:val="0033134C"/>
    <w:rsid w:val="00331C4C"/>
    <w:rsid w:val="00332322"/>
    <w:rsid w:val="00332D42"/>
    <w:rsid w:val="0033495A"/>
    <w:rsid w:val="00335032"/>
    <w:rsid w:val="003358AB"/>
    <w:rsid w:val="00336BCE"/>
    <w:rsid w:val="00340B6E"/>
    <w:rsid w:val="00341621"/>
    <w:rsid w:val="0034173D"/>
    <w:rsid w:val="00341A54"/>
    <w:rsid w:val="00341AE6"/>
    <w:rsid w:val="0034257F"/>
    <w:rsid w:val="00342739"/>
    <w:rsid w:val="00342A46"/>
    <w:rsid w:val="00343009"/>
    <w:rsid w:val="00343BD1"/>
    <w:rsid w:val="00344054"/>
    <w:rsid w:val="00344725"/>
    <w:rsid w:val="0034511D"/>
    <w:rsid w:val="00345FC4"/>
    <w:rsid w:val="0034670B"/>
    <w:rsid w:val="00346B95"/>
    <w:rsid w:val="00347088"/>
    <w:rsid w:val="00350BAC"/>
    <w:rsid w:val="00351BF3"/>
    <w:rsid w:val="003520B1"/>
    <w:rsid w:val="00352983"/>
    <w:rsid w:val="00352BAA"/>
    <w:rsid w:val="003532A4"/>
    <w:rsid w:val="0035379D"/>
    <w:rsid w:val="00353C9A"/>
    <w:rsid w:val="00354BE9"/>
    <w:rsid w:val="00355E1F"/>
    <w:rsid w:val="00356D58"/>
    <w:rsid w:val="00357172"/>
    <w:rsid w:val="00357B0D"/>
    <w:rsid w:val="00357BBF"/>
    <w:rsid w:val="00360787"/>
    <w:rsid w:val="00365853"/>
    <w:rsid w:val="00365C83"/>
    <w:rsid w:val="003664D3"/>
    <w:rsid w:val="00367132"/>
    <w:rsid w:val="00367869"/>
    <w:rsid w:val="00370772"/>
    <w:rsid w:val="00373AD1"/>
    <w:rsid w:val="00377284"/>
    <w:rsid w:val="00377691"/>
    <w:rsid w:val="0038246C"/>
    <w:rsid w:val="0038283C"/>
    <w:rsid w:val="003830B6"/>
    <w:rsid w:val="0038666C"/>
    <w:rsid w:val="003873C7"/>
    <w:rsid w:val="00387E2C"/>
    <w:rsid w:val="00387EFB"/>
    <w:rsid w:val="00390FB7"/>
    <w:rsid w:val="00391504"/>
    <w:rsid w:val="003917FD"/>
    <w:rsid w:val="00391874"/>
    <w:rsid w:val="003922FF"/>
    <w:rsid w:val="0039232A"/>
    <w:rsid w:val="0039366F"/>
    <w:rsid w:val="003953EA"/>
    <w:rsid w:val="0039633C"/>
    <w:rsid w:val="003A0C5C"/>
    <w:rsid w:val="003A1335"/>
    <w:rsid w:val="003A1DAC"/>
    <w:rsid w:val="003A3005"/>
    <w:rsid w:val="003A3BD0"/>
    <w:rsid w:val="003A47C9"/>
    <w:rsid w:val="003A5C3C"/>
    <w:rsid w:val="003A64C5"/>
    <w:rsid w:val="003A7ABE"/>
    <w:rsid w:val="003B298D"/>
    <w:rsid w:val="003B3D66"/>
    <w:rsid w:val="003B45D3"/>
    <w:rsid w:val="003B4E7B"/>
    <w:rsid w:val="003B5DE7"/>
    <w:rsid w:val="003C00C0"/>
    <w:rsid w:val="003C05F3"/>
    <w:rsid w:val="003C2FE6"/>
    <w:rsid w:val="003C30E6"/>
    <w:rsid w:val="003C3501"/>
    <w:rsid w:val="003C3522"/>
    <w:rsid w:val="003C3C06"/>
    <w:rsid w:val="003C480F"/>
    <w:rsid w:val="003C49F0"/>
    <w:rsid w:val="003C51E7"/>
    <w:rsid w:val="003C65C4"/>
    <w:rsid w:val="003C6E7E"/>
    <w:rsid w:val="003D083F"/>
    <w:rsid w:val="003D0FCF"/>
    <w:rsid w:val="003D1E7C"/>
    <w:rsid w:val="003D2069"/>
    <w:rsid w:val="003D2CB2"/>
    <w:rsid w:val="003D4159"/>
    <w:rsid w:val="003D5125"/>
    <w:rsid w:val="003D694C"/>
    <w:rsid w:val="003D7671"/>
    <w:rsid w:val="003E0335"/>
    <w:rsid w:val="003E14FA"/>
    <w:rsid w:val="003E1BBE"/>
    <w:rsid w:val="003E2641"/>
    <w:rsid w:val="003E5317"/>
    <w:rsid w:val="003E58E2"/>
    <w:rsid w:val="003E5A5A"/>
    <w:rsid w:val="003E5E83"/>
    <w:rsid w:val="003E693D"/>
    <w:rsid w:val="003F0993"/>
    <w:rsid w:val="003F2012"/>
    <w:rsid w:val="003F2030"/>
    <w:rsid w:val="003F23B0"/>
    <w:rsid w:val="003F23B8"/>
    <w:rsid w:val="003F2609"/>
    <w:rsid w:val="003F2F2D"/>
    <w:rsid w:val="003F3477"/>
    <w:rsid w:val="003F36EC"/>
    <w:rsid w:val="003F4532"/>
    <w:rsid w:val="003F5209"/>
    <w:rsid w:val="003F5C3B"/>
    <w:rsid w:val="003F6E84"/>
    <w:rsid w:val="003F7219"/>
    <w:rsid w:val="003F7221"/>
    <w:rsid w:val="003F7F96"/>
    <w:rsid w:val="00400FB2"/>
    <w:rsid w:val="00401429"/>
    <w:rsid w:val="004021DF"/>
    <w:rsid w:val="004022BF"/>
    <w:rsid w:val="00403E11"/>
    <w:rsid w:val="00403F6E"/>
    <w:rsid w:val="00404E7D"/>
    <w:rsid w:val="00405B55"/>
    <w:rsid w:val="0040759B"/>
    <w:rsid w:val="0041090F"/>
    <w:rsid w:val="004126A1"/>
    <w:rsid w:val="004154DB"/>
    <w:rsid w:val="004164D1"/>
    <w:rsid w:val="0042081E"/>
    <w:rsid w:val="00421617"/>
    <w:rsid w:val="00421D0E"/>
    <w:rsid w:val="004221C1"/>
    <w:rsid w:val="004228D9"/>
    <w:rsid w:val="0042351F"/>
    <w:rsid w:val="004240A9"/>
    <w:rsid w:val="00425808"/>
    <w:rsid w:val="004269EF"/>
    <w:rsid w:val="00426B49"/>
    <w:rsid w:val="00426F88"/>
    <w:rsid w:val="0042752D"/>
    <w:rsid w:val="00427979"/>
    <w:rsid w:val="00430176"/>
    <w:rsid w:val="00430D6C"/>
    <w:rsid w:val="0043141E"/>
    <w:rsid w:val="00431574"/>
    <w:rsid w:val="00432015"/>
    <w:rsid w:val="00432111"/>
    <w:rsid w:val="00433408"/>
    <w:rsid w:val="00433989"/>
    <w:rsid w:val="00434F8A"/>
    <w:rsid w:val="00435410"/>
    <w:rsid w:val="00435E48"/>
    <w:rsid w:val="0043639E"/>
    <w:rsid w:val="00436450"/>
    <w:rsid w:val="0044047F"/>
    <w:rsid w:val="00440D3E"/>
    <w:rsid w:val="00441D48"/>
    <w:rsid w:val="00441F26"/>
    <w:rsid w:val="00443DD6"/>
    <w:rsid w:val="00443E32"/>
    <w:rsid w:val="0044411D"/>
    <w:rsid w:val="00444719"/>
    <w:rsid w:val="00445A34"/>
    <w:rsid w:val="00446E53"/>
    <w:rsid w:val="00446F53"/>
    <w:rsid w:val="004504AB"/>
    <w:rsid w:val="00450789"/>
    <w:rsid w:val="00450C4E"/>
    <w:rsid w:val="004514E0"/>
    <w:rsid w:val="004530C2"/>
    <w:rsid w:val="00453F97"/>
    <w:rsid w:val="00455CE1"/>
    <w:rsid w:val="00455F70"/>
    <w:rsid w:val="004564E5"/>
    <w:rsid w:val="0045698D"/>
    <w:rsid w:val="004571FD"/>
    <w:rsid w:val="0045775C"/>
    <w:rsid w:val="00462695"/>
    <w:rsid w:val="0046270C"/>
    <w:rsid w:val="00462CFB"/>
    <w:rsid w:val="00464CAC"/>
    <w:rsid w:val="004700D3"/>
    <w:rsid w:val="00470830"/>
    <w:rsid w:val="00470914"/>
    <w:rsid w:val="00470C54"/>
    <w:rsid w:val="00471ACE"/>
    <w:rsid w:val="004728D6"/>
    <w:rsid w:val="004739F5"/>
    <w:rsid w:val="004749BB"/>
    <w:rsid w:val="00474B05"/>
    <w:rsid w:val="00476053"/>
    <w:rsid w:val="00476B3D"/>
    <w:rsid w:val="00476B7D"/>
    <w:rsid w:val="0047707F"/>
    <w:rsid w:val="00477C51"/>
    <w:rsid w:val="004812BA"/>
    <w:rsid w:val="00481854"/>
    <w:rsid w:val="00481F9F"/>
    <w:rsid w:val="00483BDD"/>
    <w:rsid w:val="00485E18"/>
    <w:rsid w:val="00486507"/>
    <w:rsid w:val="00486E88"/>
    <w:rsid w:val="004872EB"/>
    <w:rsid w:val="004874A4"/>
    <w:rsid w:val="00487600"/>
    <w:rsid w:val="00487B31"/>
    <w:rsid w:val="00487F19"/>
    <w:rsid w:val="0049216C"/>
    <w:rsid w:val="00493F09"/>
    <w:rsid w:val="00494014"/>
    <w:rsid w:val="004944F3"/>
    <w:rsid w:val="00494D91"/>
    <w:rsid w:val="004967F3"/>
    <w:rsid w:val="00496C93"/>
    <w:rsid w:val="00497241"/>
    <w:rsid w:val="004A0A0C"/>
    <w:rsid w:val="004A213C"/>
    <w:rsid w:val="004A2F9C"/>
    <w:rsid w:val="004A39ED"/>
    <w:rsid w:val="004A4A6A"/>
    <w:rsid w:val="004A783F"/>
    <w:rsid w:val="004B12A7"/>
    <w:rsid w:val="004B1F77"/>
    <w:rsid w:val="004B2C3E"/>
    <w:rsid w:val="004B30F5"/>
    <w:rsid w:val="004B3497"/>
    <w:rsid w:val="004B36F9"/>
    <w:rsid w:val="004B457B"/>
    <w:rsid w:val="004B4C62"/>
    <w:rsid w:val="004B5515"/>
    <w:rsid w:val="004B56B6"/>
    <w:rsid w:val="004B573C"/>
    <w:rsid w:val="004C1535"/>
    <w:rsid w:val="004C1AC3"/>
    <w:rsid w:val="004C2CC7"/>
    <w:rsid w:val="004C3115"/>
    <w:rsid w:val="004C4073"/>
    <w:rsid w:val="004C5150"/>
    <w:rsid w:val="004C569D"/>
    <w:rsid w:val="004D04E6"/>
    <w:rsid w:val="004D09FD"/>
    <w:rsid w:val="004D0C36"/>
    <w:rsid w:val="004D0E71"/>
    <w:rsid w:val="004D0EC1"/>
    <w:rsid w:val="004D1D08"/>
    <w:rsid w:val="004D2F9E"/>
    <w:rsid w:val="004D558B"/>
    <w:rsid w:val="004D6AE2"/>
    <w:rsid w:val="004D7DA2"/>
    <w:rsid w:val="004E003D"/>
    <w:rsid w:val="004E2B77"/>
    <w:rsid w:val="004E2BD3"/>
    <w:rsid w:val="004E2D2D"/>
    <w:rsid w:val="004E3CFF"/>
    <w:rsid w:val="004E4746"/>
    <w:rsid w:val="004E4F00"/>
    <w:rsid w:val="004E5EC3"/>
    <w:rsid w:val="004E6215"/>
    <w:rsid w:val="004E652C"/>
    <w:rsid w:val="004E7926"/>
    <w:rsid w:val="004E7997"/>
    <w:rsid w:val="004F0411"/>
    <w:rsid w:val="004F1269"/>
    <w:rsid w:val="004F220F"/>
    <w:rsid w:val="004F288B"/>
    <w:rsid w:val="004F30ED"/>
    <w:rsid w:val="004F31D4"/>
    <w:rsid w:val="004F426E"/>
    <w:rsid w:val="004F59A9"/>
    <w:rsid w:val="004F5AE5"/>
    <w:rsid w:val="004F6AFC"/>
    <w:rsid w:val="004F75D8"/>
    <w:rsid w:val="004F78B8"/>
    <w:rsid w:val="004F7A7C"/>
    <w:rsid w:val="00501C4D"/>
    <w:rsid w:val="0050211E"/>
    <w:rsid w:val="0050235E"/>
    <w:rsid w:val="00503024"/>
    <w:rsid w:val="00505BA1"/>
    <w:rsid w:val="00505CCD"/>
    <w:rsid w:val="005063A1"/>
    <w:rsid w:val="005071BD"/>
    <w:rsid w:val="0050774D"/>
    <w:rsid w:val="00507893"/>
    <w:rsid w:val="00511D3B"/>
    <w:rsid w:val="00511E3A"/>
    <w:rsid w:val="00511F26"/>
    <w:rsid w:val="005138BA"/>
    <w:rsid w:val="005140FD"/>
    <w:rsid w:val="00514AFD"/>
    <w:rsid w:val="00517613"/>
    <w:rsid w:val="00517D74"/>
    <w:rsid w:val="005215E4"/>
    <w:rsid w:val="0052237C"/>
    <w:rsid w:val="0052259E"/>
    <w:rsid w:val="00523DC8"/>
    <w:rsid w:val="00524641"/>
    <w:rsid w:val="005255BB"/>
    <w:rsid w:val="0052663B"/>
    <w:rsid w:val="00526C24"/>
    <w:rsid w:val="005270A1"/>
    <w:rsid w:val="00527B10"/>
    <w:rsid w:val="00527E54"/>
    <w:rsid w:val="00530294"/>
    <w:rsid w:val="00530F2C"/>
    <w:rsid w:val="00532A25"/>
    <w:rsid w:val="00532C88"/>
    <w:rsid w:val="00532F40"/>
    <w:rsid w:val="00533457"/>
    <w:rsid w:val="00534524"/>
    <w:rsid w:val="005348E2"/>
    <w:rsid w:val="005353EC"/>
    <w:rsid w:val="00535906"/>
    <w:rsid w:val="00536ED0"/>
    <w:rsid w:val="00537394"/>
    <w:rsid w:val="00537401"/>
    <w:rsid w:val="00540496"/>
    <w:rsid w:val="005406C0"/>
    <w:rsid w:val="00540731"/>
    <w:rsid w:val="005409AF"/>
    <w:rsid w:val="00540A61"/>
    <w:rsid w:val="00541519"/>
    <w:rsid w:val="00541876"/>
    <w:rsid w:val="00542D27"/>
    <w:rsid w:val="00544EBB"/>
    <w:rsid w:val="005451F6"/>
    <w:rsid w:val="00546E01"/>
    <w:rsid w:val="0054774E"/>
    <w:rsid w:val="00547BDC"/>
    <w:rsid w:val="00550EF2"/>
    <w:rsid w:val="00551DCC"/>
    <w:rsid w:val="005539E4"/>
    <w:rsid w:val="00553ADC"/>
    <w:rsid w:val="005547DA"/>
    <w:rsid w:val="00555402"/>
    <w:rsid w:val="00555BC2"/>
    <w:rsid w:val="00556F52"/>
    <w:rsid w:val="0055700C"/>
    <w:rsid w:val="00560028"/>
    <w:rsid w:val="00561671"/>
    <w:rsid w:val="00562233"/>
    <w:rsid w:val="0056241D"/>
    <w:rsid w:val="00563F17"/>
    <w:rsid w:val="005655DF"/>
    <w:rsid w:val="00566095"/>
    <w:rsid w:val="00571990"/>
    <w:rsid w:val="00572FDF"/>
    <w:rsid w:val="00574009"/>
    <w:rsid w:val="0057723A"/>
    <w:rsid w:val="00577B14"/>
    <w:rsid w:val="00580D9B"/>
    <w:rsid w:val="00581D7A"/>
    <w:rsid w:val="00581E14"/>
    <w:rsid w:val="0058241D"/>
    <w:rsid w:val="005863EB"/>
    <w:rsid w:val="00586F5B"/>
    <w:rsid w:val="00587E6F"/>
    <w:rsid w:val="00590479"/>
    <w:rsid w:val="00592076"/>
    <w:rsid w:val="00592CDF"/>
    <w:rsid w:val="00593A4D"/>
    <w:rsid w:val="00595A27"/>
    <w:rsid w:val="005962D5"/>
    <w:rsid w:val="005970A5"/>
    <w:rsid w:val="005A00ED"/>
    <w:rsid w:val="005A0796"/>
    <w:rsid w:val="005A0DC6"/>
    <w:rsid w:val="005A15F7"/>
    <w:rsid w:val="005A172C"/>
    <w:rsid w:val="005A6D9B"/>
    <w:rsid w:val="005B01DC"/>
    <w:rsid w:val="005B0C43"/>
    <w:rsid w:val="005B19BF"/>
    <w:rsid w:val="005B347B"/>
    <w:rsid w:val="005B3C22"/>
    <w:rsid w:val="005B5C42"/>
    <w:rsid w:val="005B5EB9"/>
    <w:rsid w:val="005B6039"/>
    <w:rsid w:val="005C0B7A"/>
    <w:rsid w:val="005C134A"/>
    <w:rsid w:val="005C1379"/>
    <w:rsid w:val="005C175D"/>
    <w:rsid w:val="005C19A1"/>
    <w:rsid w:val="005C3417"/>
    <w:rsid w:val="005C3F1A"/>
    <w:rsid w:val="005C4567"/>
    <w:rsid w:val="005C4DE2"/>
    <w:rsid w:val="005D0469"/>
    <w:rsid w:val="005D2465"/>
    <w:rsid w:val="005D3FED"/>
    <w:rsid w:val="005D4EB0"/>
    <w:rsid w:val="005D62E1"/>
    <w:rsid w:val="005D6821"/>
    <w:rsid w:val="005D795F"/>
    <w:rsid w:val="005E2F94"/>
    <w:rsid w:val="005E4A55"/>
    <w:rsid w:val="005E4D77"/>
    <w:rsid w:val="005E677F"/>
    <w:rsid w:val="005E6C71"/>
    <w:rsid w:val="005E71BF"/>
    <w:rsid w:val="005F23E3"/>
    <w:rsid w:val="005F2CBE"/>
    <w:rsid w:val="005F2EF9"/>
    <w:rsid w:val="005F352E"/>
    <w:rsid w:val="005F3ABF"/>
    <w:rsid w:val="005F4471"/>
    <w:rsid w:val="005F47F9"/>
    <w:rsid w:val="005F4BAE"/>
    <w:rsid w:val="005F4E8D"/>
    <w:rsid w:val="005F504E"/>
    <w:rsid w:val="005F6210"/>
    <w:rsid w:val="006006E4"/>
    <w:rsid w:val="006015E1"/>
    <w:rsid w:val="00602FDF"/>
    <w:rsid w:val="0060361D"/>
    <w:rsid w:val="00603ED7"/>
    <w:rsid w:val="00606880"/>
    <w:rsid w:val="00606BFF"/>
    <w:rsid w:val="00606D63"/>
    <w:rsid w:val="006074B1"/>
    <w:rsid w:val="00613444"/>
    <w:rsid w:val="00613D0E"/>
    <w:rsid w:val="00613EC4"/>
    <w:rsid w:val="00614107"/>
    <w:rsid w:val="00615564"/>
    <w:rsid w:val="00617ECE"/>
    <w:rsid w:val="006205E2"/>
    <w:rsid w:val="0062248F"/>
    <w:rsid w:val="0062367B"/>
    <w:rsid w:val="00623B83"/>
    <w:rsid w:val="00624EAD"/>
    <w:rsid w:val="00625410"/>
    <w:rsid w:val="00626E57"/>
    <w:rsid w:val="00627E76"/>
    <w:rsid w:val="00631706"/>
    <w:rsid w:val="00631878"/>
    <w:rsid w:val="00631BBD"/>
    <w:rsid w:val="0063254A"/>
    <w:rsid w:val="0063343F"/>
    <w:rsid w:val="00634B71"/>
    <w:rsid w:val="00634D9A"/>
    <w:rsid w:val="00634DA2"/>
    <w:rsid w:val="006351B3"/>
    <w:rsid w:val="00637732"/>
    <w:rsid w:val="00637A75"/>
    <w:rsid w:val="00637F40"/>
    <w:rsid w:val="00640A92"/>
    <w:rsid w:val="00640DAC"/>
    <w:rsid w:val="00640E71"/>
    <w:rsid w:val="00641459"/>
    <w:rsid w:val="0064166E"/>
    <w:rsid w:val="0064430F"/>
    <w:rsid w:val="0064511F"/>
    <w:rsid w:val="00646128"/>
    <w:rsid w:val="00646DBB"/>
    <w:rsid w:val="00647B5A"/>
    <w:rsid w:val="00650DC8"/>
    <w:rsid w:val="00651150"/>
    <w:rsid w:val="00651A5B"/>
    <w:rsid w:val="00653206"/>
    <w:rsid w:val="00653290"/>
    <w:rsid w:val="006536F6"/>
    <w:rsid w:val="006544ED"/>
    <w:rsid w:val="006546B1"/>
    <w:rsid w:val="006546C6"/>
    <w:rsid w:val="006555E9"/>
    <w:rsid w:val="00655603"/>
    <w:rsid w:val="00655897"/>
    <w:rsid w:val="0065640E"/>
    <w:rsid w:val="006568B6"/>
    <w:rsid w:val="00662002"/>
    <w:rsid w:val="0066250B"/>
    <w:rsid w:val="00662A45"/>
    <w:rsid w:val="00662B63"/>
    <w:rsid w:val="006647E1"/>
    <w:rsid w:val="006655AA"/>
    <w:rsid w:val="00666477"/>
    <w:rsid w:val="006671B3"/>
    <w:rsid w:val="006675C6"/>
    <w:rsid w:val="006711BC"/>
    <w:rsid w:val="00671E88"/>
    <w:rsid w:val="00673BCF"/>
    <w:rsid w:val="00674A55"/>
    <w:rsid w:val="006766A3"/>
    <w:rsid w:val="00676A0A"/>
    <w:rsid w:val="0068016A"/>
    <w:rsid w:val="00680897"/>
    <w:rsid w:val="006809F1"/>
    <w:rsid w:val="00681B0A"/>
    <w:rsid w:val="00682D47"/>
    <w:rsid w:val="00685373"/>
    <w:rsid w:val="00686BCA"/>
    <w:rsid w:val="006910EF"/>
    <w:rsid w:val="0069138A"/>
    <w:rsid w:val="00691D62"/>
    <w:rsid w:val="0069418B"/>
    <w:rsid w:val="0069593B"/>
    <w:rsid w:val="00695CCB"/>
    <w:rsid w:val="00697B57"/>
    <w:rsid w:val="006A04EE"/>
    <w:rsid w:val="006A3247"/>
    <w:rsid w:val="006A41F3"/>
    <w:rsid w:val="006A4748"/>
    <w:rsid w:val="006B03E2"/>
    <w:rsid w:val="006B1732"/>
    <w:rsid w:val="006B21E5"/>
    <w:rsid w:val="006B2AAA"/>
    <w:rsid w:val="006B33A3"/>
    <w:rsid w:val="006B4B23"/>
    <w:rsid w:val="006B4D34"/>
    <w:rsid w:val="006B4F27"/>
    <w:rsid w:val="006B5B1E"/>
    <w:rsid w:val="006B637C"/>
    <w:rsid w:val="006B6A15"/>
    <w:rsid w:val="006B6BF5"/>
    <w:rsid w:val="006B774B"/>
    <w:rsid w:val="006C30C5"/>
    <w:rsid w:val="006C3F76"/>
    <w:rsid w:val="006C54B3"/>
    <w:rsid w:val="006C5B3F"/>
    <w:rsid w:val="006C66AF"/>
    <w:rsid w:val="006C671A"/>
    <w:rsid w:val="006D0207"/>
    <w:rsid w:val="006D03AD"/>
    <w:rsid w:val="006D0985"/>
    <w:rsid w:val="006D098A"/>
    <w:rsid w:val="006D194E"/>
    <w:rsid w:val="006D2A29"/>
    <w:rsid w:val="006D3A60"/>
    <w:rsid w:val="006D3B1C"/>
    <w:rsid w:val="006D3E06"/>
    <w:rsid w:val="006D4A2F"/>
    <w:rsid w:val="006D5603"/>
    <w:rsid w:val="006D6521"/>
    <w:rsid w:val="006E0AE5"/>
    <w:rsid w:val="006E11E4"/>
    <w:rsid w:val="006E14AE"/>
    <w:rsid w:val="006E191E"/>
    <w:rsid w:val="006E19FF"/>
    <w:rsid w:val="006E1ED9"/>
    <w:rsid w:val="006E274F"/>
    <w:rsid w:val="006E2A76"/>
    <w:rsid w:val="006E422E"/>
    <w:rsid w:val="006E4634"/>
    <w:rsid w:val="006E53E2"/>
    <w:rsid w:val="006E5BD3"/>
    <w:rsid w:val="006E6DC9"/>
    <w:rsid w:val="006E7E7D"/>
    <w:rsid w:val="006F02E3"/>
    <w:rsid w:val="006F3136"/>
    <w:rsid w:val="006F427C"/>
    <w:rsid w:val="006F57E3"/>
    <w:rsid w:val="00700E19"/>
    <w:rsid w:val="00701A03"/>
    <w:rsid w:val="00701BE2"/>
    <w:rsid w:val="00701FE9"/>
    <w:rsid w:val="007020E4"/>
    <w:rsid w:val="00702892"/>
    <w:rsid w:val="00703416"/>
    <w:rsid w:val="0070398E"/>
    <w:rsid w:val="007067C6"/>
    <w:rsid w:val="0071214F"/>
    <w:rsid w:val="00712E3D"/>
    <w:rsid w:val="00712E67"/>
    <w:rsid w:val="007142C2"/>
    <w:rsid w:val="00714BCF"/>
    <w:rsid w:val="00714BF2"/>
    <w:rsid w:val="007151B9"/>
    <w:rsid w:val="00717D29"/>
    <w:rsid w:val="0072184A"/>
    <w:rsid w:val="00722A60"/>
    <w:rsid w:val="007243E0"/>
    <w:rsid w:val="00725BBA"/>
    <w:rsid w:val="00726182"/>
    <w:rsid w:val="00727087"/>
    <w:rsid w:val="00727104"/>
    <w:rsid w:val="00731393"/>
    <w:rsid w:val="00732B7F"/>
    <w:rsid w:val="00732FA1"/>
    <w:rsid w:val="00733310"/>
    <w:rsid w:val="0073385B"/>
    <w:rsid w:val="00734308"/>
    <w:rsid w:val="0073484A"/>
    <w:rsid w:val="007355EF"/>
    <w:rsid w:val="007367E7"/>
    <w:rsid w:val="00737FA5"/>
    <w:rsid w:val="00741654"/>
    <w:rsid w:val="0074187E"/>
    <w:rsid w:val="0074201D"/>
    <w:rsid w:val="00743129"/>
    <w:rsid w:val="007443AD"/>
    <w:rsid w:val="00744B35"/>
    <w:rsid w:val="007459C7"/>
    <w:rsid w:val="00746403"/>
    <w:rsid w:val="00746A71"/>
    <w:rsid w:val="00747909"/>
    <w:rsid w:val="00750973"/>
    <w:rsid w:val="007530E2"/>
    <w:rsid w:val="0075352D"/>
    <w:rsid w:val="007540EF"/>
    <w:rsid w:val="00757463"/>
    <w:rsid w:val="00761A7B"/>
    <w:rsid w:val="00763222"/>
    <w:rsid w:val="0076336E"/>
    <w:rsid w:val="007634FE"/>
    <w:rsid w:val="00763A1B"/>
    <w:rsid w:val="00763B84"/>
    <w:rsid w:val="0076416C"/>
    <w:rsid w:val="007654F1"/>
    <w:rsid w:val="00765A44"/>
    <w:rsid w:val="0076674F"/>
    <w:rsid w:val="00766BB6"/>
    <w:rsid w:val="00767439"/>
    <w:rsid w:val="00767C03"/>
    <w:rsid w:val="007703E0"/>
    <w:rsid w:val="007704D6"/>
    <w:rsid w:val="00773B2B"/>
    <w:rsid w:val="00774125"/>
    <w:rsid w:val="007755EF"/>
    <w:rsid w:val="0077580A"/>
    <w:rsid w:val="00777B20"/>
    <w:rsid w:val="00777CA1"/>
    <w:rsid w:val="00780FDC"/>
    <w:rsid w:val="00781289"/>
    <w:rsid w:val="00782472"/>
    <w:rsid w:val="00783DA4"/>
    <w:rsid w:val="00783F34"/>
    <w:rsid w:val="00785A58"/>
    <w:rsid w:val="00786F22"/>
    <w:rsid w:val="007871C4"/>
    <w:rsid w:val="007874AF"/>
    <w:rsid w:val="007878D5"/>
    <w:rsid w:val="00787DD2"/>
    <w:rsid w:val="00790156"/>
    <w:rsid w:val="007905DE"/>
    <w:rsid w:val="007906C1"/>
    <w:rsid w:val="00790F1D"/>
    <w:rsid w:val="00792CF0"/>
    <w:rsid w:val="00792F31"/>
    <w:rsid w:val="00794000"/>
    <w:rsid w:val="00794172"/>
    <w:rsid w:val="00794FA4"/>
    <w:rsid w:val="0079587B"/>
    <w:rsid w:val="00797202"/>
    <w:rsid w:val="00797506"/>
    <w:rsid w:val="007A0592"/>
    <w:rsid w:val="007A0761"/>
    <w:rsid w:val="007A0D3C"/>
    <w:rsid w:val="007A2DB2"/>
    <w:rsid w:val="007A3078"/>
    <w:rsid w:val="007A53FA"/>
    <w:rsid w:val="007A57BD"/>
    <w:rsid w:val="007A6A89"/>
    <w:rsid w:val="007A7C5C"/>
    <w:rsid w:val="007B0403"/>
    <w:rsid w:val="007B15B2"/>
    <w:rsid w:val="007B24DC"/>
    <w:rsid w:val="007B3B22"/>
    <w:rsid w:val="007B624D"/>
    <w:rsid w:val="007B7187"/>
    <w:rsid w:val="007B7418"/>
    <w:rsid w:val="007B7946"/>
    <w:rsid w:val="007B7CF6"/>
    <w:rsid w:val="007C1A4E"/>
    <w:rsid w:val="007C2106"/>
    <w:rsid w:val="007C2181"/>
    <w:rsid w:val="007C360E"/>
    <w:rsid w:val="007C43D4"/>
    <w:rsid w:val="007C574C"/>
    <w:rsid w:val="007C6727"/>
    <w:rsid w:val="007C774F"/>
    <w:rsid w:val="007D00F4"/>
    <w:rsid w:val="007D22C9"/>
    <w:rsid w:val="007D4B1A"/>
    <w:rsid w:val="007D63F0"/>
    <w:rsid w:val="007D7511"/>
    <w:rsid w:val="007D78B9"/>
    <w:rsid w:val="007E002C"/>
    <w:rsid w:val="007E037E"/>
    <w:rsid w:val="007E0BD2"/>
    <w:rsid w:val="007E20BF"/>
    <w:rsid w:val="007E2308"/>
    <w:rsid w:val="007E23E7"/>
    <w:rsid w:val="007E2B28"/>
    <w:rsid w:val="007E3AB1"/>
    <w:rsid w:val="007E47FF"/>
    <w:rsid w:val="007E4A31"/>
    <w:rsid w:val="007E62A2"/>
    <w:rsid w:val="007E66CF"/>
    <w:rsid w:val="007E6745"/>
    <w:rsid w:val="007E696A"/>
    <w:rsid w:val="007F19DA"/>
    <w:rsid w:val="007F224D"/>
    <w:rsid w:val="007F29B2"/>
    <w:rsid w:val="007F2D0E"/>
    <w:rsid w:val="007F386B"/>
    <w:rsid w:val="007F3F0F"/>
    <w:rsid w:val="007F5A5D"/>
    <w:rsid w:val="007F61CC"/>
    <w:rsid w:val="007F61EA"/>
    <w:rsid w:val="00800E0F"/>
    <w:rsid w:val="008016C0"/>
    <w:rsid w:val="00802AC6"/>
    <w:rsid w:val="00802EC9"/>
    <w:rsid w:val="00803BEA"/>
    <w:rsid w:val="00804A0A"/>
    <w:rsid w:val="00804B1C"/>
    <w:rsid w:val="00804B39"/>
    <w:rsid w:val="008052E9"/>
    <w:rsid w:val="00807C16"/>
    <w:rsid w:val="00807C27"/>
    <w:rsid w:val="00811367"/>
    <w:rsid w:val="00812AEF"/>
    <w:rsid w:val="00813725"/>
    <w:rsid w:val="00820C72"/>
    <w:rsid w:val="00820DB7"/>
    <w:rsid w:val="0082248E"/>
    <w:rsid w:val="00822499"/>
    <w:rsid w:val="00822840"/>
    <w:rsid w:val="0082402C"/>
    <w:rsid w:val="008243C6"/>
    <w:rsid w:val="008249C0"/>
    <w:rsid w:val="008270F2"/>
    <w:rsid w:val="00827DB6"/>
    <w:rsid w:val="00830109"/>
    <w:rsid w:val="008303A1"/>
    <w:rsid w:val="00830A49"/>
    <w:rsid w:val="0083184D"/>
    <w:rsid w:val="00831960"/>
    <w:rsid w:val="008324C5"/>
    <w:rsid w:val="00832857"/>
    <w:rsid w:val="008334A6"/>
    <w:rsid w:val="00833E4E"/>
    <w:rsid w:val="008358A6"/>
    <w:rsid w:val="00835FB2"/>
    <w:rsid w:val="00837051"/>
    <w:rsid w:val="0084065A"/>
    <w:rsid w:val="0084223B"/>
    <w:rsid w:val="00843ABA"/>
    <w:rsid w:val="00844547"/>
    <w:rsid w:val="0084515A"/>
    <w:rsid w:val="00845A67"/>
    <w:rsid w:val="0084727C"/>
    <w:rsid w:val="00851065"/>
    <w:rsid w:val="00851B68"/>
    <w:rsid w:val="00852967"/>
    <w:rsid w:val="00852F1D"/>
    <w:rsid w:val="0085333B"/>
    <w:rsid w:val="00854FD3"/>
    <w:rsid w:val="00855236"/>
    <w:rsid w:val="0085691D"/>
    <w:rsid w:val="00856D03"/>
    <w:rsid w:val="00860FF2"/>
    <w:rsid w:val="00861153"/>
    <w:rsid w:val="008627A3"/>
    <w:rsid w:val="00867238"/>
    <w:rsid w:val="008736DA"/>
    <w:rsid w:val="00874767"/>
    <w:rsid w:val="00875434"/>
    <w:rsid w:val="0087549A"/>
    <w:rsid w:val="008755DE"/>
    <w:rsid w:val="008758B7"/>
    <w:rsid w:val="00875C7F"/>
    <w:rsid w:val="0087614A"/>
    <w:rsid w:val="0087703D"/>
    <w:rsid w:val="00880947"/>
    <w:rsid w:val="00880E90"/>
    <w:rsid w:val="0088299C"/>
    <w:rsid w:val="00883731"/>
    <w:rsid w:val="00883780"/>
    <w:rsid w:val="00883BB0"/>
    <w:rsid w:val="00883F3B"/>
    <w:rsid w:val="00885E75"/>
    <w:rsid w:val="00885E8D"/>
    <w:rsid w:val="008870A4"/>
    <w:rsid w:val="008878B7"/>
    <w:rsid w:val="00887AD6"/>
    <w:rsid w:val="00887DD6"/>
    <w:rsid w:val="0089255D"/>
    <w:rsid w:val="008933B1"/>
    <w:rsid w:val="00893717"/>
    <w:rsid w:val="00893939"/>
    <w:rsid w:val="00894226"/>
    <w:rsid w:val="00894EB7"/>
    <w:rsid w:val="00896C35"/>
    <w:rsid w:val="00897A71"/>
    <w:rsid w:val="008A045E"/>
    <w:rsid w:val="008A04F2"/>
    <w:rsid w:val="008A0527"/>
    <w:rsid w:val="008A0D21"/>
    <w:rsid w:val="008A1E92"/>
    <w:rsid w:val="008A3757"/>
    <w:rsid w:val="008A3B87"/>
    <w:rsid w:val="008A540A"/>
    <w:rsid w:val="008B0DDC"/>
    <w:rsid w:val="008B178E"/>
    <w:rsid w:val="008B20E6"/>
    <w:rsid w:val="008B3B32"/>
    <w:rsid w:val="008B4905"/>
    <w:rsid w:val="008B519C"/>
    <w:rsid w:val="008B62F2"/>
    <w:rsid w:val="008B7CD7"/>
    <w:rsid w:val="008C02A4"/>
    <w:rsid w:val="008C0946"/>
    <w:rsid w:val="008C0AAC"/>
    <w:rsid w:val="008C186C"/>
    <w:rsid w:val="008C33ED"/>
    <w:rsid w:val="008C43E1"/>
    <w:rsid w:val="008C5444"/>
    <w:rsid w:val="008D053E"/>
    <w:rsid w:val="008D16AE"/>
    <w:rsid w:val="008D1BED"/>
    <w:rsid w:val="008D23F1"/>
    <w:rsid w:val="008D4D2A"/>
    <w:rsid w:val="008D52C9"/>
    <w:rsid w:val="008D5915"/>
    <w:rsid w:val="008E0AF6"/>
    <w:rsid w:val="008E1E58"/>
    <w:rsid w:val="008E551B"/>
    <w:rsid w:val="008E60A2"/>
    <w:rsid w:val="008E7787"/>
    <w:rsid w:val="008F1BDF"/>
    <w:rsid w:val="008F279D"/>
    <w:rsid w:val="008F340B"/>
    <w:rsid w:val="008F3D17"/>
    <w:rsid w:val="008F451E"/>
    <w:rsid w:val="008F53EF"/>
    <w:rsid w:val="008F5C83"/>
    <w:rsid w:val="008F62D9"/>
    <w:rsid w:val="00901126"/>
    <w:rsid w:val="00901A9E"/>
    <w:rsid w:val="00903701"/>
    <w:rsid w:val="0090536F"/>
    <w:rsid w:val="0090550B"/>
    <w:rsid w:val="0090570A"/>
    <w:rsid w:val="00907E03"/>
    <w:rsid w:val="00913DA0"/>
    <w:rsid w:val="00914461"/>
    <w:rsid w:val="00914A29"/>
    <w:rsid w:val="009157BC"/>
    <w:rsid w:val="00916734"/>
    <w:rsid w:val="00920915"/>
    <w:rsid w:val="00920F36"/>
    <w:rsid w:val="00922883"/>
    <w:rsid w:val="00922ECA"/>
    <w:rsid w:val="00923CD1"/>
    <w:rsid w:val="00923FCA"/>
    <w:rsid w:val="00924BD5"/>
    <w:rsid w:val="00924DE6"/>
    <w:rsid w:val="00926C68"/>
    <w:rsid w:val="009300A7"/>
    <w:rsid w:val="0093158F"/>
    <w:rsid w:val="009317D6"/>
    <w:rsid w:val="00931D6A"/>
    <w:rsid w:val="009346CD"/>
    <w:rsid w:val="009347D8"/>
    <w:rsid w:val="009348A9"/>
    <w:rsid w:val="009352D4"/>
    <w:rsid w:val="0094038F"/>
    <w:rsid w:val="00940B5E"/>
    <w:rsid w:val="00941848"/>
    <w:rsid w:val="00942094"/>
    <w:rsid w:val="00942141"/>
    <w:rsid w:val="009438D0"/>
    <w:rsid w:val="009441A0"/>
    <w:rsid w:val="009443EC"/>
    <w:rsid w:val="00944B15"/>
    <w:rsid w:val="009456E1"/>
    <w:rsid w:val="00945E8B"/>
    <w:rsid w:val="00945EB6"/>
    <w:rsid w:val="00947226"/>
    <w:rsid w:val="009476A2"/>
    <w:rsid w:val="00950029"/>
    <w:rsid w:val="00950E6B"/>
    <w:rsid w:val="0095168F"/>
    <w:rsid w:val="0095351D"/>
    <w:rsid w:val="009547B5"/>
    <w:rsid w:val="00954AC8"/>
    <w:rsid w:val="00955CFA"/>
    <w:rsid w:val="00956430"/>
    <w:rsid w:val="00956739"/>
    <w:rsid w:val="00956A4F"/>
    <w:rsid w:val="00956DF3"/>
    <w:rsid w:val="00957C8B"/>
    <w:rsid w:val="0096042E"/>
    <w:rsid w:val="0096059C"/>
    <w:rsid w:val="009606C0"/>
    <w:rsid w:val="00964326"/>
    <w:rsid w:val="00964F6C"/>
    <w:rsid w:val="0096616D"/>
    <w:rsid w:val="00967BEB"/>
    <w:rsid w:val="00967C9E"/>
    <w:rsid w:val="00967F98"/>
    <w:rsid w:val="00972D37"/>
    <w:rsid w:val="00973293"/>
    <w:rsid w:val="00975990"/>
    <w:rsid w:val="00975DF7"/>
    <w:rsid w:val="00976937"/>
    <w:rsid w:val="00977BAB"/>
    <w:rsid w:val="00980DAC"/>
    <w:rsid w:val="00981437"/>
    <w:rsid w:val="00982F8A"/>
    <w:rsid w:val="009835A2"/>
    <w:rsid w:val="00983ABE"/>
    <w:rsid w:val="00983CD2"/>
    <w:rsid w:val="00984366"/>
    <w:rsid w:val="009843AF"/>
    <w:rsid w:val="009849DF"/>
    <w:rsid w:val="00991356"/>
    <w:rsid w:val="00991F70"/>
    <w:rsid w:val="00991FBC"/>
    <w:rsid w:val="00992BFD"/>
    <w:rsid w:val="0099357B"/>
    <w:rsid w:val="00994107"/>
    <w:rsid w:val="00994328"/>
    <w:rsid w:val="00994457"/>
    <w:rsid w:val="00994ACD"/>
    <w:rsid w:val="009956B9"/>
    <w:rsid w:val="009959AA"/>
    <w:rsid w:val="00995FB1"/>
    <w:rsid w:val="00996626"/>
    <w:rsid w:val="00997B51"/>
    <w:rsid w:val="009A16DA"/>
    <w:rsid w:val="009A2026"/>
    <w:rsid w:val="009A489F"/>
    <w:rsid w:val="009A4D1E"/>
    <w:rsid w:val="009A6D3E"/>
    <w:rsid w:val="009B11B1"/>
    <w:rsid w:val="009B20D6"/>
    <w:rsid w:val="009B354D"/>
    <w:rsid w:val="009B4D1D"/>
    <w:rsid w:val="009B4F52"/>
    <w:rsid w:val="009B5F88"/>
    <w:rsid w:val="009B712C"/>
    <w:rsid w:val="009C1A59"/>
    <w:rsid w:val="009C1EEE"/>
    <w:rsid w:val="009C2C64"/>
    <w:rsid w:val="009C2D92"/>
    <w:rsid w:val="009C48A7"/>
    <w:rsid w:val="009C50E2"/>
    <w:rsid w:val="009C66F7"/>
    <w:rsid w:val="009C6819"/>
    <w:rsid w:val="009C6E7B"/>
    <w:rsid w:val="009C7BE4"/>
    <w:rsid w:val="009D1068"/>
    <w:rsid w:val="009D15A5"/>
    <w:rsid w:val="009D3A62"/>
    <w:rsid w:val="009D3B82"/>
    <w:rsid w:val="009D3E0A"/>
    <w:rsid w:val="009D4C89"/>
    <w:rsid w:val="009D60EE"/>
    <w:rsid w:val="009D6744"/>
    <w:rsid w:val="009D6D8C"/>
    <w:rsid w:val="009D6E62"/>
    <w:rsid w:val="009D726D"/>
    <w:rsid w:val="009D7499"/>
    <w:rsid w:val="009D7F3A"/>
    <w:rsid w:val="009E0782"/>
    <w:rsid w:val="009E113A"/>
    <w:rsid w:val="009E11AB"/>
    <w:rsid w:val="009E2FF9"/>
    <w:rsid w:val="009E3265"/>
    <w:rsid w:val="009E3786"/>
    <w:rsid w:val="009E39D2"/>
    <w:rsid w:val="009E3BE5"/>
    <w:rsid w:val="009E4894"/>
    <w:rsid w:val="009E48CA"/>
    <w:rsid w:val="009E554F"/>
    <w:rsid w:val="009E6D97"/>
    <w:rsid w:val="009E6FAE"/>
    <w:rsid w:val="009F0294"/>
    <w:rsid w:val="009F0EA0"/>
    <w:rsid w:val="009F342B"/>
    <w:rsid w:val="009F3609"/>
    <w:rsid w:val="009F366B"/>
    <w:rsid w:val="009F3A45"/>
    <w:rsid w:val="009F4CC5"/>
    <w:rsid w:val="009F5838"/>
    <w:rsid w:val="009F59C9"/>
    <w:rsid w:val="009F5DA9"/>
    <w:rsid w:val="009F6FE8"/>
    <w:rsid w:val="009F7043"/>
    <w:rsid w:val="009F7074"/>
    <w:rsid w:val="00A008F7"/>
    <w:rsid w:val="00A0175F"/>
    <w:rsid w:val="00A019F9"/>
    <w:rsid w:val="00A01DF2"/>
    <w:rsid w:val="00A0291B"/>
    <w:rsid w:val="00A0585C"/>
    <w:rsid w:val="00A05E76"/>
    <w:rsid w:val="00A06E54"/>
    <w:rsid w:val="00A0700D"/>
    <w:rsid w:val="00A07677"/>
    <w:rsid w:val="00A10733"/>
    <w:rsid w:val="00A11741"/>
    <w:rsid w:val="00A14AA4"/>
    <w:rsid w:val="00A16639"/>
    <w:rsid w:val="00A178E7"/>
    <w:rsid w:val="00A17C2D"/>
    <w:rsid w:val="00A17D95"/>
    <w:rsid w:val="00A17EE6"/>
    <w:rsid w:val="00A20412"/>
    <w:rsid w:val="00A21394"/>
    <w:rsid w:val="00A21490"/>
    <w:rsid w:val="00A21C77"/>
    <w:rsid w:val="00A21EE3"/>
    <w:rsid w:val="00A239DC"/>
    <w:rsid w:val="00A23B76"/>
    <w:rsid w:val="00A2497A"/>
    <w:rsid w:val="00A24DD3"/>
    <w:rsid w:val="00A2541D"/>
    <w:rsid w:val="00A25CDE"/>
    <w:rsid w:val="00A25F21"/>
    <w:rsid w:val="00A26409"/>
    <w:rsid w:val="00A270F9"/>
    <w:rsid w:val="00A305AE"/>
    <w:rsid w:val="00A30987"/>
    <w:rsid w:val="00A30CD4"/>
    <w:rsid w:val="00A3236C"/>
    <w:rsid w:val="00A32433"/>
    <w:rsid w:val="00A3330B"/>
    <w:rsid w:val="00A334FD"/>
    <w:rsid w:val="00A338DF"/>
    <w:rsid w:val="00A33A80"/>
    <w:rsid w:val="00A33F9E"/>
    <w:rsid w:val="00A3464F"/>
    <w:rsid w:val="00A34A68"/>
    <w:rsid w:val="00A3734D"/>
    <w:rsid w:val="00A40480"/>
    <w:rsid w:val="00A41D2E"/>
    <w:rsid w:val="00A425EB"/>
    <w:rsid w:val="00A42807"/>
    <w:rsid w:val="00A42F78"/>
    <w:rsid w:val="00A44BCF"/>
    <w:rsid w:val="00A45F55"/>
    <w:rsid w:val="00A509C9"/>
    <w:rsid w:val="00A50A1A"/>
    <w:rsid w:val="00A51E26"/>
    <w:rsid w:val="00A52381"/>
    <w:rsid w:val="00A529F6"/>
    <w:rsid w:val="00A537B8"/>
    <w:rsid w:val="00A5400D"/>
    <w:rsid w:val="00A568D6"/>
    <w:rsid w:val="00A57DDC"/>
    <w:rsid w:val="00A607BC"/>
    <w:rsid w:val="00A6278A"/>
    <w:rsid w:val="00A6303F"/>
    <w:rsid w:val="00A663B3"/>
    <w:rsid w:val="00A66481"/>
    <w:rsid w:val="00A7224D"/>
    <w:rsid w:val="00A73089"/>
    <w:rsid w:val="00A73F04"/>
    <w:rsid w:val="00A74BF1"/>
    <w:rsid w:val="00A74E94"/>
    <w:rsid w:val="00A75126"/>
    <w:rsid w:val="00A75349"/>
    <w:rsid w:val="00A76129"/>
    <w:rsid w:val="00A77095"/>
    <w:rsid w:val="00A77AF8"/>
    <w:rsid w:val="00A77C64"/>
    <w:rsid w:val="00A809F4"/>
    <w:rsid w:val="00A813A1"/>
    <w:rsid w:val="00A81A95"/>
    <w:rsid w:val="00A83ADB"/>
    <w:rsid w:val="00A83D9D"/>
    <w:rsid w:val="00A84229"/>
    <w:rsid w:val="00A84A22"/>
    <w:rsid w:val="00A84C7D"/>
    <w:rsid w:val="00A8522C"/>
    <w:rsid w:val="00A85EFD"/>
    <w:rsid w:val="00A870A7"/>
    <w:rsid w:val="00A874DB"/>
    <w:rsid w:val="00A905D0"/>
    <w:rsid w:val="00A93CEC"/>
    <w:rsid w:val="00A944E7"/>
    <w:rsid w:val="00A95450"/>
    <w:rsid w:val="00A95562"/>
    <w:rsid w:val="00A964A8"/>
    <w:rsid w:val="00A96EEA"/>
    <w:rsid w:val="00A97799"/>
    <w:rsid w:val="00AA0355"/>
    <w:rsid w:val="00AA06AD"/>
    <w:rsid w:val="00AA1678"/>
    <w:rsid w:val="00AA35F7"/>
    <w:rsid w:val="00AA47C5"/>
    <w:rsid w:val="00AB0A95"/>
    <w:rsid w:val="00AB0C5D"/>
    <w:rsid w:val="00AB3FFE"/>
    <w:rsid w:val="00AB49C4"/>
    <w:rsid w:val="00AB5674"/>
    <w:rsid w:val="00AB58E5"/>
    <w:rsid w:val="00AB5C4C"/>
    <w:rsid w:val="00AB7CF6"/>
    <w:rsid w:val="00AB7F09"/>
    <w:rsid w:val="00AB7F2C"/>
    <w:rsid w:val="00AC061A"/>
    <w:rsid w:val="00AC074D"/>
    <w:rsid w:val="00AC09DD"/>
    <w:rsid w:val="00AC11A9"/>
    <w:rsid w:val="00AC1842"/>
    <w:rsid w:val="00AC193D"/>
    <w:rsid w:val="00AC2E27"/>
    <w:rsid w:val="00AC4333"/>
    <w:rsid w:val="00AC4D45"/>
    <w:rsid w:val="00AC4EBD"/>
    <w:rsid w:val="00AC5839"/>
    <w:rsid w:val="00AC5C1F"/>
    <w:rsid w:val="00AC5F4F"/>
    <w:rsid w:val="00AC600D"/>
    <w:rsid w:val="00AC6219"/>
    <w:rsid w:val="00AC72E1"/>
    <w:rsid w:val="00AC75A6"/>
    <w:rsid w:val="00AC79FB"/>
    <w:rsid w:val="00AC7FA3"/>
    <w:rsid w:val="00AD141F"/>
    <w:rsid w:val="00AD2D67"/>
    <w:rsid w:val="00AD5E13"/>
    <w:rsid w:val="00AD5F42"/>
    <w:rsid w:val="00AD6244"/>
    <w:rsid w:val="00AD6E68"/>
    <w:rsid w:val="00AD7398"/>
    <w:rsid w:val="00AD7952"/>
    <w:rsid w:val="00AE016F"/>
    <w:rsid w:val="00AE0198"/>
    <w:rsid w:val="00AE1568"/>
    <w:rsid w:val="00AE1ECC"/>
    <w:rsid w:val="00AE1FA5"/>
    <w:rsid w:val="00AE2184"/>
    <w:rsid w:val="00AE27E0"/>
    <w:rsid w:val="00AE2CF1"/>
    <w:rsid w:val="00AE36AB"/>
    <w:rsid w:val="00AE62C3"/>
    <w:rsid w:val="00AE6D7F"/>
    <w:rsid w:val="00AE79EE"/>
    <w:rsid w:val="00AF05FC"/>
    <w:rsid w:val="00AF0CFC"/>
    <w:rsid w:val="00AF3003"/>
    <w:rsid w:val="00AF3438"/>
    <w:rsid w:val="00AF3CA1"/>
    <w:rsid w:val="00AF4A94"/>
    <w:rsid w:val="00AF6F50"/>
    <w:rsid w:val="00AF7676"/>
    <w:rsid w:val="00B02BB4"/>
    <w:rsid w:val="00B02E61"/>
    <w:rsid w:val="00B03893"/>
    <w:rsid w:val="00B03912"/>
    <w:rsid w:val="00B03BC5"/>
    <w:rsid w:val="00B04A3E"/>
    <w:rsid w:val="00B04B48"/>
    <w:rsid w:val="00B06291"/>
    <w:rsid w:val="00B06DC6"/>
    <w:rsid w:val="00B07DDD"/>
    <w:rsid w:val="00B10330"/>
    <w:rsid w:val="00B10A9C"/>
    <w:rsid w:val="00B11CA3"/>
    <w:rsid w:val="00B11F30"/>
    <w:rsid w:val="00B12921"/>
    <w:rsid w:val="00B131BE"/>
    <w:rsid w:val="00B150C9"/>
    <w:rsid w:val="00B1599A"/>
    <w:rsid w:val="00B16F7A"/>
    <w:rsid w:val="00B170B1"/>
    <w:rsid w:val="00B17381"/>
    <w:rsid w:val="00B1749B"/>
    <w:rsid w:val="00B17788"/>
    <w:rsid w:val="00B17DC0"/>
    <w:rsid w:val="00B17FDE"/>
    <w:rsid w:val="00B20689"/>
    <w:rsid w:val="00B20CBE"/>
    <w:rsid w:val="00B21C10"/>
    <w:rsid w:val="00B22573"/>
    <w:rsid w:val="00B23A3A"/>
    <w:rsid w:val="00B243D8"/>
    <w:rsid w:val="00B24914"/>
    <w:rsid w:val="00B25789"/>
    <w:rsid w:val="00B262F0"/>
    <w:rsid w:val="00B2644B"/>
    <w:rsid w:val="00B27501"/>
    <w:rsid w:val="00B3059F"/>
    <w:rsid w:val="00B308F8"/>
    <w:rsid w:val="00B320EF"/>
    <w:rsid w:val="00B34281"/>
    <w:rsid w:val="00B36CDA"/>
    <w:rsid w:val="00B36D1D"/>
    <w:rsid w:val="00B40247"/>
    <w:rsid w:val="00B40FEE"/>
    <w:rsid w:val="00B41389"/>
    <w:rsid w:val="00B43685"/>
    <w:rsid w:val="00B444E9"/>
    <w:rsid w:val="00B453B9"/>
    <w:rsid w:val="00B46129"/>
    <w:rsid w:val="00B4617B"/>
    <w:rsid w:val="00B4728F"/>
    <w:rsid w:val="00B47915"/>
    <w:rsid w:val="00B5026E"/>
    <w:rsid w:val="00B514CC"/>
    <w:rsid w:val="00B51998"/>
    <w:rsid w:val="00B51FC7"/>
    <w:rsid w:val="00B52170"/>
    <w:rsid w:val="00B523BB"/>
    <w:rsid w:val="00B5497F"/>
    <w:rsid w:val="00B550A0"/>
    <w:rsid w:val="00B55462"/>
    <w:rsid w:val="00B55502"/>
    <w:rsid w:val="00B55DD1"/>
    <w:rsid w:val="00B57C1E"/>
    <w:rsid w:val="00B57EBB"/>
    <w:rsid w:val="00B6242D"/>
    <w:rsid w:val="00B62B1C"/>
    <w:rsid w:val="00B62ED8"/>
    <w:rsid w:val="00B646B9"/>
    <w:rsid w:val="00B656D9"/>
    <w:rsid w:val="00B66970"/>
    <w:rsid w:val="00B6776F"/>
    <w:rsid w:val="00B67E59"/>
    <w:rsid w:val="00B71268"/>
    <w:rsid w:val="00B721EA"/>
    <w:rsid w:val="00B72C75"/>
    <w:rsid w:val="00B73CDC"/>
    <w:rsid w:val="00B750D2"/>
    <w:rsid w:val="00B75E1B"/>
    <w:rsid w:val="00B75E9D"/>
    <w:rsid w:val="00B77029"/>
    <w:rsid w:val="00B77056"/>
    <w:rsid w:val="00B77362"/>
    <w:rsid w:val="00B80B86"/>
    <w:rsid w:val="00B81F3F"/>
    <w:rsid w:val="00B82477"/>
    <w:rsid w:val="00B8267E"/>
    <w:rsid w:val="00B82D97"/>
    <w:rsid w:val="00B841EB"/>
    <w:rsid w:val="00B84B4A"/>
    <w:rsid w:val="00B8605C"/>
    <w:rsid w:val="00B8628A"/>
    <w:rsid w:val="00B862F8"/>
    <w:rsid w:val="00B86525"/>
    <w:rsid w:val="00B86758"/>
    <w:rsid w:val="00B8684C"/>
    <w:rsid w:val="00B90011"/>
    <w:rsid w:val="00B90766"/>
    <w:rsid w:val="00B90810"/>
    <w:rsid w:val="00B91F51"/>
    <w:rsid w:val="00B92E0D"/>
    <w:rsid w:val="00B9384C"/>
    <w:rsid w:val="00B94203"/>
    <w:rsid w:val="00B9495E"/>
    <w:rsid w:val="00B94990"/>
    <w:rsid w:val="00B94DC5"/>
    <w:rsid w:val="00B95790"/>
    <w:rsid w:val="00B95C95"/>
    <w:rsid w:val="00B9621F"/>
    <w:rsid w:val="00B96B88"/>
    <w:rsid w:val="00B973D3"/>
    <w:rsid w:val="00B97930"/>
    <w:rsid w:val="00B97B41"/>
    <w:rsid w:val="00BA2041"/>
    <w:rsid w:val="00BA3E92"/>
    <w:rsid w:val="00BA687D"/>
    <w:rsid w:val="00BB06F4"/>
    <w:rsid w:val="00BB0AC0"/>
    <w:rsid w:val="00BB1436"/>
    <w:rsid w:val="00BB1487"/>
    <w:rsid w:val="00BB18B7"/>
    <w:rsid w:val="00BB24AC"/>
    <w:rsid w:val="00BB2DF1"/>
    <w:rsid w:val="00BB3B91"/>
    <w:rsid w:val="00BB3F8E"/>
    <w:rsid w:val="00BB5720"/>
    <w:rsid w:val="00BB6CA2"/>
    <w:rsid w:val="00BC0C47"/>
    <w:rsid w:val="00BC0F53"/>
    <w:rsid w:val="00BC32BE"/>
    <w:rsid w:val="00BC3413"/>
    <w:rsid w:val="00BC380C"/>
    <w:rsid w:val="00BC4A24"/>
    <w:rsid w:val="00BD0EC6"/>
    <w:rsid w:val="00BD1C1F"/>
    <w:rsid w:val="00BD3852"/>
    <w:rsid w:val="00BD41BF"/>
    <w:rsid w:val="00BD44AF"/>
    <w:rsid w:val="00BD604B"/>
    <w:rsid w:val="00BD6469"/>
    <w:rsid w:val="00BD6CC7"/>
    <w:rsid w:val="00BD6F09"/>
    <w:rsid w:val="00BD7E79"/>
    <w:rsid w:val="00BE1524"/>
    <w:rsid w:val="00BE18A3"/>
    <w:rsid w:val="00BE28BA"/>
    <w:rsid w:val="00BE308F"/>
    <w:rsid w:val="00BE39BD"/>
    <w:rsid w:val="00BE517A"/>
    <w:rsid w:val="00BE5749"/>
    <w:rsid w:val="00BE79CF"/>
    <w:rsid w:val="00BF1D18"/>
    <w:rsid w:val="00BF3F54"/>
    <w:rsid w:val="00BF47A0"/>
    <w:rsid w:val="00BF6D71"/>
    <w:rsid w:val="00BF7669"/>
    <w:rsid w:val="00BF7886"/>
    <w:rsid w:val="00C0059B"/>
    <w:rsid w:val="00C009E2"/>
    <w:rsid w:val="00C00F90"/>
    <w:rsid w:val="00C010CB"/>
    <w:rsid w:val="00C013C5"/>
    <w:rsid w:val="00C046E8"/>
    <w:rsid w:val="00C04A9B"/>
    <w:rsid w:val="00C06F42"/>
    <w:rsid w:val="00C07A38"/>
    <w:rsid w:val="00C07D27"/>
    <w:rsid w:val="00C10216"/>
    <w:rsid w:val="00C10A46"/>
    <w:rsid w:val="00C10DE7"/>
    <w:rsid w:val="00C11DE3"/>
    <w:rsid w:val="00C12421"/>
    <w:rsid w:val="00C139C2"/>
    <w:rsid w:val="00C146C0"/>
    <w:rsid w:val="00C16515"/>
    <w:rsid w:val="00C16722"/>
    <w:rsid w:val="00C16DDC"/>
    <w:rsid w:val="00C176B1"/>
    <w:rsid w:val="00C17AA8"/>
    <w:rsid w:val="00C17E52"/>
    <w:rsid w:val="00C20DB4"/>
    <w:rsid w:val="00C20E52"/>
    <w:rsid w:val="00C21EF0"/>
    <w:rsid w:val="00C22F88"/>
    <w:rsid w:val="00C23F88"/>
    <w:rsid w:val="00C2693F"/>
    <w:rsid w:val="00C27E76"/>
    <w:rsid w:val="00C307D7"/>
    <w:rsid w:val="00C316B5"/>
    <w:rsid w:val="00C32D18"/>
    <w:rsid w:val="00C337B4"/>
    <w:rsid w:val="00C34564"/>
    <w:rsid w:val="00C34C14"/>
    <w:rsid w:val="00C353B6"/>
    <w:rsid w:val="00C353D7"/>
    <w:rsid w:val="00C35CFE"/>
    <w:rsid w:val="00C361EC"/>
    <w:rsid w:val="00C3650D"/>
    <w:rsid w:val="00C37E1A"/>
    <w:rsid w:val="00C4001E"/>
    <w:rsid w:val="00C4057B"/>
    <w:rsid w:val="00C40B48"/>
    <w:rsid w:val="00C424A9"/>
    <w:rsid w:val="00C4278F"/>
    <w:rsid w:val="00C447DA"/>
    <w:rsid w:val="00C47BA1"/>
    <w:rsid w:val="00C47CD0"/>
    <w:rsid w:val="00C508B3"/>
    <w:rsid w:val="00C52A8A"/>
    <w:rsid w:val="00C532E4"/>
    <w:rsid w:val="00C548BB"/>
    <w:rsid w:val="00C55B59"/>
    <w:rsid w:val="00C56A3F"/>
    <w:rsid w:val="00C57666"/>
    <w:rsid w:val="00C57B26"/>
    <w:rsid w:val="00C62470"/>
    <w:rsid w:val="00C626F8"/>
    <w:rsid w:val="00C6289C"/>
    <w:rsid w:val="00C62EF0"/>
    <w:rsid w:val="00C631D3"/>
    <w:rsid w:val="00C63EDB"/>
    <w:rsid w:val="00C65C0D"/>
    <w:rsid w:val="00C6686A"/>
    <w:rsid w:val="00C668F4"/>
    <w:rsid w:val="00C67B49"/>
    <w:rsid w:val="00C70423"/>
    <w:rsid w:val="00C70734"/>
    <w:rsid w:val="00C710BE"/>
    <w:rsid w:val="00C711AE"/>
    <w:rsid w:val="00C71F44"/>
    <w:rsid w:val="00C72DBF"/>
    <w:rsid w:val="00C74966"/>
    <w:rsid w:val="00C7522A"/>
    <w:rsid w:val="00C75EB0"/>
    <w:rsid w:val="00C81843"/>
    <w:rsid w:val="00C82828"/>
    <w:rsid w:val="00C83733"/>
    <w:rsid w:val="00C848CB"/>
    <w:rsid w:val="00C85C05"/>
    <w:rsid w:val="00C87251"/>
    <w:rsid w:val="00C87E15"/>
    <w:rsid w:val="00C87ED8"/>
    <w:rsid w:val="00C9208D"/>
    <w:rsid w:val="00C92316"/>
    <w:rsid w:val="00C9276B"/>
    <w:rsid w:val="00C93036"/>
    <w:rsid w:val="00C94F72"/>
    <w:rsid w:val="00C95457"/>
    <w:rsid w:val="00C96996"/>
    <w:rsid w:val="00C97003"/>
    <w:rsid w:val="00C970E6"/>
    <w:rsid w:val="00C97A8D"/>
    <w:rsid w:val="00CA01F5"/>
    <w:rsid w:val="00CA22B3"/>
    <w:rsid w:val="00CA2383"/>
    <w:rsid w:val="00CA2685"/>
    <w:rsid w:val="00CA4989"/>
    <w:rsid w:val="00CA4DC7"/>
    <w:rsid w:val="00CA57FB"/>
    <w:rsid w:val="00CA62B6"/>
    <w:rsid w:val="00CA67CE"/>
    <w:rsid w:val="00CA726F"/>
    <w:rsid w:val="00CB0FFF"/>
    <w:rsid w:val="00CB1CE2"/>
    <w:rsid w:val="00CB232A"/>
    <w:rsid w:val="00CB33D0"/>
    <w:rsid w:val="00CB3883"/>
    <w:rsid w:val="00CB442A"/>
    <w:rsid w:val="00CB4906"/>
    <w:rsid w:val="00CB67A5"/>
    <w:rsid w:val="00CC0217"/>
    <w:rsid w:val="00CC2CE7"/>
    <w:rsid w:val="00CC2DB4"/>
    <w:rsid w:val="00CC3EEF"/>
    <w:rsid w:val="00CC4CF4"/>
    <w:rsid w:val="00CC55DB"/>
    <w:rsid w:val="00CC5C12"/>
    <w:rsid w:val="00CC67F3"/>
    <w:rsid w:val="00CC6DFD"/>
    <w:rsid w:val="00CC6F8C"/>
    <w:rsid w:val="00CC76B5"/>
    <w:rsid w:val="00CC791E"/>
    <w:rsid w:val="00CC7D90"/>
    <w:rsid w:val="00CD0D62"/>
    <w:rsid w:val="00CD2E2E"/>
    <w:rsid w:val="00CD315B"/>
    <w:rsid w:val="00CD37E9"/>
    <w:rsid w:val="00CD3A4B"/>
    <w:rsid w:val="00CD3F27"/>
    <w:rsid w:val="00CD3FEA"/>
    <w:rsid w:val="00CD41F9"/>
    <w:rsid w:val="00CD4736"/>
    <w:rsid w:val="00CD545E"/>
    <w:rsid w:val="00CE0101"/>
    <w:rsid w:val="00CE12E2"/>
    <w:rsid w:val="00CE1754"/>
    <w:rsid w:val="00CE1B69"/>
    <w:rsid w:val="00CE1D1C"/>
    <w:rsid w:val="00CE20B1"/>
    <w:rsid w:val="00CE232F"/>
    <w:rsid w:val="00CE4550"/>
    <w:rsid w:val="00CE47D8"/>
    <w:rsid w:val="00CE4A3F"/>
    <w:rsid w:val="00CE4BF3"/>
    <w:rsid w:val="00CE64B3"/>
    <w:rsid w:val="00CE747B"/>
    <w:rsid w:val="00CE7F0A"/>
    <w:rsid w:val="00CF0D64"/>
    <w:rsid w:val="00CF17E1"/>
    <w:rsid w:val="00CF2FE9"/>
    <w:rsid w:val="00CF32B2"/>
    <w:rsid w:val="00CF3F68"/>
    <w:rsid w:val="00CF4333"/>
    <w:rsid w:val="00CF4BCF"/>
    <w:rsid w:val="00CF4C67"/>
    <w:rsid w:val="00CF50DE"/>
    <w:rsid w:val="00CF567B"/>
    <w:rsid w:val="00CF619C"/>
    <w:rsid w:val="00CF6F24"/>
    <w:rsid w:val="00D019AD"/>
    <w:rsid w:val="00D02836"/>
    <w:rsid w:val="00D02BA9"/>
    <w:rsid w:val="00D0343D"/>
    <w:rsid w:val="00D0469C"/>
    <w:rsid w:val="00D04F84"/>
    <w:rsid w:val="00D05A27"/>
    <w:rsid w:val="00D12867"/>
    <w:rsid w:val="00D12F03"/>
    <w:rsid w:val="00D13E97"/>
    <w:rsid w:val="00D142B2"/>
    <w:rsid w:val="00D14685"/>
    <w:rsid w:val="00D14C10"/>
    <w:rsid w:val="00D150DC"/>
    <w:rsid w:val="00D171F1"/>
    <w:rsid w:val="00D176B8"/>
    <w:rsid w:val="00D20510"/>
    <w:rsid w:val="00D21786"/>
    <w:rsid w:val="00D24690"/>
    <w:rsid w:val="00D268A7"/>
    <w:rsid w:val="00D322C4"/>
    <w:rsid w:val="00D33A9E"/>
    <w:rsid w:val="00D34A85"/>
    <w:rsid w:val="00D36D62"/>
    <w:rsid w:val="00D36FE5"/>
    <w:rsid w:val="00D40A7B"/>
    <w:rsid w:val="00D414A5"/>
    <w:rsid w:val="00D41D13"/>
    <w:rsid w:val="00D423DE"/>
    <w:rsid w:val="00D429CF"/>
    <w:rsid w:val="00D42AF1"/>
    <w:rsid w:val="00D43D19"/>
    <w:rsid w:val="00D4680A"/>
    <w:rsid w:val="00D46E47"/>
    <w:rsid w:val="00D47541"/>
    <w:rsid w:val="00D531E5"/>
    <w:rsid w:val="00D5352D"/>
    <w:rsid w:val="00D53896"/>
    <w:rsid w:val="00D54079"/>
    <w:rsid w:val="00D54967"/>
    <w:rsid w:val="00D57D75"/>
    <w:rsid w:val="00D61C3C"/>
    <w:rsid w:val="00D6201C"/>
    <w:rsid w:val="00D620B4"/>
    <w:rsid w:val="00D64AE4"/>
    <w:rsid w:val="00D65998"/>
    <w:rsid w:val="00D678AB"/>
    <w:rsid w:val="00D678FB"/>
    <w:rsid w:val="00D67A1C"/>
    <w:rsid w:val="00D67C7E"/>
    <w:rsid w:val="00D700CF"/>
    <w:rsid w:val="00D70A74"/>
    <w:rsid w:val="00D715B2"/>
    <w:rsid w:val="00D727F0"/>
    <w:rsid w:val="00D7420F"/>
    <w:rsid w:val="00D74BE1"/>
    <w:rsid w:val="00D753F5"/>
    <w:rsid w:val="00D75EF6"/>
    <w:rsid w:val="00D76A01"/>
    <w:rsid w:val="00D76DEC"/>
    <w:rsid w:val="00D77C0C"/>
    <w:rsid w:val="00D80B89"/>
    <w:rsid w:val="00D81457"/>
    <w:rsid w:val="00D822AF"/>
    <w:rsid w:val="00D8275F"/>
    <w:rsid w:val="00D82966"/>
    <w:rsid w:val="00D82ABF"/>
    <w:rsid w:val="00D82F70"/>
    <w:rsid w:val="00D8345A"/>
    <w:rsid w:val="00D84FA9"/>
    <w:rsid w:val="00D86C50"/>
    <w:rsid w:val="00D86EA1"/>
    <w:rsid w:val="00D91AEC"/>
    <w:rsid w:val="00D92FE8"/>
    <w:rsid w:val="00D935D9"/>
    <w:rsid w:val="00D95610"/>
    <w:rsid w:val="00D96A34"/>
    <w:rsid w:val="00D9782F"/>
    <w:rsid w:val="00DA0260"/>
    <w:rsid w:val="00DA1F5D"/>
    <w:rsid w:val="00DA2C85"/>
    <w:rsid w:val="00DA2EF6"/>
    <w:rsid w:val="00DA4307"/>
    <w:rsid w:val="00DA4B48"/>
    <w:rsid w:val="00DA6264"/>
    <w:rsid w:val="00DA6355"/>
    <w:rsid w:val="00DA66D8"/>
    <w:rsid w:val="00DA7FB4"/>
    <w:rsid w:val="00DB009D"/>
    <w:rsid w:val="00DB0DFF"/>
    <w:rsid w:val="00DB12D7"/>
    <w:rsid w:val="00DB1A05"/>
    <w:rsid w:val="00DB385A"/>
    <w:rsid w:val="00DB4A45"/>
    <w:rsid w:val="00DB575C"/>
    <w:rsid w:val="00DB5F04"/>
    <w:rsid w:val="00DB7A0D"/>
    <w:rsid w:val="00DC236F"/>
    <w:rsid w:val="00DC27D5"/>
    <w:rsid w:val="00DC2919"/>
    <w:rsid w:val="00DC2F38"/>
    <w:rsid w:val="00DC4560"/>
    <w:rsid w:val="00DC5404"/>
    <w:rsid w:val="00DC65CD"/>
    <w:rsid w:val="00DD0A97"/>
    <w:rsid w:val="00DD112B"/>
    <w:rsid w:val="00DD1EE3"/>
    <w:rsid w:val="00DD2912"/>
    <w:rsid w:val="00DD5380"/>
    <w:rsid w:val="00DD5E8B"/>
    <w:rsid w:val="00DD64B4"/>
    <w:rsid w:val="00DE3283"/>
    <w:rsid w:val="00DE3554"/>
    <w:rsid w:val="00DE4F4B"/>
    <w:rsid w:val="00DE6129"/>
    <w:rsid w:val="00DF0432"/>
    <w:rsid w:val="00DF0D28"/>
    <w:rsid w:val="00DF11F8"/>
    <w:rsid w:val="00DF2011"/>
    <w:rsid w:val="00DF423E"/>
    <w:rsid w:val="00DF53EB"/>
    <w:rsid w:val="00DF54E6"/>
    <w:rsid w:val="00DF7E04"/>
    <w:rsid w:val="00E016C0"/>
    <w:rsid w:val="00E04343"/>
    <w:rsid w:val="00E048AA"/>
    <w:rsid w:val="00E05811"/>
    <w:rsid w:val="00E05BC5"/>
    <w:rsid w:val="00E06193"/>
    <w:rsid w:val="00E0797E"/>
    <w:rsid w:val="00E107FA"/>
    <w:rsid w:val="00E1297F"/>
    <w:rsid w:val="00E14CFF"/>
    <w:rsid w:val="00E159D3"/>
    <w:rsid w:val="00E16E6C"/>
    <w:rsid w:val="00E16EF3"/>
    <w:rsid w:val="00E17371"/>
    <w:rsid w:val="00E17450"/>
    <w:rsid w:val="00E20D57"/>
    <w:rsid w:val="00E212EF"/>
    <w:rsid w:val="00E213E1"/>
    <w:rsid w:val="00E218FB"/>
    <w:rsid w:val="00E22678"/>
    <w:rsid w:val="00E2482A"/>
    <w:rsid w:val="00E24F4E"/>
    <w:rsid w:val="00E24F76"/>
    <w:rsid w:val="00E25820"/>
    <w:rsid w:val="00E271DF"/>
    <w:rsid w:val="00E27CBA"/>
    <w:rsid w:val="00E32E11"/>
    <w:rsid w:val="00E32E41"/>
    <w:rsid w:val="00E34C7D"/>
    <w:rsid w:val="00E35079"/>
    <w:rsid w:val="00E3542F"/>
    <w:rsid w:val="00E359A4"/>
    <w:rsid w:val="00E37AD3"/>
    <w:rsid w:val="00E41000"/>
    <w:rsid w:val="00E41127"/>
    <w:rsid w:val="00E419A2"/>
    <w:rsid w:val="00E4489A"/>
    <w:rsid w:val="00E44A1D"/>
    <w:rsid w:val="00E44B1B"/>
    <w:rsid w:val="00E4504B"/>
    <w:rsid w:val="00E454D2"/>
    <w:rsid w:val="00E45B26"/>
    <w:rsid w:val="00E46924"/>
    <w:rsid w:val="00E46E7D"/>
    <w:rsid w:val="00E473ED"/>
    <w:rsid w:val="00E47615"/>
    <w:rsid w:val="00E51793"/>
    <w:rsid w:val="00E5200B"/>
    <w:rsid w:val="00E5251D"/>
    <w:rsid w:val="00E5264A"/>
    <w:rsid w:val="00E5326B"/>
    <w:rsid w:val="00E5482A"/>
    <w:rsid w:val="00E55D86"/>
    <w:rsid w:val="00E60340"/>
    <w:rsid w:val="00E6125B"/>
    <w:rsid w:val="00E63C18"/>
    <w:rsid w:val="00E653B4"/>
    <w:rsid w:val="00E654DD"/>
    <w:rsid w:val="00E66583"/>
    <w:rsid w:val="00E66ED6"/>
    <w:rsid w:val="00E70CD8"/>
    <w:rsid w:val="00E720FC"/>
    <w:rsid w:val="00E728F3"/>
    <w:rsid w:val="00E72A4F"/>
    <w:rsid w:val="00E7502F"/>
    <w:rsid w:val="00E7551C"/>
    <w:rsid w:val="00E75959"/>
    <w:rsid w:val="00E80221"/>
    <w:rsid w:val="00E806A0"/>
    <w:rsid w:val="00E806CA"/>
    <w:rsid w:val="00E80B38"/>
    <w:rsid w:val="00E84CB7"/>
    <w:rsid w:val="00E85F67"/>
    <w:rsid w:val="00E86739"/>
    <w:rsid w:val="00E86AB1"/>
    <w:rsid w:val="00E87030"/>
    <w:rsid w:val="00E9008A"/>
    <w:rsid w:val="00E9015B"/>
    <w:rsid w:val="00E91065"/>
    <w:rsid w:val="00E915F8"/>
    <w:rsid w:val="00E91646"/>
    <w:rsid w:val="00E920AC"/>
    <w:rsid w:val="00E92B20"/>
    <w:rsid w:val="00E9352C"/>
    <w:rsid w:val="00E946BF"/>
    <w:rsid w:val="00E954AD"/>
    <w:rsid w:val="00E96EEF"/>
    <w:rsid w:val="00E97DE7"/>
    <w:rsid w:val="00EA09DA"/>
    <w:rsid w:val="00EA11A8"/>
    <w:rsid w:val="00EA2CB5"/>
    <w:rsid w:val="00EA3EDB"/>
    <w:rsid w:val="00EA4067"/>
    <w:rsid w:val="00EA491E"/>
    <w:rsid w:val="00EB005C"/>
    <w:rsid w:val="00EB01E0"/>
    <w:rsid w:val="00EB13A0"/>
    <w:rsid w:val="00EB1443"/>
    <w:rsid w:val="00EB4119"/>
    <w:rsid w:val="00EB435F"/>
    <w:rsid w:val="00EB47F2"/>
    <w:rsid w:val="00EB4BB7"/>
    <w:rsid w:val="00EB4E87"/>
    <w:rsid w:val="00EB609F"/>
    <w:rsid w:val="00EB6EDE"/>
    <w:rsid w:val="00EB7832"/>
    <w:rsid w:val="00EC0134"/>
    <w:rsid w:val="00EC1D19"/>
    <w:rsid w:val="00EC2B45"/>
    <w:rsid w:val="00EC2D8D"/>
    <w:rsid w:val="00EC4FD3"/>
    <w:rsid w:val="00EC519C"/>
    <w:rsid w:val="00EC6461"/>
    <w:rsid w:val="00EC68A7"/>
    <w:rsid w:val="00ED1410"/>
    <w:rsid w:val="00ED244A"/>
    <w:rsid w:val="00ED3686"/>
    <w:rsid w:val="00ED505C"/>
    <w:rsid w:val="00ED537A"/>
    <w:rsid w:val="00ED7403"/>
    <w:rsid w:val="00ED7EA9"/>
    <w:rsid w:val="00EE1CFD"/>
    <w:rsid w:val="00EE2E93"/>
    <w:rsid w:val="00EE30DB"/>
    <w:rsid w:val="00EE67AD"/>
    <w:rsid w:val="00EE6F99"/>
    <w:rsid w:val="00EF0E06"/>
    <w:rsid w:val="00EF1A6A"/>
    <w:rsid w:val="00EF2A8F"/>
    <w:rsid w:val="00EF39B0"/>
    <w:rsid w:val="00EF3F3B"/>
    <w:rsid w:val="00EF4A82"/>
    <w:rsid w:val="00EF4AF5"/>
    <w:rsid w:val="00EF711A"/>
    <w:rsid w:val="00EF7A3C"/>
    <w:rsid w:val="00F01087"/>
    <w:rsid w:val="00F011EA"/>
    <w:rsid w:val="00F01B4C"/>
    <w:rsid w:val="00F07065"/>
    <w:rsid w:val="00F10738"/>
    <w:rsid w:val="00F10A1A"/>
    <w:rsid w:val="00F124D6"/>
    <w:rsid w:val="00F1295A"/>
    <w:rsid w:val="00F12B54"/>
    <w:rsid w:val="00F13988"/>
    <w:rsid w:val="00F14605"/>
    <w:rsid w:val="00F14756"/>
    <w:rsid w:val="00F16009"/>
    <w:rsid w:val="00F1725C"/>
    <w:rsid w:val="00F172F2"/>
    <w:rsid w:val="00F21106"/>
    <w:rsid w:val="00F21333"/>
    <w:rsid w:val="00F21ECD"/>
    <w:rsid w:val="00F232CF"/>
    <w:rsid w:val="00F237C4"/>
    <w:rsid w:val="00F25C65"/>
    <w:rsid w:val="00F26499"/>
    <w:rsid w:val="00F273F9"/>
    <w:rsid w:val="00F3007D"/>
    <w:rsid w:val="00F30B5C"/>
    <w:rsid w:val="00F321D1"/>
    <w:rsid w:val="00F32B8C"/>
    <w:rsid w:val="00F343D0"/>
    <w:rsid w:val="00F35598"/>
    <w:rsid w:val="00F36BC6"/>
    <w:rsid w:val="00F372A0"/>
    <w:rsid w:val="00F37CBE"/>
    <w:rsid w:val="00F40ED3"/>
    <w:rsid w:val="00F41EE2"/>
    <w:rsid w:val="00F43138"/>
    <w:rsid w:val="00F43217"/>
    <w:rsid w:val="00F434EC"/>
    <w:rsid w:val="00F443E9"/>
    <w:rsid w:val="00F44545"/>
    <w:rsid w:val="00F4473E"/>
    <w:rsid w:val="00F47728"/>
    <w:rsid w:val="00F47C7B"/>
    <w:rsid w:val="00F47D32"/>
    <w:rsid w:val="00F50464"/>
    <w:rsid w:val="00F50BF7"/>
    <w:rsid w:val="00F511DF"/>
    <w:rsid w:val="00F517A2"/>
    <w:rsid w:val="00F52599"/>
    <w:rsid w:val="00F52B96"/>
    <w:rsid w:val="00F54B43"/>
    <w:rsid w:val="00F56BC0"/>
    <w:rsid w:val="00F61767"/>
    <w:rsid w:val="00F61F22"/>
    <w:rsid w:val="00F61F2B"/>
    <w:rsid w:val="00F6248F"/>
    <w:rsid w:val="00F63233"/>
    <w:rsid w:val="00F63782"/>
    <w:rsid w:val="00F63983"/>
    <w:rsid w:val="00F6419B"/>
    <w:rsid w:val="00F646F0"/>
    <w:rsid w:val="00F651A3"/>
    <w:rsid w:val="00F707C7"/>
    <w:rsid w:val="00F7303A"/>
    <w:rsid w:val="00F734AB"/>
    <w:rsid w:val="00F737A4"/>
    <w:rsid w:val="00F74FCD"/>
    <w:rsid w:val="00F75926"/>
    <w:rsid w:val="00F80F25"/>
    <w:rsid w:val="00F83C60"/>
    <w:rsid w:val="00F83DC4"/>
    <w:rsid w:val="00F84FA1"/>
    <w:rsid w:val="00F85126"/>
    <w:rsid w:val="00F86887"/>
    <w:rsid w:val="00F8697F"/>
    <w:rsid w:val="00F86B79"/>
    <w:rsid w:val="00F871DA"/>
    <w:rsid w:val="00F90886"/>
    <w:rsid w:val="00F90D5B"/>
    <w:rsid w:val="00F90F68"/>
    <w:rsid w:val="00F91879"/>
    <w:rsid w:val="00F91D99"/>
    <w:rsid w:val="00F92AE1"/>
    <w:rsid w:val="00F93EC4"/>
    <w:rsid w:val="00F96F70"/>
    <w:rsid w:val="00F977A9"/>
    <w:rsid w:val="00F97DF2"/>
    <w:rsid w:val="00FA0F1E"/>
    <w:rsid w:val="00FA1209"/>
    <w:rsid w:val="00FA2E86"/>
    <w:rsid w:val="00FA4CD1"/>
    <w:rsid w:val="00FA56C0"/>
    <w:rsid w:val="00FB07B9"/>
    <w:rsid w:val="00FB0FF0"/>
    <w:rsid w:val="00FB1E7E"/>
    <w:rsid w:val="00FB3FFB"/>
    <w:rsid w:val="00FB4B8B"/>
    <w:rsid w:val="00FB7D8C"/>
    <w:rsid w:val="00FB7F45"/>
    <w:rsid w:val="00FC00A3"/>
    <w:rsid w:val="00FC1224"/>
    <w:rsid w:val="00FC1893"/>
    <w:rsid w:val="00FC2570"/>
    <w:rsid w:val="00FC320E"/>
    <w:rsid w:val="00FC32DF"/>
    <w:rsid w:val="00FC66F9"/>
    <w:rsid w:val="00FD0565"/>
    <w:rsid w:val="00FD099E"/>
    <w:rsid w:val="00FD09E9"/>
    <w:rsid w:val="00FD20C8"/>
    <w:rsid w:val="00FD5201"/>
    <w:rsid w:val="00FD52EE"/>
    <w:rsid w:val="00FD5E37"/>
    <w:rsid w:val="00FD5F91"/>
    <w:rsid w:val="00FD79EE"/>
    <w:rsid w:val="00FE10E7"/>
    <w:rsid w:val="00FE2BC8"/>
    <w:rsid w:val="00FE4030"/>
    <w:rsid w:val="00FE7378"/>
    <w:rsid w:val="00FF04D3"/>
    <w:rsid w:val="00FF13A8"/>
    <w:rsid w:val="00FF2F33"/>
    <w:rsid w:val="00FF303F"/>
    <w:rsid w:val="00FF3931"/>
    <w:rsid w:val="00FF493A"/>
    <w:rsid w:val="00FF59C4"/>
    <w:rsid w:val="00FF5E9B"/>
    <w:rsid w:val="00FF6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96F9"/>
  <w15:docId w15:val="{784B8D73-1679-40E5-B25D-8FBB5129E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lsdException w:name="Date" w:semiHidden="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380"/>
    <w:pPr>
      <w:spacing w:after="0" w:line="240" w:lineRule="auto"/>
    </w:pPr>
    <w:rPr>
      <w:rFonts w:ascii="Times New Roman" w:hAnsi="Times New Roman"/>
      <w:szCs w:val="20"/>
    </w:rPr>
  </w:style>
  <w:style w:type="paragraph" w:styleId="Heading1">
    <w:name w:val="heading 1"/>
    <w:basedOn w:val="Normal"/>
    <w:next w:val="Heading2"/>
    <w:link w:val="Heading1Char"/>
    <w:uiPriority w:val="9"/>
    <w:qFormat/>
    <w:rsid w:val="004F426E"/>
    <w:pPr>
      <w:keepNext/>
      <w:keepLines/>
      <w:pageBreakBefore/>
      <w:pBdr>
        <w:bottom w:val="single" w:sz="6" w:space="1" w:color="auto"/>
      </w:pBdr>
      <w:spacing w:before="960"/>
      <w:outlineLvl w:val="0"/>
    </w:pPr>
    <w:rPr>
      <w:rFonts w:ascii="Arial" w:eastAsiaTheme="majorEastAsia" w:hAnsi="Arial" w:cstheme="majorBidi"/>
      <w:b/>
      <w:bCs/>
      <w:caps/>
      <w:sz w:val="40"/>
      <w:szCs w:val="28"/>
    </w:rPr>
  </w:style>
  <w:style w:type="paragraph" w:styleId="Heading2">
    <w:name w:val="heading 2"/>
    <w:basedOn w:val="Normal"/>
    <w:next w:val="12space"/>
    <w:link w:val="Heading2Char"/>
    <w:uiPriority w:val="9"/>
    <w:qFormat/>
    <w:rsid w:val="004F426E"/>
    <w:pPr>
      <w:keepNext/>
      <w:keepLines/>
      <w:spacing w:after="600"/>
      <w:outlineLvl w:val="1"/>
    </w:pPr>
    <w:rPr>
      <w:rFonts w:ascii="Arial" w:eastAsiaTheme="majorEastAsia" w:hAnsi="Arial" w:cstheme="majorBidi"/>
      <w:bCs/>
      <w:sz w:val="42"/>
      <w:szCs w:val="26"/>
    </w:rPr>
  </w:style>
  <w:style w:type="paragraph" w:styleId="Heading3">
    <w:name w:val="heading 3"/>
    <w:basedOn w:val="Normal"/>
    <w:next w:val="12space"/>
    <w:link w:val="Heading3Char"/>
    <w:uiPriority w:val="9"/>
    <w:qFormat/>
    <w:rsid w:val="004F426E"/>
    <w:pPr>
      <w:keepNext/>
      <w:keepLines/>
      <w:tabs>
        <w:tab w:val="left" w:pos="720"/>
      </w:tabs>
      <w:spacing w:before="120" w:after="180"/>
      <w:outlineLvl w:val="2"/>
    </w:pPr>
    <w:rPr>
      <w:rFonts w:ascii="Arial" w:eastAsiaTheme="majorEastAsia" w:hAnsi="Arial" w:cstheme="majorBidi"/>
      <w:b/>
      <w:bCs/>
      <w:sz w:val="33"/>
    </w:rPr>
  </w:style>
  <w:style w:type="paragraph" w:styleId="Heading4">
    <w:name w:val="heading 4"/>
    <w:basedOn w:val="Normal"/>
    <w:next w:val="12space"/>
    <w:link w:val="Heading4Char"/>
    <w:uiPriority w:val="9"/>
    <w:qFormat/>
    <w:rsid w:val="008B0DDC"/>
    <w:pPr>
      <w:keepNext/>
      <w:keepLines/>
      <w:spacing w:before="80" w:after="120"/>
      <w:ind w:left="936" w:hanging="936"/>
      <w:outlineLvl w:val="3"/>
    </w:pPr>
    <w:rPr>
      <w:rFonts w:ascii="Arial" w:eastAsiaTheme="majorEastAsia" w:hAnsi="Arial" w:cstheme="majorBidi"/>
      <w:bCs/>
      <w:iCs/>
      <w:sz w:val="31"/>
    </w:rPr>
  </w:style>
  <w:style w:type="paragraph" w:styleId="Heading5">
    <w:name w:val="heading 5"/>
    <w:basedOn w:val="Normal"/>
    <w:next w:val="12space"/>
    <w:link w:val="Heading5Char"/>
    <w:uiPriority w:val="9"/>
    <w:qFormat/>
    <w:rsid w:val="004F426E"/>
    <w:pPr>
      <w:keepNext/>
      <w:keepLines/>
      <w:tabs>
        <w:tab w:val="left" w:pos="1267"/>
      </w:tabs>
      <w:spacing w:before="120" w:after="120"/>
      <w:outlineLvl w:val="4"/>
    </w:pPr>
    <w:rPr>
      <w:rFonts w:ascii="Arial" w:eastAsiaTheme="majorEastAsia" w:hAnsi="Arial" w:cstheme="majorBidi"/>
      <w:b/>
      <w:sz w:val="26"/>
    </w:rPr>
  </w:style>
  <w:style w:type="paragraph" w:styleId="Heading6">
    <w:name w:val="heading 6"/>
    <w:basedOn w:val="Normal"/>
    <w:next w:val="12space"/>
    <w:link w:val="Heading6Char"/>
    <w:uiPriority w:val="9"/>
    <w:qFormat/>
    <w:rsid w:val="004F426E"/>
    <w:pPr>
      <w:keepNext/>
      <w:keepLines/>
      <w:spacing w:before="100" w:after="100"/>
      <w:outlineLvl w:val="5"/>
    </w:pPr>
    <w:rPr>
      <w:rFonts w:ascii="Arial" w:eastAsiaTheme="majorEastAsia" w:hAnsi="Arial" w:cstheme="majorBidi"/>
      <w:b/>
      <w:i/>
      <w:iCs/>
      <w:sz w:val="23"/>
    </w:rPr>
  </w:style>
  <w:style w:type="paragraph" w:styleId="Heading7">
    <w:name w:val="heading 7"/>
    <w:basedOn w:val="Normal"/>
    <w:next w:val="12space"/>
    <w:link w:val="Heading7Char"/>
    <w:uiPriority w:val="9"/>
    <w:qFormat/>
    <w:rsid w:val="004F426E"/>
    <w:pPr>
      <w:keepNext/>
      <w:keepLines/>
      <w:spacing w:before="100" w:after="60"/>
      <w:outlineLvl w:val="6"/>
    </w:pPr>
    <w:rPr>
      <w:rFonts w:ascii="Arial" w:eastAsiaTheme="majorEastAsia" w:hAnsi="Arial" w:cstheme="majorBidi"/>
      <w:b/>
      <w:iCs/>
      <w:sz w:val="21"/>
    </w:rPr>
  </w:style>
  <w:style w:type="paragraph" w:styleId="Heading8">
    <w:name w:val="heading 8"/>
    <w:basedOn w:val="Normal"/>
    <w:next w:val="12space"/>
    <w:link w:val="Heading8Char"/>
    <w:uiPriority w:val="9"/>
    <w:rsid w:val="004F426E"/>
    <w:pPr>
      <w:keepNext/>
      <w:spacing w:before="60" w:after="60"/>
      <w:outlineLvl w:val="7"/>
    </w:pPr>
    <w:rPr>
      <w:rFonts w:ascii="Arial" w:hAnsi="Arial"/>
      <w:sz w:val="21"/>
    </w:rPr>
  </w:style>
  <w:style w:type="paragraph" w:styleId="Heading9">
    <w:name w:val="heading 9"/>
    <w:basedOn w:val="Normal"/>
    <w:next w:val="12space"/>
    <w:link w:val="Heading9Char"/>
    <w:uiPriority w:val="9"/>
    <w:rsid w:val="004F426E"/>
    <w:pPr>
      <w:keepNext/>
      <w:spacing w:before="60" w:after="20"/>
      <w:outlineLvl w:val="8"/>
    </w:pPr>
    <w:rPr>
      <w:rFonts w:ascii="Arial" w:hAnsi="Arial"/>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4F426E"/>
    <w:rPr>
      <w:rFonts w:cs="Times New Roman"/>
      <w:szCs w:val="24"/>
    </w:rPr>
  </w:style>
  <w:style w:type="character" w:customStyle="1" w:styleId="Heading1Char">
    <w:name w:val="Heading 1 Char"/>
    <w:basedOn w:val="DefaultParagraphFont"/>
    <w:link w:val="Heading1"/>
    <w:uiPriority w:val="9"/>
    <w:rsid w:val="004F426E"/>
    <w:rPr>
      <w:rFonts w:ascii="Arial" w:eastAsiaTheme="majorEastAsia" w:hAnsi="Arial" w:cstheme="majorBidi"/>
      <w:b/>
      <w:bCs/>
      <w:caps/>
      <w:sz w:val="40"/>
      <w:szCs w:val="28"/>
    </w:rPr>
  </w:style>
  <w:style w:type="character" w:customStyle="1" w:styleId="Heading2Char">
    <w:name w:val="Heading 2 Char"/>
    <w:basedOn w:val="DefaultParagraphFont"/>
    <w:link w:val="Heading2"/>
    <w:uiPriority w:val="9"/>
    <w:rsid w:val="004F426E"/>
    <w:rPr>
      <w:rFonts w:ascii="Arial" w:eastAsiaTheme="majorEastAsia" w:hAnsi="Arial" w:cstheme="majorBidi"/>
      <w:bCs/>
      <w:sz w:val="42"/>
      <w:szCs w:val="26"/>
    </w:rPr>
  </w:style>
  <w:style w:type="paragraph" w:customStyle="1" w:styleId="12space">
    <w:name w:val="1.2 space"/>
    <w:aliases w:val="DCP Normal"/>
    <w:basedOn w:val="Normal"/>
    <w:link w:val="12spaceChar"/>
    <w:qFormat/>
    <w:rsid w:val="004F426E"/>
    <w:pPr>
      <w:spacing w:after="240" w:line="288" w:lineRule="exact"/>
      <w:jc w:val="both"/>
    </w:pPr>
  </w:style>
  <w:style w:type="paragraph" w:styleId="BodyText">
    <w:name w:val="Body Text"/>
    <w:basedOn w:val="12space"/>
    <w:link w:val="BodyTextChar"/>
    <w:uiPriority w:val="99"/>
    <w:semiHidden/>
    <w:rsid w:val="004F426E"/>
  </w:style>
  <w:style w:type="character" w:customStyle="1" w:styleId="BodyTextChar">
    <w:name w:val="Body Text Char"/>
    <w:basedOn w:val="DefaultParagraphFont"/>
    <w:link w:val="BodyText"/>
    <w:uiPriority w:val="99"/>
    <w:semiHidden/>
    <w:rsid w:val="004F426E"/>
    <w:rPr>
      <w:rFonts w:ascii="Times New Roman" w:hAnsi="Times New Roman"/>
      <w:szCs w:val="20"/>
    </w:rPr>
  </w:style>
  <w:style w:type="paragraph" w:customStyle="1" w:styleId="12indent">
    <w:name w:val="1.2 indent"/>
    <w:basedOn w:val="12space"/>
    <w:qFormat/>
    <w:rsid w:val="00A509C9"/>
    <w:pPr>
      <w:ind w:left="547" w:hanging="547"/>
    </w:pPr>
  </w:style>
  <w:style w:type="paragraph" w:customStyle="1" w:styleId="1stindent">
    <w:name w:val="1st indent"/>
    <w:basedOn w:val="12spaceindent"/>
    <w:rsid w:val="004F426E"/>
    <w:pPr>
      <w:spacing w:line="240" w:lineRule="exact"/>
      <w:ind w:left="360" w:firstLine="0"/>
    </w:pPr>
  </w:style>
  <w:style w:type="paragraph" w:customStyle="1" w:styleId="2ndindent">
    <w:name w:val="2nd indent"/>
    <w:basedOn w:val="1stindent"/>
    <w:rsid w:val="004F426E"/>
    <w:pPr>
      <w:ind w:left="720"/>
    </w:pPr>
  </w:style>
  <w:style w:type="paragraph" w:customStyle="1" w:styleId="3rdindent">
    <w:name w:val="3rd indent"/>
    <w:basedOn w:val="2ndindent"/>
    <w:rsid w:val="004F426E"/>
    <w:pPr>
      <w:ind w:left="1080"/>
    </w:pPr>
  </w:style>
  <w:style w:type="paragraph" w:styleId="TOC1">
    <w:name w:val="toc 1"/>
    <w:basedOn w:val="Normal"/>
    <w:uiPriority w:val="39"/>
    <w:rsid w:val="004F7A7C"/>
    <w:pPr>
      <w:tabs>
        <w:tab w:val="right" w:leader="dot" w:pos="8640"/>
      </w:tabs>
      <w:suppressAutoHyphens/>
      <w:spacing w:before="120"/>
      <w:ind w:left="1440" w:right="720" w:hanging="1440"/>
    </w:pPr>
    <w:rPr>
      <w:rFonts w:ascii="Arial" w:hAnsi="Arial"/>
      <w:b/>
      <w:noProof/>
      <w:sz w:val="21"/>
    </w:rPr>
  </w:style>
  <w:style w:type="paragraph" w:styleId="TOC2">
    <w:name w:val="toc 2"/>
    <w:basedOn w:val="TOC1"/>
    <w:uiPriority w:val="39"/>
    <w:rsid w:val="004F7A7C"/>
    <w:pPr>
      <w:spacing w:before="0"/>
      <w:ind w:left="2088" w:hanging="648"/>
    </w:pPr>
    <w:rPr>
      <w:b w:val="0"/>
    </w:rPr>
  </w:style>
  <w:style w:type="paragraph" w:styleId="TOC3">
    <w:name w:val="toc 3"/>
    <w:basedOn w:val="TOC2"/>
    <w:uiPriority w:val="39"/>
    <w:rsid w:val="004F7A7C"/>
  </w:style>
  <w:style w:type="paragraph" w:styleId="TOC4">
    <w:name w:val="toc 4"/>
    <w:basedOn w:val="TOC3"/>
    <w:uiPriority w:val="39"/>
    <w:unhideWhenUsed/>
    <w:rsid w:val="004F426E"/>
    <w:pPr>
      <w:ind w:left="2520" w:hanging="803"/>
    </w:pPr>
  </w:style>
  <w:style w:type="paragraph" w:styleId="TOC5">
    <w:name w:val="toc 5"/>
    <w:basedOn w:val="TOC4"/>
    <w:uiPriority w:val="39"/>
    <w:semiHidden/>
    <w:rsid w:val="004F426E"/>
    <w:pPr>
      <w:ind w:left="3514" w:hanging="994"/>
    </w:pPr>
  </w:style>
  <w:style w:type="paragraph" w:styleId="TOC6">
    <w:name w:val="toc 6"/>
    <w:basedOn w:val="TOC5"/>
    <w:next w:val="Normal"/>
    <w:uiPriority w:val="39"/>
    <w:semiHidden/>
    <w:rsid w:val="004F426E"/>
    <w:pPr>
      <w:ind w:left="3787"/>
    </w:pPr>
  </w:style>
  <w:style w:type="paragraph" w:styleId="TOC7">
    <w:name w:val="toc 7"/>
    <w:basedOn w:val="TOC6"/>
    <w:next w:val="Normal"/>
    <w:uiPriority w:val="39"/>
    <w:semiHidden/>
    <w:rsid w:val="004F426E"/>
    <w:pPr>
      <w:ind w:left="4507"/>
    </w:pPr>
  </w:style>
  <w:style w:type="paragraph" w:styleId="TOC8">
    <w:name w:val="toc 8"/>
    <w:basedOn w:val="TOC7"/>
    <w:next w:val="Normal"/>
    <w:uiPriority w:val="39"/>
    <w:semiHidden/>
    <w:rsid w:val="004F426E"/>
    <w:pPr>
      <w:ind w:left="5227"/>
    </w:pPr>
  </w:style>
  <w:style w:type="paragraph" w:styleId="TOC9">
    <w:name w:val="toc 9"/>
    <w:basedOn w:val="TOC8"/>
    <w:next w:val="Normal"/>
    <w:uiPriority w:val="39"/>
    <w:semiHidden/>
    <w:rsid w:val="004F426E"/>
    <w:pPr>
      <w:ind w:left="5947"/>
    </w:pPr>
  </w:style>
  <w:style w:type="paragraph" w:styleId="ListBullet">
    <w:name w:val="List Bullet"/>
    <w:basedOn w:val="Normal"/>
    <w:uiPriority w:val="99"/>
    <w:qFormat/>
    <w:rsid w:val="004F426E"/>
    <w:pPr>
      <w:numPr>
        <w:numId w:val="6"/>
      </w:numPr>
      <w:suppressAutoHyphens/>
      <w:spacing w:after="240"/>
      <w:jc w:val="both"/>
    </w:pPr>
  </w:style>
  <w:style w:type="paragraph" w:styleId="ListBullet2">
    <w:name w:val="List Bullet 2"/>
    <w:basedOn w:val="ListBullet"/>
    <w:uiPriority w:val="99"/>
    <w:qFormat/>
    <w:rsid w:val="004F426E"/>
    <w:pPr>
      <w:numPr>
        <w:ilvl w:val="1"/>
      </w:numPr>
    </w:pPr>
  </w:style>
  <w:style w:type="paragraph" w:styleId="ListBullet3">
    <w:name w:val="List Bullet 3"/>
    <w:basedOn w:val="ListBullet2"/>
    <w:uiPriority w:val="99"/>
    <w:qFormat/>
    <w:rsid w:val="004F426E"/>
    <w:pPr>
      <w:numPr>
        <w:ilvl w:val="2"/>
      </w:numPr>
    </w:pPr>
  </w:style>
  <w:style w:type="paragraph" w:styleId="ListBullet4">
    <w:name w:val="List Bullet 4"/>
    <w:basedOn w:val="ListBullet3"/>
    <w:uiPriority w:val="99"/>
    <w:rsid w:val="004F426E"/>
    <w:pPr>
      <w:numPr>
        <w:ilvl w:val="3"/>
      </w:numPr>
    </w:pPr>
  </w:style>
  <w:style w:type="paragraph" w:styleId="ListBullet5">
    <w:name w:val="List Bullet 5"/>
    <w:basedOn w:val="ListBullet4"/>
    <w:uiPriority w:val="99"/>
    <w:rsid w:val="004F426E"/>
    <w:pPr>
      <w:numPr>
        <w:ilvl w:val="4"/>
      </w:numPr>
    </w:pPr>
  </w:style>
  <w:style w:type="paragraph" w:styleId="Bibliography">
    <w:name w:val="Bibliography"/>
    <w:basedOn w:val="Normal"/>
    <w:uiPriority w:val="37"/>
    <w:qFormat/>
    <w:rsid w:val="004F426E"/>
    <w:pPr>
      <w:spacing w:after="240"/>
      <w:ind w:left="547" w:hanging="547"/>
      <w:jc w:val="both"/>
    </w:pPr>
  </w:style>
  <w:style w:type="paragraph" w:styleId="BlockText">
    <w:name w:val="Block Text"/>
    <w:basedOn w:val="1stindent"/>
    <w:uiPriority w:val="99"/>
    <w:semiHidden/>
    <w:rsid w:val="004F426E"/>
    <w:pPr>
      <w:spacing w:line="240" w:lineRule="auto"/>
      <w:ind w:left="893" w:right="1440"/>
    </w:pPr>
    <w:rPr>
      <w:rFonts w:eastAsiaTheme="minorEastAsia"/>
      <w:i/>
      <w:iCs/>
    </w:rPr>
  </w:style>
  <w:style w:type="paragraph" w:styleId="BodyText2">
    <w:name w:val="Body Text 2"/>
    <w:basedOn w:val="BodyText"/>
    <w:link w:val="BodyText2Char"/>
    <w:uiPriority w:val="99"/>
    <w:semiHidden/>
    <w:rsid w:val="004F426E"/>
    <w:pPr>
      <w:spacing w:after="120" w:line="240" w:lineRule="auto"/>
    </w:pPr>
  </w:style>
  <w:style w:type="character" w:customStyle="1" w:styleId="BodyText2Char">
    <w:name w:val="Body Text 2 Char"/>
    <w:basedOn w:val="DefaultParagraphFont"/>
    <w:link w:val="BodyText2"/>
    <w:uiPriority w:val="99"/>
    <w:semiHidden/>
    <w:rsid w:val="004F426E"/>
    <w:rPr>
      <w:rFonts w:ascii="Times New Roman" w:hAnsi="Times New Roman"/>
      <w:szCs w:val="20"/>
    </w:rPr>
  </w:style>
  <w:style w:type="paragraph" w:styleId="BodyText3">
    <w:name w:val="Body Text 3"/>
    <w:basedOn w:val="BodyText2"/>
    <w:link w:val="BodyText3Char"/>
    <w:uiPriority w:val="99"/>
    <w:semiHidden/>
    <w:rsid w:val="004F426E"/>
    <w:rPr>
      <w:szCs w:val="16"/>
    </w:rPr>
  </w:style>
  <w:style w:type="character" w:customStyle="1" w:styleId="BodyText3Char">
    <w:name w:val="Body Text 3 Char"/>
    <w:basedOn w:val="DefaultParagraphFont"/>
    <w:link w:val="BodyText3"/>
    <w:uiPriority w:val="99"/>
    <w:semiHidden/>
    <w:rsid w:val="004F426E"/>
    <w:rPr>
      <w:rFonts w:ascii="Times New Roman" w:hAnsi="Times New Roman"/>
      <w:szCs w:val="16"/>
    </w:rPr>
  </w:style>
  <w:style w:type="paragraph" w:styleId="BodyTextFirstIndent">
    <w:name w:val="Body Text First Indent"/>
    <w:basedOn w:val="1stindent"/>
    <w:link w:val="BodyTextFirstIndentChar"/>
    <w:uiPriority w:val="99"/>
    <w:semiHidden/>
    <w:rsid w:val="004F426E"/>
  </w:style>
  <w:style w:type="character" w:customStyle="1" w:styleId="BodyTextFirstIndentChar">
    <w:name w:val="Body Text First Indent Char"/>
    <w:basedOn w:val="BodyTextChar"/>
    <w:link w:val="BodyTextFirstIndent"/>
    <w:uiPriority w:val="99"/>
    <w:semiHidden/>
    <w:rsid w:val="004F426E"/>
    <w:rPr>
      <w:rFonts w:ascii="Times New Roman" w:hAnsi="Times New Roman"/>
      <w:szCs w:val="20"/>
    </w:rPr>
  </w:style>
  <w:style w:type="paragraph" w:styleId="BodyTextIndent">
    <w:name w:val="Body Text Indent"/>
    <w:basedOn w:val="BodyTextFirstIndent"/>
    <w:link w:val="BodyTextIndentChar"/>
    <w:uiPriority w:val="99"/>
    <w:semiHidden/>
    <w:rsid w:val="004F426E"/>
  </w:style>
  <w:style w:type="character" w:customStyle="1" w:styleId="BodyTextIndentChar">
    <w:name w:val="Body Text Indent Char"/>
    <w:basedOn w:val="DefaultParagraphFont"/>
    <w:link w:val="BodyTextIndent"/>
    <w:uiPriority w:val="99"/>
    <w:semiHidden/>
    <w:rsid w:val="004F426E"/>
    <w:rPr>
      <w:rFonts w:ascii="Times New Roman" w:hAnsi="Times New Roman"/>
      <w:szCs w:val="20"/>
    </w:rPr>
  </w:style>
  <w:style w:type="paragraph" w:styleId="BodyTextFirstIndent2">
    <w:name w:val="Body Text First Indent 2"/>
    <w:basedOn w:val="2ndindent"/>
    <w:link w:val="BodyTextFirstIndent2Char"/>
    <w:uiPriority w:val="99"/>
    <w:semiHidden/>
    <w:rsid w:val="004F426E"/>
  </w:style>
  <w:style w:type="character" w:customStyle="1" w:styleId="BodyTextFirstIndent2Char">
    <w:name w:val="Body Text First Indent 2 Char"/>
    <w:basedOn w:val="BodyTextIndentChar"/>
    <w:link w:val="BodyTextFirstIndent2"/>
    <w:uiPriority w:val="99"/>
    <w:semiHidden/>
    <w:rsid w:val="004F426E"/>
    <w:rPr>
      <w:rFonts w:ascii="Times New Roman" w:hAnsi="Times New Roman"/>
      <w:szCs w:val="20"/>
    </w:rPr>
  </w:style>
  <w:style w:type="paragraph" w:styleId="BodyTextIndent2">
    <w:name w:val="Body Text Indent 2"/>
    <w:basedOn w:val="BodyTextFirstIndent2"/>
    <w:link w:val="BodyTextIndent2Char"/>
    <w:uiPriority w:val="99"/>
    <w:semiHidden/>
    <w:rsid w:val="004F426E"/>
  </w:style>
  <w:style w:type="character" w:customStyle="1" w:styleId="BodyTextIndent2Char">
    <w:name w:val="Body Text Indent 2 Char"/>
    <w:basedOn w:val="DefaultParagraphFont"/>
    <w:link w:val="BodyTextIndent2"/>
    <w:uiPriority w:val="99"/>
    <w:semiHidden/>
    <w:rsid w:val="004F426E"/>
    <w:rPr>
      <w:rFonts w:ascii="Times New Roman" w:hAnsi="Times New Roman"/>
      <w:szCs w:val="20"/>
    </w:rPr>
  </w:style>
  <w:style w:type="paragraph" w:styleId="BodyTextIndent3">
    <w:name w:val="Body Text Indent 3"/>
    <w:basedOn w:val="3rdindent"/>
    <w:link w:val="BodyTextIndent3Char"/>
    <w:uiPriority w:val="99"/>
    <w:semiHidden/>
    <w:rsid w:val="004F426E"/>
  </w:style>
  <w:style w:type="character" w:customStyle="1" w:styleId="BodyTextIndent3Char">
    <w:name w:val="Body Text Indent 3 Char"/>
    <w:basedOn w:val="DefaultParagraphFont"/>
    <w:link w:val="BodyTextIndent3"/>
    <w:uiPriority w:val="99"/>
    <w:semiHidden/>
    <w:rsid w:val="004F426E"/>
    <w:rPr>
      <w:rFonts w:ascii="Times New Roman" w:hAnsi="Times New Roman"/>
      <w:szCs w:val="20"/>
    </w:rPr>
  </w:style>
  <w:style w:type="character" w:styleId="Emphasis">
    <w:name w:val="Emphasis"/>
    <w:basedOn w:val="DefaultParagraphFont"/>
    <w:uiPriority w:val="20"/>
    <w:qFormat/>
    <w:rsid w:val="004F426E"/>
    <w:rPr>
      <w:i/>
      <w:iCs/>
    </w:rPr>
  </w:style>
  <w:style w:type="paragraph" w:customStyle="1" w:styleId="TOCAppendix">
    <w:name w:val="TOC Appendix"/>
    <w:basedOn w:val="Normal"/>
    <w:qFormat/>
    <w:rsid w:val="0031316C"/>
    <w:pPr>
      <w:spacing w:after="240"/>
      <w:ind w:left="1440" w:hanging="1440"/>
      <w:contextualSpacing/>
    </w:pPr>
    <w:rPr>
      <w:rFonts w:ascii="Arial" w:hAnsi="Arial" w:cs="Arial"/>
      <w:sz w:val="21"/>
      <w:szCs w:val="21"/>
    </w:rPr>
  </w:style>
  <w:style w:type="paragraph" w:styleId="Footer">
    <w:name w:val="footer"/>
    <w:basedOn w:val="Normal"/>
    <w:link w:val="FooterChar"/>
    <w:rsid w:val="004F426E"/>
    <w:pPr>
      <w:pBdr>
        <w:top w:val="single" w:sz="2" w:space="1" w:color="auto"/>
      </w:pBdr>
      <w:spacing w:line="168" w:lineRule="exact"/>
    </w:pPr>
    <w:rPr>
      <w:rFonts w:ascii="Arial" w:hAnsi="Arial"/>
      <w:sz w:val="12"/>
    </w:rPr>
  </w:style>
  <w:style w:type="character" w:customStyle="1" w:styleId="FooterChar">
    <w:name w:val="Footer Char"/>
    <w:basedOn w:val="DefaultParagraphFont"/>
    <w:link w:val="Footer"/>
    <w:rsid w:val="004F426E"/>
    <w:rPr>
      <w:rFonts w:ascii="Arial" w:hAnsi="Arial"/>
      <w:sz w:val="12"/>
      <w:szCs w:val="20"/>
    </w:rPr>
  </w:style>
  <w:style w:type="character" w:styleId="PageNumber">
    <w:name w:val="page number"/>
    <w:basedOn w:val="DefaultParagraphFont"/>
    <w:uiPriority w:val="99"/>
    <w:rsid w:val="004F426E"/>
    <w:rPr>
      <w:rFonts w:ascii="Arial" w:hAnsi="Arial"/>
      <w:sz w:val="18"/>
    </w:rPr>
  </w:style>
  <w:style w:type="character" w:styleId="FollowedHyperlink">
    <w:name w:val="FollowedHyperlink"/>
    <w:basedOn w:val="DefaultParagraphFont"/>
    <w:uiPriority w:val="99"/>
    <w:semiHidden/>
    <w:rsid w:val="004F426E"/>
    <w:rPr>
      <w:color w:val="auto"/>
      <w:u w:val="none"/>
    </w:rPr>
  </w:style>
  <w:style w:type="paragraph" w:styleId="FootnoteText">
    <w:name w:val="footnote text"/>
    <w:aliases w:val="Char,Footnote Text Char Char,Footnote Text Char Char1 Char,Footnote Text Char2 Char Char Char,Footnote Text Char Char2 Char Char Char,Footnote Text Char1 Char Char Char Char Char1,-,Footnote Text (EIS),fnt,Char1, Char1,-1,fnt1,ft,Cha,Ch"/>
    <w:basedOn w:val="Normal"/>
    <w:link w:val="FootnoteTextChar"/>
    <w:uiPriority w:val="99"/>
    <w:qFormat/>
    <w:rsid w:val="004F426E"/>
    <w:pPr>
      <w:spacing w:after="40" w:line="200" w:lineRule="exact"/>
      <w:ind w:left="288" w:hanging="288"/>
      <w:jc w:val="both"/>
    </w:pPr>
    <w:rPr>
      <w:sz w:val="18"/>
    </w:rPr>
  </w:style>
  <w:style w:type="character" w:customStyle="1" w:styleId="FootnoteTextChar">
    <w:name w:val="Footnote Text Char"/>
    <w:aliases w:val="Char Char,Footnote Text Char Char Char,Footnote Text Char Char1 Char Char,Footnote Text Char2 Char Char Char Char,Footnote Text Char Char2 Char Char Char Char,Footnote Text Char1 Char Char Char Char Char1 Char,- Char,fnt Char,-1 Char"/>
    <w:basedOn w:val="DefaultParagraphFont"/>
    <w:link w:val="FootnoteText"/>
    <w:uiPriority w:val="99"/>
    <w:rsid w:val="004F426E"/>
    <w:rPr>
      <w:rFonts w:ascii="Times New Roman" w:hAnsi="Times New Roman"/>
      <w:sz w:val="18"/>
      <w:szCs w:val="20"/>
    </w:rPr>
  </w:style>
  <w:style w:type="character" w:styleId="FootnoteReference">
    <w:name w:val="footnote reference"/>
    <w:aliases w:val="R&amp;A Footnote Reference,~L Footnote,fr,Style 30,R&amp;A,Char1 Char Char Char Char Char Char Char Char Char Char,Char1 Char Char Char,Footnote Number,Char1 Char Char Char Char Char Char, Char1 Char Char Char"/>
    <w:basedOn w:val="DefaultParagraphFont"/>
    <w:uiPriority w:val="99"/>
    <w:qFormat/>
    <w:rsid w:val="004F426E"/>
    <w:rPr>
      <w:position w:val="6"/>
      <w:sz w:val="16"/>
      <w:vertAlign w:val="baseline"/>
    </w:rPr>
  </w:style>
  <w:style w:type="character" w:customStyle="1" w:styleId="Heading3Char">
    <w:name w:val="Heading 3 Char"/>
    <w:basedOn w:val="DefaultParagraphFont"/>
    <w:link w:val="Heading3"/>
    <w:uiPriority w:val="9"/>
    <w:rsid w:val="004F426E"/>
    <w:rPr>
      <w:rFonts w:ascii="Arial" w:eastAsiaTheme="majorEastAsia" w:hAnsi="Arial" w:cstheme="majorBidi"/>
      <w:b/>
      <w:bCs/>
      <w:sz w:val="33"/>
      <w:szCs w:val="20"/>
    </w:rPr>
  </w:style>
  <w:style w:type="character" w:customStyle="1" w:styleId="Heading4Char">
    <w:name w:val="Heading 4 Char"/>
    <w:basedOn w:val="DefaultParagraphFont"/>
    <w:link w:val="Heading4"/>
    <w:uiPriority w:val="9"/>
    <w:rsid w:val="008B0DDC"/>
    <w:rPr>
      <w:rFonts w:ascii="Arial" w:eastAsiaTheme="majorEastAsia" w:hAnsi="Arial" w:cstheme="majorBidi"/>
      <w:bCs/>
      <w:iCs/>
      <w:sz w:val="31"/>
      <w:szCs w:val="20"/>
    </w:rPr>
  </w:style>
  <w:style w:type="character" w:customStyle="1" w:styleId="Heading5Char">
    <w:name w:val="Heading 5 Char"/>
    <w:basedOn w:val="DefaultParagraphFont"/>
    <w:link w:val="Heading5"/>
    <w:uiPriority w:val="9"/>
    <w:rsid w:val="004F426E"/>
    <w:rPr>
      <w:rFonts w:ascii="Arial" w:eastAsiaTheme="majorEastAsia" w:hAnsi="Arial" w:cstheme="majorBidi"/>
      <w:b/>
      <w:sz w:val="26"/>
      <w:szCs w:val="20"/>
    </w:rPr>
  </w:style>
  <w:style w:type="character" w:customStyle="1" w:styleId="Heading6Char">
    <w:name w:val="Heading 6 Char"/>
    <w:basedOn w:val="DefaultParagraphFont"/>
    <w:link w:val="Heading6"/>
    <w:uiPriority w:val="9"/>
    <w:rsid w:val="004F426E"/>
    <w:rPr>
      <w:rFonts w:ascii="Arial" w:eastAsiaTheme="majorEastAsia" w:hAnsi="Arial" w:cstheme="majorBidi"/>
      <w:b/>
      <w:i/>
      <w:iCs/>
      <w:sz w:val="23"/>
      <w:szCs w:val="20"/>
    </w:rPr>
  </w:style>
  <w:style w:type="character" w:customStyle="1" w:styleId="Heading7Char">
    <w:name w:val="Heading 7 Char"/>
    <w:basedOn w:val="DefaultParagraphFont"/>
    <w:link w:val="Heading7"/>
    <w:uiPriority w:val="9"/>
    <w:rsid w:val="004F426E"/>
    <w:rPr>
      <w:rFonts w:ascii="Arial" w:eastAsiaTheme="majorEastAsia" w:hAnsi="Arial" w:cstheme="majorBidi"/>
      <w:b/>
      <w:iCs/>
      <w:sz w:val="21"/>
      <w:szCs w:val="20"/>
    </w:rPr>
  </w:style>
  <w:style w:type="character" w:customStyle="1" w:styleId="Heading8Char">
    <w:name w:val="Heading 8 Char"/>
    <w:basedOn w:val="DefaultParagraphFont"/>
    <w:link w:val="Heading8"/>
    <w:uiPriority w:val="9"/>
    <w:rsid w:val="004F426E"/>
    <w:rPr>
      <w:rFonts w:ascii="Arial" w:hAnsi="Arial"/>
      <w:sz w:val="21"/>
      <w:szCs w:val="20"/>
    </w:rPr>
  </w:style>
  <w:style w:type="character" w:customStyle="1" w:styleId="Heading9Char">
    <w:name w:val="Heading 9 Char"/>
    <w:basedOn w:val="DefaultParagraphFont"/>
    <w:link w:val="Heading9"/>
    <w:uiPriority w:val="9"/>
    <w:rsid w:val="004F426E"/>
    <w:rPr>
      <w:rFonts w:ascii="Arial" w:hAnsi="Arial"/>
      <w:i/>
      <w:sz w:val="20"/>
      <w:szCs w:val="20"/>
    </w:rPr>
  </w:style>
  <w:style w:type="paragraph" w:styleId="Index1">
    <w:name w:val="index 1"/>
    <w:basedOn w:val="Normal"/>
    <w:uiPriority w:val="99"/>
    <w:semiHidden/>
    <w:rsid w:val="004F426E"/>
    <w:pPr>
      <w:suppressAutoHyphens/>
      <w:spacing w:after="240"/>
      <w:ind w:left="547" w:hanging="547"/>
    </w:pPr>
  </w:style>
  <w:style w:type="paragraph" w:styleId="Index2">
    <w:name w:val="index 2"/>
    <w:basedOn w:val="Index1"/>
    <w:uiPriority w:val="99"/>
    <w:semiHidden/>
    <w:rsid w:val="004F426E"/>
    <w:pPr>
      <w:ind w:left="1080"/>
    </w:pPr>
  </w:style>
  <w:style w:type="paragraph" w:styleId="Index3">
    <w:name w:val="index 3"/>
    <w:basedOn w:val="Index2"/>
    <w:uiPriority w:val="99"/>
    <w:semiHidden/>
    <w:rsid w:val="004F426E"/>
    <w:pPr>
      <w:ind w:left="1627"/>
    </w:pPr>
  </w:style>
  <w:style w:type="paragraph" w:styleId="Index4">
    <w:name w:val="index 4"/>
    <w:basedOn w:val="Index3"/>
    <w:uiPriority w:val="99"/>
    <w:semiHidden/>
    <w:rsid w:val="004F426E"/>
    <w:pPr>
      <w:ind w:left="2174"/>
    </w:pPr>
  </w:style>
  <w:style w:type="paragraph" w:styleId="Index5">
    <w:name w:val="index 5"/>
    <w:basedOn w:val="Index4"/>
    <w:uiPriority w:val="99"/>
    <w:semiHidden/>
    <w:rsid w:val="004F426E"/>
    <w:pPr>
      <w:ind w:left="2721"/>
    </w:pPr>
  </w:style>
  <w:style w:type="paragraph" w:styleId="Index6">
    <w:name w:val="index 6"/>
    <w:basedOn w:val="Index5"/>
    <w:uiPriority w:val="99"/>
    <w:semiHidden/>
    <w:rsid w:val="004F426E"/>
    <w:pPr>
      <w:ind w:left="3269"/>
    </w:pPr>
  </w:style>
  <w:style w:type="paragraph" w:styleId="Index7">
    <w:name w:val="index 7"/>
    <w:basedOn w:val="Index6"/>
    <w:uiPriority w:val="99"/>
    <w:semiHidden/>
    <w:rsid w:val="004F426E"/>
    <w:pPr>
      <w:ind w:left="3816"/>
    </w:pPr>
  </w:style>
  <w:style w:type="paragraph" w:styleId="Index8">
    <w:name w:val="index 8"/>
    <w:basedOn w:val="Index7"/>
    <w:uiPriority w:val="99"/>
    <w:semiHidden/>
    <w:rsid w:val="004F426E"/>
    <w:pPr>
      <w:ind w:left="4363"/>
    </w:pPr>
  </w:style>
  <w:style w:type="paragraph" w:styleId="Index9">
    <w:name w:val="index 9"/>
    <w:basedOn w:val="Index8"/>
    <w:uiPriority w:val="99"/>
    <w:semiHidden/>
    <w:rsid w:val="004F426E"/>
    <w:pPr>
      <w:ind w:left="4910"/>
    </w:pPr>
  </w:style>
  <w:style w:type="paragraph" w:styleId="Header">
    <w:name w:val="header"/>
    <w:basedOn w:val="Normal"/>
    <w:link w:val="HeaderChar"/>
    <w:rsid w:val="004F426E"/>
    <w:pPr>
      <w:pBdr>
        <w:bottom w:val="single" w:sz="2" w:space="1" w:color="auto"/>
      </w:pBdr>
    </w:pPr>
    <w:rPr>
      <w:rFonts w:ascii="Arial" w:hAnsi="Arial"/>
      <w:sz w:val="14"/>
    </w:rPr>
  </w:style>
  <w:style w:type="character" w:customStyle="1" w:styleId="HeaderChar">
    <w:name w:val="Header Char"/>
    <w:basedOn w:val="DefaultParagraphFont"/>
    <w:link w:val="Header"/>
    <w:rsid w:val="004F426E"/>
    <w:rPr>
      <w:rFonts w:ascii="Arial" w:hAnsi="Arial"/>
      <w:sz w:val="14"/>
      <w:szCs w:val="20"/>
    </w:rPr>
  </w:style>
  <w:style w:type="paragraph" w:customStyle="1" w:styleId="Header2ndline">
    <w:name w:val="Header 2nd line"/>
    <w:basedOn w:val="Header"/>
    <w:rsid w:val="004F426E"/>
    <w:pPr>
      <w:pBdr>
        <w:bottom w:val="none" w:sz="0" w:space="0" w:color="auto"/>
      </w:pBdr>
    </w:pPr>
  </w:style>
  <w:style w:type="paragraph" w:customStyle="1" w:styleId="Footernotice">
    <w:name w:val="Footer notice"/>
    <w:basedOn w:val="Footer"/>
    <w:rsid w:val="004F426E"/>
    <w:pPr>
      <w:pBdr>
        <w:top w:val="none" w:sz="0" w:space="0" w:color="auto"/>
      </w:pBdr>
      <w:jc w:val="center"/>
    </w:pPr>
    <w:rPr>
      <w:b/>
      <w:i/>
    </w:rPr>
  </w:style>
  <w:style w:type="character" w:styleId="Hyperlink">
    <w:name w:val="Hyperlink"/>
    <w:basedOn w:val="DefaultParagraphFont"/>
    <w:uiPriority w:val="99"/>
    <w:rsid w:val="004F426E"/>
    <w:rPr>
      <w:color w:val="auto"/>
      <w:u w:val="none"/>
    </w:rPr>
  </w:style>
  <w:style w:type="character" w:styleId="IntenseEmphasis">
    <w:name w:val="Intense Emphasis"/>
    <w:basedOn w:val="DefaultParagraphFont"/>
    <w:uiPriority w:val="21"/>
    <w:semiHidden/>
    <w:rsid w:val="004F426E"/>
    <w:rPr>
      <w:b/>
      <w:bCs/>
      <w:i/>
      <w:iCs/>
      <w:color w:val="auto"/>
    </w:rPr>
  </w:style>
  <w:style w:type="paragraph" w:styleId="IntenseQuote">
    <w:name w:val="Intense Quote"/>
    <w:basedOn w:val="Normal"/>
    <w:next w:val="Normal"/>
    <w:link w:val="IntenseQuoteChar"/>
    <w:uiPriority w:val="30"/>
    <w:semiHidden/>
    <w:rsid w:val="004F426E"/>
    <w:pP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4F426E"/>
    <w:rPr>
      <w:rFonts w:ascii="Times New Roman" w:hAnsi="Times New Roman"/>
      <w:b/>
      <w:bCs/>
      <w:i/>
      <w:iCs/>
      <w:szCs w:val="20"/>
    </w:rPr>
  </w:style>
  <w:style w:type="character" w:styleId="IntenseReference">
    <w:name w:val="Intense Reference"/>
    <w:basedOn w:val="DefaultParagraphFont"/>
    <w:uiPriority w:val="32"/>
    <w:semiHidden/>
    <w:rsid w:val="004F426E"/>
    <w:rPr>
      <w:b/>
      <w:bCs/>
      <w:smallCaps/>
      <w:color w:val="auto"/>
      <w:spacing w:val="5"/>
      <w:u w:val="none"/>
    </w:rPr>
  </w:style>
  <w:style w:type="paragraph" w:styleId="ListNumber">
    <w:name w:val="List Number"/>
    <w:basedOn w:val="12space"/>
    <w:uiPriority w:val="99"/>
    <w:rsid w:val="004F426E"/>
    <w:pPr>
      <w:numPr>
        <w:numId w:val="3"/>
      </w:numPr>
      <w:spacing w:line="240" w:lineRule="auto"/>
    </w:pPr>
  </w:style>
  <w:style w:type="paragraph" w:styleId="ListNumber2">
    <w:name w:val="List Number 2"/>
    <w:basedOn w:val="ListNumber"/>
    <w:uiPriority w:val="99"/>
    <w:rsid w:val="004F426E"/>
    <w:pPr>
      <w:numPr>
        <w:ilvl w:val="1"/>
      </w:numPr>
    </w:pPr>
  </w:style>
  <w:style w:type="paragraph" w:styleId="ListNumber3">
    <w:name w:val="List Number 3"/>
    <w:basedOn w:val="ListNumber2"/>
    <w:uiPriority w:val="99"/>
    <w:rsid w:val="004F426E"/>
    <w:pPr>
      <w:numPr>
        <w:ilvl w:val="2"/>
      </w:numPr>
    </w:pPr>
  </w:style>
  <w:style w:type="paragraph" w:styleId="ListNumber4">
    <w:name w:val="List Number 4"/>
    <w:basedOn w:val="ListNumber3"/>
    <w:uiPriority w:val="99"/>
    <w:rsid w:val="004F426E"/>
    <w:pPr>
      <w:numPr>
        <w:ilvl w:val="3"/>
      </w:numPr>
    </w:pPr>
  </w:style>
  <w:style w:type="paragraph" w:styleId="ListNumber5">
    <w:name w:val="List Number 5"/>
    <w:basedOn w:val="ListNumber4"/>
    <w:uiPriority w:val="99"/>
    <w:rsid w:val="004F426E"/>
    <w:pPr>
      <w:numPr>
        <w:ilvl w:val="4"/>
      </w:numPr>
    </w:pPr>
  </w:style>
  <w:style w:type="paragraph" w:styleId="Quote">
    <w:name w:val="Quote"/>
    <w:basedOn w:val="BlockText"/>
    <w:next w:val="Normal"/>
    <w:link w:val="QuoteChar"/>
    <w:uiPriority w:val="29"/>
    <w:qFormat/>
    <w:rsid w:val="004F426E"/>
    <w:pPr>
      <w:ind w:left="720" w:right="720"/>
    </w:pPr>
  </w:style>
  <w:style w:type="character" w:customStyle="1" w:styleId="QuoteChar">
    <w:name w:val="Quote Char"/>
    <w:basedOn w:val="DefaultParagraphFont"/>
    <w:link w:val="Quote"/>
    <w:uiPriority w:val="29"/>
    <w:rsid w:val="004F426E"/>
    <w:rPr>
      <w:rFonts w:ascii="Times New Roman" w:eastAsiaTheme="minorEastAsia" w:hAnsi="Times New Roman"/>
      <w:i/>
      <w:iCs/>
      <w:szCs w:val="20"/>
    </w:rPr>
  </w:style>
  <w:style w:type="paragraph" w:customStyle="1" w:styleId="Impactstatement">
    <w:name w:val="Impact statement"/>
    <w:basedOn w:val="12space"/>
    <w:rsid w:val="004F426E"/>
    <w:pPr>
      <w:keepNext/>
      <w:keepLines/>
      <w:spacing w:before="120" w:line="240" w:lineRule="auto"/>
    </w:pPr>
    <w:rPr>
      <w:b/>
    </w:rPr>
  </w:style>
  <w:style w:type="paragraph" w:customStyle="1" w:styleId="Figure">
    <w:name w:val="Figure"/>
    <w:basedOn w:val="Normal"/>
    <w:qFormat/>
    <w:rsid w:val="004F426E"/>
    <w:pPr>
      <w:spacing w:after="240"/>
      <w:jc w:val="center"/>
    </w:pPr>
    <w:rPr>
      <w:rFonts w:ascii="Arial" w:eastAsia="Times New Roman" w:hAnsi="Arial" w:cs="Times New Roman"/>
      <w:b/>
    </w:rPr>
  </w:style>
  <w:style w:type="paragraph" w:customStyle="1" w:styleId="Mitigation">
    <w:name w:val="Mitigation"/>
    <w:basedOn w:val="Normal"/>
    <w:link w:val="MitigationChar"/>
    <w:rsid w:val="00A52381"/>
    <w:pPr>
      <w:spacing w:after="240"/>
      <w:ind w:left="720"/>
      <w:jc w:val="both"/>
    </w:pPr>
  </w:style>
  <w:style w:type="paragraph" w:customStyle="1" w:styleId="Tablecolumnheading">
    <w:name w:val="Table column heading"/>
    <w:basedOn w:val="Normal"/>
    <w:link w:val="TablecolumnheadingChar"/>
    <w:rsid w:val="00627E76"/>
    <w:pPr>
      <w:keepNext/>
      <w:keepLines/>
      <w:spacing w:before="60" w:after="60" w:line="190" w:lineRule="exact"/>
    </w:pPr>
    <w:rPr>
      <w:rFonts w:ascii="Arial" w:eastAsia="Times New Roman" w:hAnsi="Arial" w:cs="Times New Roman"/>
      <w:b/>
      <w:sz w:val="16"/>
    </w:rPr>
  </w:style>
  <w:style w:type="paragraph" w:customStyle="1" w:styleId="BlankPage">
    <w:name w:val="Blank Page"/>
    <w:basedOn w:val="Normal"/>
    <w:qFormat/>
    <w:rsid w:val="003953EA"/>
    <w:pPr>
      <w:pageBreakBefore/>
      <w:framePr w:wrap="around" w:hAnchor="margin" w:xAlign="center" w:yAlign="center"/>
      <w:jc w:val="center"/>
    </w:pPr>
    <w:rPr>
      <w:rFonts w:eastAsia="Calibri" w:cs="Times New Roman"/>
      <w:caps/>
    </w:rPr>
  </w:style>
  <w:style w:type="character" w:customStyle="1" w:styleId="BoldAllCaps">
    <w:name w:val="BoldAllCaps"/>
    <w:basedOn w:val="DefaultParagraphFont"/>
    <w:uiPriority w:val="1"/>
    <w:qFormat/>
    <w:rsid w:val="003953EA"/>
    <w:rPr>
      <w:b/>
      <w:caps/>
    </w:rPr>
  </w:style>
  <w:style w:type="paragraph" w:customStyle="1" w:styleId="Tablefootnotesourceline">
    <w:name w:val="Table footnote source line"/>
    <w:basedOn w:val="Tabletext"/>
    <w:next w:val="TableSource"/>
    <w:semiHidden/>
    <w:rsid w:val="004F426E"/>
    <w:pPr>
      <w:pBdr>
        <w:bottom w:val="single" w:sz="2" w:space="1" w:color="auto"/>
      </w:pBdr>
      <w:ind w:right="6480"/>
    </w:pPr>
    <w:rPr>
      <w:sz w:val="14"/>
      <w:szCs w:val="14"/>
    </w:rPr>
  </w:style>
  <w:style w:type="paragraph" w:customStyle="1" w:styleId="Tablefootnotetext">
    <w:name w:val="Table footnote text"/>
    <w:basedOn w:val="Normal"/>
    <w:link w:val="TablefootnotetextChar"/>
    <w:rsid w:val="00DD5380"/>
    <w:pPr>
      <w:ind w:left="187" w:hanging="187"/>
    </w:pPr>
    <w:rPr>
      <w:rFonts w:ascii="Arial" w:eastAsia="Times New Roman" w:hAnsi="Arial" w:cs="Times New Roman"/>
      <w:sz w:val="14"/>
    </w:rPr>
  </w:style>
  <w:style w:type="paragraph" w:customStyle="1" w:styleId="TableNoTitle">
    <w:name w:val="Table No./Title"/>
    <w:basedOn w:val="Normal"/>
    <w:link w:val="TableNoTitleChar"/>
    <w:qFormat/>
    <w:rsid w:val="004E2B77"/>
    <w:pPr>
      <w:keepNext/>
      <w:spacing w:after="120"/>
      <w:ind w:left="-72" w:firstLine="72"/>
      <w:jc w:val="center"/>
    </w:pPr>
    <w:rPr>
      <w:rFonts w:ascii="Arial" w:eastAsia="Times New Roman" w:hAnsi="Arial" w:cs="Times New Roman"/>
      <w:b/>
      <w:smallCaps/>
      <w:sz w:val="19"/>
      <w:szCs w:val="18"/>
    </w:rPr>
  </w:style>
  <w:style w:type="paragraph" w:customStyle="1" w:styleId="Tabletext">
    <w:name w:val="Table text"/>
    <w:basedOn w:val="Normal"/>
    <w:link w:val="TabletextChar"/>
    <w:qFormat/>
    <w:rsid w:val="009E6D97"/>
    <w:pPr>
      <w:spacing w:before="60" w:after="60" w:line="190" w:lineRule="exact"/>
    </w:pPr>
    <w:rPr>
      <w:rFonts w:ascii="Arial" w:eastAsia="Times New Roman" w:hAnsi="Arial" w:cs="Times New Roman"/>
      <w:sz w:val="16"/>
    </w:rPr>
  </w:style>
  <w:style w:type="paragraph" w:customStyle="1" w:styleId="TableSource">
    <w:name w:val="Table Source"/>
    <w:basedOn w:val="Normal"/>
    <w:link w:val="TableSourceChar"/>
    <w:qFormat/>
    <w:rsid w:val="00DD5380"/>
    <w:rPr>
      <w:rFonts w:ascii="Arial" w:eastAsia="Times New Roman" w:hAnsi="Arial" w:cs="Times New Roman"/>
      <w:sz w:val="14"/>
      <w:szCs w:val="14"/>
    </w:rPr>
  </w:style>
  <w:style w:type="paragraph" w:customStyle="1" w:styleId="Tablerowheading">
    <w:name w:val="Table row heading"/>
    <w:basedOn w:val="Normal"/>
    <w:rsid w:val="004F426E"/>
    <w:pPr>
      <w:keepNext/>
      <w:spacing w:before="60" w:after="60"/>
    </w:pPr>
    <w:rPr>
      <w:rFonts w:ascii="Arial Narrow" w:eastAsia="Times New Roman" w:hAnsi="Arial Narrow" w:cs="Times New Roman"/>
      <w:b/>
      <w:sz w:val="18"/>
      <w:szCs w:val="18"/>
    </w:rPr>
  </w:style>
  <w:style w:type="table" w:customStyle="1" w:styleId="Tablecolumnheadingborders">
    <w:name w:val="Table column heading borders"/>
    <w:basedOn w:val="TableNormal"/>
    <w:rsid w:val="004F426E"/>
    <w:pPr>
      <w:spacing w:after="0" w:line="240" w:lineRule="auto"/>
    </w:pPr>
    <w:rPr>
      <w:rFonts w:ascii="Arial" w:eastAsia="Times New Roman" w:hAnsi="Arial" w:cs="Times New Roman"/>
      <w:b/>
      <w:sz w:val="16"/>
      <w:szCs w:val="16"/>
    </w:rPr>
    <w:tblPr>
      <w:tblBorders>
        <w:top w:val="single" w:sz="2" w:space="0" w:color="auto"/>
        <w:insideH w:val="single" w:sz="12" w:space="0" w:color="auto"/>
      </w:tblBorders>
    </w:tblPr>
  </w:style>
  <w:style w:type="table" w:styleId="TableGrid">
    <w:name w:val="Table Grid"/>
    <w:basedOn w:val="TableNormal"/>
    <w:uiPriority w:val="39"/>
    <w:rsid w:val="004F426E"/>
    <w:pPr>
      <w:spacing w:after="0" w:line="240" w:lineRule="auto"/>
    </w:pPr>
    <w:rPr>
      <w:rFonts w:ascii="Tms Rmn" w:eastAsia="Times New Roma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umnHeading">
    <w:name w:val="Column Heading"/>
    <w:basedOn w:val="Normal"/>
    <w:semiHidden/>
    <w:rsid w:val="004F426E"/>
    <w:rPr>
      <w:rFonts w:eastAsia="Times New Roman" w:cs="Times New Roman"/>
      <w:b/>
      <w:sz w:val="20"/>
    </w:rPr>
  </w:style>
  <w:style w:type="paragraph" w:styleId="TableofFigures">
    <w:name w:val="table of figures"/>
    <w:basedOn w:val="Normal"/>
    <w:uiPriority w:val="99"/>
    <w:rsid w:val="008D23F1"/>
    <w:pPr>
      <w:tabs>
        <w:tab w:val="right" w:leader="dot" w:pos="8640"/>
      </w:tabs>
      <w:ind w:left="1440" w:right="720" w:hanging="1440"/>
    </w:pPr>
    <w:rPr>
      <w:rFonts w:ascii="Arial" w:hAnsi="Arial"/>
      <w:noProof/>
      <w:sz w:val="21"/>
    </w:rPr>
  </w:style>
  <w:style w:type="paragraph" w:styleId="TOCHeading">
    <w:name w:val="TOC Heading"/>
    <w:basedOn w:val="Heading1"/>
    <w:next w:val="Normal"/>
    <w:uiPriority w:val="39"/>
    <w:semiHidden/>
    <w:qFormat/>
    <w:rsid w:val="004F426E"/>
    <w:pPr>
      <w:pBdr>
        <w:bottom w:val="none" w:sz="0" w:space="0" w:color="auto"/>
      </w:pBdr>
      <w:spacing w:before="480"/>
      <w:outlineLvl w:val="9"/>
    </w:pPr>
    <w:rPr>
      <w:rFonts w:asciiTheme="majorHAnsi" w:hAnsiTheme="majorHAnsi"/>
      <w:caps w:val="0"/>
      <w:sz w:val="28"/>
    </w:rPr>
  </w:style>
  <w:style w:type="paragraph" w:styleId="Caption">
    <w:name w:val="caption"/>
    <w:basedOn w:val="Normal"/>
    <w:next w:val="Normal"/>
    <w:uiPriority w:val="35"/>
    <w:semiHidden/>
    <w:qFormat/>
    <w:rsid w:val="004F426E"/>
    <w:pPr>
      <w:spacing w:after="200"/>
    </w:pPr>
    <w:rPr>
      <w:b/>
      <w:bCs/>
      <w:sz w:val="18"/>
      <w:szCs w:val="18"/>
    </w:rPr>
  </w:style>
  <w:style w:type="paragraph" w:styleId="Title">
    <w:name w:val="Title"/>
    <w:basedOn w:val="Heading3"/>
    <w:next w:val="12space"/>
    <w:link w:val="TitleChar"/>
    <w:uiPriority w:val="10"/>
    <w:semiHidden/>
    <w:qFormat/>
    <w:rsid w:val="004F426E"/>
    <w:pPr>
      <w:jc w:val="center"/>
    </w:pPr>
  </w:style>
  <w:style w:type="character" w:customStyle="1" w:styleId="TitleChar">
    <w:name w:val="Title Char"/>
    <w:basedOn w:val="DefaultParagraphFont"/>
    <w:link w:val="Title"/>
    <w:uiPriority w:val="10"/>
    <w:semiHidden/>
    <w:rsid w:val="004F426E"/>
    <w:rPr>
      <w:rFonts w:ascii="Arial" w:eastAsiaTheme="majorEastAsia" w:hAnsi="Arial" w:cstheme="majorBidi"/>
      <w:b/>
      <w:bCs/>
      <w:sz w:val="33"/>
      <w:szCs w:val="20"/>
    </w:rPr>
  </w:style>
  <w:style w:type="paragraph" w:styleId="List">
    <w:name w:val="List"/>
    <w:basedOn w:val="Normal"/>
    <w:uiPriority w:val="99"/>
    <w:semiHidden/>
    <w:rsid w:val="004F426E"/>
    <w:pPr>
      <w:suppressAutoHyphens/>
      <w:spacing w:after="240"/>
      <w:ind w:left="360" w:hanging="360"/>
      <w:jc w:val="both"/>
    </w:pPr>
  </w:style>
  <w:style w:type="paragraph" w:styleId="List2">
    <w:name w:val="List 2"/>
    <w:basedOn w:val="List"/>
    <w:uiPriority w:val="99"/>
    <w:semiHidden/>
    <w:rsid w:val="004F426E"/>
    <w:pPr>
      <w:ind w:left="720"/>
    </w:pPr>
  </w:style>
  <w:style w:type="paragraph" w:styleId="List3">
    <w:name w:val="List 3"/>
    <w:basedOn w:val="List2"/>
    <w:uiPriority w:val="99"/>
    <w:semiHidden/>
    <w:rsid w:val="004F426E"/>
    <w:pPr>
      <w:ind w:left="1080"/>
    </w:pPr>
  </w:style>
  <w:style w:type="paragraph" w:styleId="List4">
    <w:name w:val="List 4"/>
    <w:basedOn w:val="List3"/>
    <w:uiPriority w:val="99"/>
    <w:semiHidden/>
    <w:rsid w:val="004F426E"/>
    <w:pPr>
      <w:ind w:left="1440"/>
    </w:pPr>
  </w:style>
  <w:style w:type="paragraph" w:styleId="List5">
    <w:name w:val="List 5"/>
    <w:basedOn w:val="List4"/>
    <w:uiPriority w:val="99"/>
    <w:semiHidden/>
    <w:rsid w:val="004F426E"/>
    <w:pPr>
      <w:ind w:left="1800"/>
    </w:pPr>
  </w:style>
  <w:style w:type="character" w:styleId="CommentReference">
    <w:name w:val="annotation reference"/>
    <w:basedOn w:val="DefaultParagraphFont"/>
    <w:uiPriority w:val="99"/>
    <w:rsid w:val="004F426E"/>
    <w:rPr>
      <w:sz w:val="16"/>
      <w:szCs w:val="16"/>
    </w:rPr>
  </w:style>
  <w:style w:type="paragraph" w:styleId="CommentText">
    <w:name w:val="annotation text"/>
    <w:basedOn w:val="Normal"/>
    <w:link w:val="CommentTextChar"/>
    <w:uiPriority w:val="99"/>
    <w:rsid w:val="004F426E"/>
    <w:rPr>
      <w:sz w:val="20"/>
    </w:rPr>
  </w:style>
  <w:style w:type="character" w:customStyle="1" w:styleId="CommentTextChar">
    <w:name w:val="Comment Text Char"/>
    <w:basedOn w:val="DefaultParagraphFont"/>
    <w:link w:val="CommentText"/>
    <w:uiPriority w:val="99"/>
    <w:rsid w:val="004F426E"/>
    <w:rPr>
      <w:rFonts w:ascii="Times New Roman" w:hAnsi="Times New Roman"/>
      <w:sz w:val="20"/>
      <w:szCs w:val="20"/>
    </w:rPr>
  </w:style>
  <w:style w:type="paragraph" w:styleId="CommentSubject">
    <w:name w:val="annotation subject"/>
    <w:basedOn w:val="CommentText"/>
    <w:next w:val="CommentText"/>
    <w:link w:val="CommentSubjectChar"/>
    <w:uiPriority w:val="99"/>
    <w:semiHidden/>
    <w:rsid w:val="004F426E"/>
    <w:rPr>
      <w:b/>
      <w:bCs/>
    </w:rPr>
  </w:style>
  <w:style w:type="character" w:customStyle="1" w:styleId="CommentSubjectChar">
    <w:name w:val="Comment Subject Char"/>
    <w:basedOn w:val="CommentTextChar"/>
    <w:link w:val="CommentSubject"/>
    <w:uiPriority w:val="99"/>
    <w:semiHidden/>
    <w:rsid w:val="004F426E"/>
    <w:rPr>
      <w:rFonts w:ascii="Times New Roman" w:hAnsi="Times New Roman"/>
      <w:b/>
      <w:bCs/>
      <w:sz w:val="20"/>
      <w:szCs w:val="20"/>
    </w:rPr>
  </w:style>
  <w:style w:type="paragraph" w:styleId="Revision">
    <w:name w:val="Revision"/>
    <w:hidden/>
    <w:uiPriority w:val="99"/>
    <w:semiHidden/>
    <w:rsid w:val="004F426E"/>
    <w:pPr>
      <w:spacing w:after="0" w:line="240" w:lineRule="auto"/>
    </w:pPr>
    <w:rPr>
      <w:rFonts w:ascii="Times" w:hAnsi="Times"/>
    </w:rPr>
  </w:style>
  <w:style w:type="paragraph" w:styleId="BalloonText">
    <w:name w:val="Balloon Text"/>
    <w:basedOn w:val="Normal"/>
    <w:link w:val="BalloonTextChar"/>
    <w:uiPriority w:val="99"/>
    <w:unhideWhenUsed/>
    <w:rsid w:val="004F426E"/>
    <w:rPr>
      <w:rFonts w:ascii="Tahoma" w:hAnsi="Tahoma" w:cs="Tahoma"/>
      <w:sz w:val="16"/>
      <w:szCs w:val="16"/>
    </w:rPr>
  </w:style>
  <w:style w:type="character" w:customStyle="1" w:styleId="BalloonTextChar">
    <w:name w:val="Balloon Text Char"/>
    <w:basedOn w:val="DefaultParagraphFont"/>
    <w:link w:val="BalloonText"/>
    <w:uiPriority w:val="99"/>
    <w:rsid w:val="004F426E"/>
    <w:rPr>
      <w:rFonts w:ascii="Tahoma" w:hAnsi="Tahoma" w:cs="Tahoma"/>
      <w:sz w:val="16"/>
      <w:szCs w:val="16"/>
    </w:rPr>
  </w:style>
  <w:style w:type="paragraph" w:styleId="ListContinue">
    <w:name w:val="List Continue"/>
    <w:basedOn w:val="Normal"/>
    <w:uiPriority w:val="99"/>
    <w:semiHidden/>
    <w:rsid w:val="004F426E"/>
    <w:pPr>
      <w:suppressAutoHyphens/>
      <w:spacing w:after="240"/>
      <w:ind w:left="360"/>
      <w:jc w:val="both"/>
    </w:pPr>
  </w:style>
  <w:style w:type="paragraph" w:styleId="ListContinue2">
    <w:name w:val="List Continue 2"/>
    <w:basedOn w:val="ListContinue"/>
    <w:uiPriority w:val="99"/>
    <w:semiHidden/>
    <w:rsid w:val="004F426E"/>
    <w:pPr>
      <w:ind w:left="720"/>
    </w:pPr>
  </w:style>
  <w:style w:type="paragraph" w:styleId="ListContinue3">
    <w:name w:val="List Continue 3"/>
    <w:basedOn w:val="ListContinue2"/>
    <w:uiPriority w:val="99"/>
    <w:semiHidden/>
    <w:rsid w:val="004F426E"/>
    <w:pPr>
      <w:ind w:left="1080"/>
    </w:pPr>
  </w:style>
  <w:style w:type="paragraph" w:styleId="ListContinue4">
    <w:name w:val="List Continue 4"/>
    <w:basedOn w:val="ListContinue3"/>
    <w:uiPriority w:val="99"/>
    <w:semiHidden/>
    <w:rsid w:val="004F426E"/>
    <w:pPr>
      <w:ind w:left="1440"/>
    </w:pPr>
  </w:style>
  <w:style w:type="paragraph" w:styleId="ListContinue5">
    <w:name w:val="List Continue 5"/>
    <w:basedOn w:val="ListContinue4"/>
    <w:uiPriority w:val="99"/>
    <w:semiHidden/>
    <w:rsid w:val="004F426E"/>
    <w:pPr>
      <w:ind w:left="1800"/>
    </w:pPr>
  </w:style>
  <w:style w:type="paragraph" w:customStyle="1" w:styleId="AppendixNumber">
    <w:name w:val="Appendix Number"/>
    <w:basedOn w:val="Normal"/>
    <w:next w:val="AppendixTitle"/>
    <w:rsid w:val="004F426E"/>
    <w:pPr>
      <w:pageBreakBefore/>
      <w:spacing w:before="3240"/>
      <w:ind w:left="1886"/>
    </w:pPr>
    <w:rPr>
      <w:rFonts w:ascii="HelveticaNeueLT Std" w:hAnsi="HelveticaNeueLT Std"/>
      <w:sz w:val="56"/>
      <w:szCs w:val="56"/>
    </w:rPr>
  </w:style>
  <w:style w:type="paragraph" w:customStyle="1" w:styleId="AppendixTitle">
    <w:name w:val="Appendix Title"/>
    <w:basedOn w:val="Normal"/>
    <w:next w:val="AppendixNumber"/>
    <w:rsid w:val="004F426E"/>
    <w:pPr>
      <w:spacing w:before="70"/>
      <w:ind w:left="1886"/>
    </w:pPr>
    <w:rPr>
      <w:rFonts w:ascii="HelveticaNeueLT Std" w:hAnsi="HelveticaNeueLT Std"/>
      <w:b/>
      <w:sz w:val="44"/>
      <w:szCs w:val="44"/>
    </w:rPr>
  </w:style>
  <w:style w:type="paragraph" w:customStyle="1" w:styleId="TOCPage">
    <w:name w:val="TOC Page"/>
    <w:basedOn w:val="Normal"/>
    <w:next w:val="Normal"/>
    <w:rsid w:val="004F426E"/>
    <w:pPr>
      <w:jc w:val="right"/>
    </w:pPr>
    <w:rPr>
      <w:rFonts w:ascii="Arial" w:hAnsi="Arial" w:cs="Arial"/>
      <w:sz w:val="21"/>
      <w:u w:val="single"/>
    </w:rPr>
  </w:style>
  <w:style w:type="paragraph" w:customStyle="1" w:styleId="TOCReportTitle">
    <w:name w:val="TOC Report Title"/>
    <w:basedOn w:val="Normal"/>
    <w:next w:val="TOCPage"/>
    <w:qFormat/>
    <w:rsid w:val="004F426E"/>
    <w:pPr>
      <w:spacing w:after="600"/>
    </w:pPr>
    <w:rPr>
      <w:rFonts w:ascii="Arial" w:hAnsi="Arial"/>
      <w:sz w:val="42"/>
      <w:szCs w:val="22"/>
    </w:rPr>
  </w:style>
  <w:style w:type="paragraph" w:customStyle="1" w:styleId="TOCTableofContents">
    <w:name w:val="TOC_Table of Contents"/>
    <w:basedOn w:val="Normal"/>
    <w:next w:val="TOCReportTitle"/>
    <w:qFormat/>
    <w:rsid w:val="00336BCE"/>
    <w:pPr>
      <w:keepNext/>
      <w:keepLines/>
      <w:pBdr>
        <w:bottom w:val="single" w:sz="6" w:space="1" w:color="auto"/>
      </w:pBdr>
      <w:spacing w:before="960"/>
      <w:outlineLvl w:val="0"/>
    </w:pPr>
    <w:rPr>
      <w:rFonts w:ascii="Arial" w:hAnsi="Arial" w:cs="Arial"/>
      <w:b/>
      <w:caps/>
      <w:sz w:val="40"/>
      <w:szCs w:val="40"/>
    </w:rPr>
  </w:style>
  <w:style w:type="paragraph" w:customStyle="1" w:styleId="TypeofDocument">
    <w:name w:val="Type of Document"/>
    <w:basedOn w:val="Normal"/>
    <w:rsid w:val="009E6D97"/>
    <w:pPr>
      <w:spacing w:after="600"/>
      <w:ind w:left="1260"/>
    </w:pPr>
    <w:rPr>
      <w:rFonts w:ascii="HelveticaNeueLT Std" w:eastAsia="Times New Roman" w:hAnsi="HelveticaNeueLT Std" w:cs="Times New Roman"/>
      <w:sz w:val="28"/>
      <w:szCs w:val="28"/>
    </w:rPr>
  </w:style>
  <w:style w:type="paragraph" w:customStyle="1" w:styleId="ProjectTitle">
    <w:name w:val="Project Title"/>
    <w:basedOn w:val="Normal"/>
    <w:rsid w:val="009E6D97"/>
    <w:pPr>
      <w:spacing w:after="80"/>
      <w:ind w:left="1260"/>
    </w:pPr>
    <w:rPr>
      <w:rFonts w:ascii="HelveticaNeueLT Std" w:eastAsia="Times New Roman" w:hAnsi="HelveticaNeueLT Std" w:cs="Times New Roman"/>
      <w:caps/>
      <w:sz w:val="36"/>
      <w:szCs w:val="36"/>
    </w:rPr>
  </w:style>
  <w:style w:type="paragraph" w:customStyle="1" w:styleId="TypeofServices">
    <w:name w:val="Type of Services"/>
    <w:basedOn w:val="Normal"/>
    <w:rsid w:val="009E6D97"/>
    <w:pPr>
      <w:ind w:left="2340"/>
    </w:pPr>
    <w:rPr>
      <w:rFonts w:ascii="HelveticaNeueLT Std Thin" w:eastAsia="Times New Roman" w:hAnsi="HelveticaNeueLT Std Thin" w:cs="Times New Roman"/>
      <w:b/>
      <w:sz w:val="29"/>
      <w:szCs w:val="29"/>
    </w:rPr>
  </w:style>
  <w:style w:type="paragraph" w:customStyle="1" w:styleId="Offices">
    <w:name w:val="Offices"/>
    <w:basedOn w:val="Normal"/>
    <w:rsid w:val="004F426E"/>
    <w:pPr>
      <w:tabs>
        <w:tab w:val="left" w:pos="6480"/>
      </w:tabs>
      <w:spacing w:after="200"/>
      <w:ind w:left="1530"/>
    </w:pPr>
    <w:rPr>
      <w:rFonts w:ascii="HelveticaNeueLT Std Thin" w:eastAsia="Times New Roman" w:hAnsi="HelveticaNeueLT Std Thin" w:cs="Times New Roman"/>
      <w:b/>
      <w:sz w:val="14"/>
      <w:szCs w:val="14"/>
    </w:rPr>
  </w:style>
  <w:style w:type="character" w:styleId="PlaceholderText">
    <w:name w:val="Placeholder Text"/>
    <w:basedOn w:val="DefaultParagraphFont"/>
    <w:uiPriority w:val="99"/>
    <w:semiHidden/>
    <w:rsid w:val="004F426E"/>
    <w:rPr>
      <w:color w:val="808080"/>
    </w:rPr>
  </w:style>
  <w:style w:type="paragraph" w:customStyle="1" w:styleId="1space">
    <w:name w:val="1 space"/>
    <w:basedOn w:val="Normal"/>
    <w:qFormat/>
    <w:rsid w:val="004F426E"/>
    <w:pPr>
      <w:spacing w:after="240"/>
    </w:pPr>
  </w:style>
  <w:style w:type="paragraph" w:customStyle="1" w:styleId="12spaceindent">
    <w:name w:val="1.2 space indent"/>
    <w:basedOn w:val="12space"/>
    <w:qFormat/>
    <w:rsid w:val="004F426E"/>
    <w:pPr>
      <w:ind w:left="720" w:hanging="720"/>
    </w:pPr>
  </w:style>
  <w:style w:type="character" w:customStyle="1" w:styleId="ESAName">
    <w:name w:val="ESA Name"/>
    <w:basedOn w:val="DefaultParagraphFont"/>
    <w:uiPriority w:val="1"/>
    <w:semiHidden/>
    <w:rsid w:val="004F426E"/>
    <w:rPr>
      <w:rFonts w:ascii="Arial" w:hAnsi="Arial"/>
      <w:sz w:val="12"/>
    </w:rPr>
  </w:style>
  <w:style w:type="paragraph" w:customStyle="1" w:styleId="GoalsPoliciesObjectives1stlevel">
    <w:name w:val="Goals Policies Objectives 1st level"/>
    <w:basedOn w:val="Normal"/>
    <w:qFormat/>
    <w:rsid w:val="004F426E"/>
    <w:pPr>
      <w:spacing w:after="240" w:line="240" w:lineRule="exact"/>
      <w:ind w:left="360"/>
      <w:jc w:val="both"/>
    </w:pPr>
  </w:style>
  <w:style w:type="paragraph" w:customStyle="1" w:styleId="GoalsPoliciesObjectives2ndlevel">
    <w:name w:val="Goals Policies Objectives 2nd level"/>
    <w:basedOn w:val="GoalsPoliciesObjectives1stlevel"/>
    <w:qFormat/>
    <w:rsid w:val="004F426E"/>
    <w:pPr>
      <w:ind w:left="720"/>
    </w:pPr>
  </w:style>
  <w:style w:type="paragraph" w:customStyle="1" w:styleId="GoalsPoliciesObjectives3rdlevel">
    <w:name w:val="Goals Policies Objectives 3rd level"/>
    <w:basedOn w:val="GoalsPoliciesObjectives2ndlevel"/>
    <w:qFormat/>
    <w:rsid w:val="004F426E"/>
    <w:pPr>
      <w:ind w:left="1080"/>
    </w:pPr>
  </w:style>
  <w:style w:type="paragraph" w:customStyle="1" w:styleId="Mitigationbulletindent">
    <w:name w:val="Mitigation bullet indent"/>
    <w:basedOn w:val="Mitigation"/>
    <w:qFormat/>
    <w:rsid w:val="004F426E"/>
    <w:pPr>
      <w:numPr>
        <w:numId w:val="1"/>
      </w:numPr>
    </w:pPr>
  </w:style>
  <w:style w:type="paragraph" w:customStyle="1" w:styleId="SignificanceafterMitigation">
    <w:name w:val="Significance after Mitigation"/>
    <w:basedOn w:val="Mitigation"/>
    <w:rsid w:val="004F426E"/>
  </w:style>
  <w:style w:type="paragraph" w:customStyle="1" w:styleId="ImpactSectionEnd">
    <w:name w:val="Impact Section End"/>
    <w:basedOn w:val="Normal"/>
    <w:qFormat/>
    <w:rsid w:val="003953EA"/>
    <w:pPr>
      <w:pBdr>
        <w:top w:val="single" w:sz="4" w:space="1" w:color="auto"/>
      </w:pBdr>
      <w:spacing w:after="120"/>
      <w:ind w:left="2880" w:right="2880"/>
      <w:jc w:val="center"/>
    </w:pPr>
    <w:rPr>
      <w:sz w:val="16"/>
      <w:szCs w:val="16"/>
    </w:rPr>
  </w:style>
  <w:style w:type="numbering" w:customStyle="1" w:styleId="BulletedListStyle">
    <w:name w:val="BulletedListStyle"/>
    <w:uiPriority w:val="99"/>
    <w:rsid w:val="004F426E"/>
    <w:pPr>
      <w:numPr>
        <w:numId w:val="2"/>
      </w:numPr>
    </w:pPr>
  </w:style>
  <w:style w:type="numbering" w:customStyle="1" w:styleId="NumberedListStyle">
    <w:name w:val="NumberedListStyle"/>
    <w:uiPriority w:val="99"/>
    <w:rsid w:val="004F426E"/>
    <w:pPr>
      <w:numPr>
        <w:numId w:val="3"/>
      </w:numPr>
    </w:pPr>
  </w:style>
  <w:style w:type="paragraph" w:customStyle="1" w:styleId="12spaceindentcontinue">
    <w:name w:val="1.2 space indent continue"/>
    <w:basedOn w:val="12spaceindent"/>
    <w:rsid w:val="004F426E"/>
    <w:pPr>
      <w:ind w:firstLine="0"/>
    </w:pPr>
  </w:style>
  <w:style w:type="paragraph" w:customStyle="1" w:styleId="AppendixTitleSubAppendix">
    <w:name w:val="Appendix Title_Sub Appendix"/>
    <w:basedOn w:val="AppendixTitle"/>
    <w:next w:val="Normal"/>
    <w:qFormat/>
    <w:rsid w:val="004F426E"/>
    <w:pPr>
      <w:spacing w:before="3840"/>
      <w:ind w:left="3067" w:hanging="1181"/>
    </w:pPr>
    <w:rPr>
      <w:rFonts w:ascii="Helvetica 25 UltraLight" w:hAnsi="Helvetica 25 UltraLight"/>
      <w:sz w:val="48"/>
      <w:szCs w:val="48"/>
    </w:rPr>
  </w:style>
  <w:style w:type="paragraph" w:customStyle="1" w:styleId="TableText0">
    <w:name w:val="Table Text"/>
    <w:basedOn w:val="Tabletext"/>
    <w:semiHidden/>
    <w:rsid w:val="004F426E"/>
  </w:style>
  <w:style w:type="paragraph" w:customStyle="1" w:styleId="Tabletextbullet">
    <w:name w:val="Table text bullet"/>
    <w:basedOn w:val="Tabletext"/>
    <w:rsid w:val="004F426E"/>
    <w:pPr>
      <w:numPr>
        <w:numId w:val="4"/>
      </w:numPr>
    </w:pPr>
  </w:style>
  <w:style w:type="paragraph" w:customStyle="1" w:styleId="Tabletextnumber">
    <w:name w:val="Table text number"/>
    <w:basedOn w:val="Tabletext"/>
    <w:rsid w:val="004F426E"/>
    <w:pPr>
      <w:ind w:left="229" w:hanging="229"/>
    </w:pPr>
  </w:style>
  <w:style w:type="paragraph" w:customStyle="1" w:styleId="n1">
    <w:name w:val="n1"/>
    <w:basedOn w:val="Normal"/>
    <w:semiHidden/>
    <w:rsid w:val="004F426E"/>
    <w:pPr>
      <w:tabs>
        <w:tab w:val="left" w:pos="4320"/>
      </w:tabs>
      <w:ind w:left="360" w:hanging="360"/>
    </w:pPr>
    <w:rPr>
      <w:rFonts w:ascii="Arial" w:hAnsi="Arial"/>
      <w:b/>
      <w:sz w:val="20"/>
    </w:rPr>
  </w:style>
  <w:style w:type="paragraph" w:customStyle="1" w:styleId="n">
    <w:name w:val="n"/>
    <w:basedOn w:val="n1"/>
    <w:semiHidden/>
    <w:rsid w:val="004F426E"/>
    <w:pPr>
      <w:ind w:left="0" w:right="54" w:firstLine="0"/>
    </w:pPr>
    <w:rPr>
      <w:b w:val="0"/>
    </w:rPr>
  </w:style>
  <w:style w:type="character" w:customStyle="1" w:styleId="12spaceChar">
    <w:name w:val="1.2 space Char"/>
    <w:link w:val="12space"/>
    <w:qFormat/>
    <w:locked/>
    <w:rsid w:val="004F426E"/>
    <w:rPr>
      <w:rFonts w:ascii="Times New Roman" w:hAnsi="Times New Roman"/>
      <w:szCs w:val="20"/>
    </w:rPr>
  </w:style>
  <w:style w:type="paragraph" w:customStyle="1" w:styleId="13space">
    <w:name w:val="1.3 space"/>
    <w:basedOn w:val="Normal"/>
    <w:semiHidden/>
    <w:rsid w:val="004F426E"/>
    <w:pPr>
      <w:spacing w:after="240" w:line="312" w:lineRule="exact"/>
    </w:pPr>
    <w:rPr>
      <w:rFonts w:ascii="Tms Rmn" w:hAnsi="Tms Rmn"/>
    </w:rPr>
  </w:style>
  <w:style w:type="paragraph" w:customStyle="1" w:styleId="TableTotal">
    <w:name w:val="Table Total"/>
    <w:basedOn w:val="Normal"/>
    <w:qFormat/>
    <w:rsid w:val="009E6D97"/>
    <w:pPr>
      <w:pBdr>
        <w:top w:val="single" w:sz="8" w:space="0" w:color="7F7F7F" w:themeColor="text1" w:themeTint="80"/>
      </w:pBdr>
      <w:spacing w:before="40" w:after="60" w:line="184" w:lineRule="exact"/>
      <w:jc w:val="center"/>
    </w:pPr>
    <w:rPr>
      <w:rFonts w:ascii="Arial" w:eastAsia="Times New Roman" w:hAnsi="Arial"/>
      <w:snapToGrid w:val="0"/>
      <w:sz w:val="16"/>
      <w:szCs w:val="19"/>
    </w:rPr>
  </w:style>
  <w:style w:type="character" w:customStyle="1" w:styleId="TablefootnoteChar1">
    <w:name w:val="Table footnote Char1"/>
    <w:basedOn w:val="DefaultParagraphFont"/>
    <w:semiHidden/>
    <w:rsid w:val="004F426E"/>
    <w:rPr>
      <w:rFonts w:ascii="Arial" w:hAnsi="Arial"/>
      <w:position w:val="6"/>
      <w:sz w:val="13"/>
      <w:szCs w:val="13"/>
      <w:lang w:val="en-US" w:eastAsia="en-US" w:bidi="ar-SA"/>
    </w:rPr>
  </w:style>
  <w:style w:type="paragraph" w:styleId="NormalIndent">
    <w:name w:val="Normal Indent"/>
    <w:basedOn w:val="Normal"/>
    <w:semiHidden/>
    <w:rsid w:val="004F426E"/>
    <w:pPr>
      <w:ind w:left="720"/>
    </w:pPr>
    <w:rPr>
      <w:rFonts w:ascii="Tms Rmn" w:hAnsi="Tms Rmn"/>
    </w:rPr>
  </w:style>
  <w:style w:type="paragraph" w:customStyle="1" w:styleId="impactmits">
    <w:name w:val="impact/mits"/>
    <w:basedOn w:val="Normal"/>
    <w:semiHidden/>
    <w:rsid w:val="004F426E"/>
    <w:pPr>
      <w:spacing w:before="120" w:after="240"/>
    </w:pPr>
    <w:rPr>
      <w:rFonts w:ascii="Tms Rmn" w:hAnsi="Tms Rmn"/>
      <w:b/>
    </w:rPr>
  </w:style>
  <w:style w:type="paragraph" w:customStyle="1" w:styleId="13indent">
    <w:name w:val="1.3 indent"/>
    <w:basedOn w:val="Normal"/>
    <w:semiHidden/>
    <w:rsid w:val="004F426E"/>
    <w:pPr>
      <w:tabs>
        <w:tab w:val="right" w:pos="13770"/>
      </w:tabs>
      <w:spacing w:after="240" w:line="312" w:lineRule="exact"/>
      <w:ind w:left="547" w:hanging="547"/>
    </w:pPr>
    <w:rPr>
      <w:rFonts w:ascii="Tms Rmn" w:hAnsi="Tms Rmn"/>
    </w:rPr>
  </w:style>
  <w:style w:type="paragraph" w:styleId="Subtitle">
    <w:name w:val="Subtitle"/>
    <w:basedOn w:val="Normal"/>
    <w:link w:val="SubtitleChar"/>
    <w:semiHidden/>
    <w:qFormat/>
    <w:rsid w:val="004F426E"/>
    <w:pPr>
      <w:jc w:val="center"/>
    </w:pPr>
    <w:rPr>
      <w:rFonts w:ascii="Tms Rmn" w:hAnsi="Tms Rmn"/>
      <w:b/>
      <w:sz w:val="24"/>
      <w:u w:val="single"/>
    </w:rPr>
  </w:style>
  <w:style w:type="character" w:customStyle="1" w:styleId="SubtitleChar">
    <w:name w:val="Subtitle Char"/>
    <w:basedOn w:val="DefaultParagraphFont"/>
    <w:link w:val="Subtitle"/>
    <w:semiHidden/>
    <w:rsid w:val="004F426E"/>
    <w:rPr>
      <w:rFonts w:ascii="Tms Rmn" w:hAnsi="Tms Rmn"/>
      <w:b/>
      <w:sz w:val="24"/>
      <w:szCs w:val="20"/>
      <w:u w:val="single"/>
    </w:rPr>
  </w:style>
  <w:style w:type="paragraph" w:customStyle="1" w:styleId="n2">
    <w:name w:val="n2"/>
    <w:basedOn w:val="n1"/>
    <w:semiHidden/>
    <w:rsid w:val="004F426E"/>
    <w:pPr>
      <w:ind w:left="720" w:right="414"/>
    </w:pPr>
    <w:rPr>
      <w:b w:val="0"/>
    </w:rPr>
  </w:style>
  <w:style w:type="paragraph" w:customStyle="1" w:styleId="policy">
    <w:name w:val="policy"/>
    <w:basedOn w:val="n1"/>
    <w:semiHidden/>
    <w:rsid w:val="004F426E"/>
    <w:pPr>
      <w:keepNext/>
      <w:tabs>
        <w:tab w:val="clear" w:pos="4320"/>
        <w:tab w:val="left" w:pos="2295"/>
        <w:tab w:val="left" w:pos="3015"/>
        <w:tab w:val="center" w:pos="5940"/>
        <w:tab w:val="center" w:pos="7110"/>
        <w:tab w:val="center" w:pos="8190"/>
        <w:tab w:val="center" w:pos="9000"/>
      </w:tabs>
      <w:spacing w:before="40" w:after="100"/>
      <w:ind w:left="585" w:hanging="585"/>
    </w:pPr>
    <w:rPr>
      <w:sz w:val="19"/>
    </w:rPr>
  </w:style>
  <w:style w:type="numbering" w:styleId="ArticleSection">
    <w:name w:val="Outline List 3"/>
    <w:basedOn w:val="NoList"/>
    <w:semiHidden/>
    <w:rsid w:val="004F426E"/>
    <w:pPr>
      <w:numPr>
        <w:numId w:val="5"/>
      </w:numPr>
    </w:pPr>
  </w:style>
  <w:style w:type="paragraph" w:styleId="Closing">
    <w:name w:val="Closing"/>
    <w:basedOn w:val="Normal"/>
    <w:link w:val="ClosingChar"/>
    <w:semiHidden/>
    <w:rsid w:val="004F426E"/>
    <w:pPr>
      <w:ind w:left="4320"/>
    </w:pPr>
  </w:style>
  <w:style w:type="character" w:customStyle="1" w:styleId="ClosingChar">
    <w:name w:val="Closing Char"/>
    <w:basedOn w:val="DefaultParagraphFont"/>
    <w:link w:val="Closing"/>
    <w:semiHidden/>
    <w:rsid w:val="004F426E"/>
    <w:rPr>
      <w:rFonts w:ascii="Times New Roman" w:hAnsi="Times New Roman"/>
      <w:szCs w:val="20"/>
    </w:rPr>
  </w:style>
  <w:style w:type="paragraph" w:styleId="Date">
    <w:name w:val="Date"/>
    <w:basedOn w:val="Normal"/>
    <w:next w:val="Normal"/>
    <w:link w:val="DateChar"/>
    <w:semiHidden/>
    <w:rsid w:val="004F426E"/>
  </w:style>
  <w:style w:type="character" w:customStyle="1" w:styleId="DateChar">
    <w:name w:val="Date Char"/>
    <w:basedOn w:val="DefaultParagraphFont"/>
    <w:link w:val="Date"/>
    <w:semiHidden/>
    <w:rsid w:val="004F426E"/>
    <w:rPr>
      <w:rFonts w:ascii="Times New Roman" w:hAnsi="Times New Roman"/>
      <w:szCs w:val="20"/>
    </w:rPr>
  </w:style>
  <w:style w:type="paragraph" w:styleId="E-mailSignature">
    <w:name w:val="E-mail Signature"/>
    <w:basedOn w:val="Normal"/>
    <w:link w:val="E-mailSignatureChar"/>
    <w:semiHidden/>
    <w:rsid w:val="004F426E"/>
  </w:style>
  <w:style w:type="character" w:customStyle="1" w:styleId="E-mailSignatureChar">
    <w:name w:val="E-mail Signature Char"/>
    <w:basedOn w:val="DefaultParagraphFont"/>
    <w:link w:val="E-mailSignature"/>
    <w:semiHidden/>
    <w:rsid w:val="004F426E"/>
    <w:rPr>
      <w:rFonts w:ascii="Times New Roman" w:hAnsi="Times New Roman"/>
      <w:szCs w:val="20"/>
    </w:rPr>
  </w:style>
  <w:style w:type="paragraph" w:styleId="EnvelopeAddress">
    <w:name w:val="envelope address"/>
    <w:basedOn w:val="Normal"/>
    <w:semiHidden/>
    <w:rsid w:val="004F426E"/>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4F426E"/>
    <w:rPr>
      <w:rFonts w:ascii="Arial" w:hAnsi="Arial" w:cs="Arial"/>
      <w:sz w:val="20"/>
    </w:rPr>
  </w:style>
  <w:style w:type="character" w:styleId="HTMLAcronym">
    <w:name w:val="HTML Acronym"/>
    <w:basedOn w:val="DefaultParagraphFont"/>
    <w:semiHidden/>
    <w:rsid w:val="004F426E"/>
  </w:style>
  <w:style w:type="paragraph" w:styleId="HTMLAddress">
    <w:name w:val="HTML Address"/>
    <w:basedOn w:val="Normal"/>
    <w:link w:val="HTMLAddressChar"/>
    <w:semiHidden/>
    <w:rsid w:val="004F426E"/>
    <w:rPr>
      <w:i/>
      <w:iCs/>
    </w:rPr>
  </w:style>
  <w:style w:type="character" w:customStyle="1" w:styleId="HTMLAddressChar">
    <w:name w:val="HTML Address Char"/>
    <w:basedOn w:val="DefaultParagraphFont"/>
    <w:link w:val="HTMLAddress"/>
    <w:semiHidden/>
    <w:rsid w:val="004F426E"/>
    <w:rPr>
      <w:rFonts w:ascii="Times New Roman" w:hAnsi="Times New Roman"/>
      <w:i/>
      <w:iCs/>
      <w:szCs w:val="20"/>
    </w:rPr>
  </w:style>
  <w:style w:type="character" w:styleId="HTMLCite">
    <w:name w:val="HTML Cite"/>
    <w:basedOn w:val="DefaultParagraphFont"/>
    <w:semiHidden/>
    <w:rsid w:val="004F426E"/>
    <w:rPr>
      <w:i/>
      <w:iCs/>
    </w:rPr>
  </w:style>
  <w:style w:type="character" w:styleId="HTMLCode">
    <w:name w:val="HTML Code"/>
    <w:basedOn w:val="DefaultParagraphFont"/>
    <w:semiHidden/>
    <w:rsid w:val="004F426E"/>
    <w:rPr>
      <w:rFonts w:ascii="Courier New" w:hAnsi="Courier New" w:cs="Courier New"/>
      <w:sz w:val="20"/>
      <w:szCs w:val="20"/>
    </w:rPr>
  </w:style>
  <w:style w:type="character" w:customStyle="1" w:styleId="TabletextChar">
    <w:name w:val="Table text Char"/>
    <w:link w:val="Tabletext"/>
    <w:rsid w:val="009E6D97"/>
    <w:rPr>
      <w:rFonts w:ascii="Arial" w:eastAsia="Times New Roman" w:hAnsi="Arial" w:cs="Times New Roman"/>
      <w:sz w:val="16"/>
      <w:szCs w:val="20"/>
    </w:rPr>
  </w:style>
  <w:style w:type="character" w:customStyle="1" w:styleId="TableSourceChar">
    <w:name w:val="Table Source Char"/>
    <w:link w:val="TableSource"/>
    <w:locked/>
    <w:rsid w:val="00DD5380"/>
    <w:rPr>
      <w:rFonts w:ascii="Arial" w:eastAsia="Times New Roman" w:hAnsi="Arial" w:cs="Times New Roman"/>
      <w:sz w:val="14"/>
      <w:szCs w:val="14"/>
    </w:rPr>
  </w:style>
  <w:style w:type="character" w:customStyle="1" w:styleId="TableNoTitleChar">
    <w:name w:val="Table No./Title Char"/>
    <w:link w:val="TableNoTitle"/>
    <w:rsid w:val="004E2B77"/>
    <w:rPr>
      <w:rFonts w:ascii="Arial" w:eastAsia="Times New Roman" w:hAnsi="Arial" w:cs="Times New Roman"/>
      <w:b/>
      <w:smallCaps/>
      <w:sz w:val="19"/>
      <w:szCs w:val="18"/>
    </w:rPr>
  </w:style>
  <w:style w:type="character" w:customStyle="1" w:styleId="TablefootnotetextChar">
    <w:name w:val="Table footnote text Char"/>
    <w:basedOn w:val="DefaultParagraphFont"/>
    <w:link w:val="Tablefootnotetext"/>
    <w:locked/>
    <w:rsid w:val="00DD5380"/>
    <w:rPr>
      <w:rFonts w:ascii="Arial" w:eastAsia="Times New Roman" w:hAnsi="Arial" w:cs="Times New Roman"/>
      <w:sz w:val="14"/>
      <w:szCs w:val="20"/>
    </w:rPr>
  </w:style>
  <w:style w:type="table" w:customStyle="1" w:styleId="TableGrid1">
    <w:name w:val="Table Grid1"/>
    <w:basedOn w:val="TableNormal"/>
    <w:next w:val="TableGrid"/>
    <w:uiPriority w:val="59"/>
    <w:rsid w:val="004F426E"/>
    <w:pPr>
      <w:spacing w:after="0" w:line="240" w:lineRule="auto"/>
    </w:pPr>
    <w:rPr>
      <w:rFonts w:ascii="Tms Rmn" w:eastAsia="Times New Roma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list">
    <w:name w:val="Checklist"/>
    <w:basedOn w:val="Normal"/>
    <w:qFormat/>
    <w:rsid w:val="00D429CF"/>
    <w:pPr>
      <w:jc w:val="center"/>
    </w:pPr>
    <w:rPr>
      <w:rFonts w:ascii="MS Gothic" w:eastAsia="MS Gothic" w:hAnsi="MS Gothic" w:cs="Segoe UI Symbol"/>
      <w:sz w:val="24"/>
      <w:szCs w:val="24"/>
    </w:rPr>
  </w:style>
  <w:style w:type="character" w:customStyle="1" w:styleId="TablecolumnheadingChar">
    <w:name w:val="Table column heading Char"/>
    <w:link w:val="Tablecolumnheading"/>
    <w:rsid w:val="00627E76"/>
    <w:rPr>
      <w:rFonts w:ascii="Arial" w:eastAsia="Times New Roman" w:hAnsi="Arial" w:cs="Times New Roman"/>
      <w:b/>
      <w:sz w:val="16"/>
      <w:szCs w:val="20"/>
    </w:rPr>
  </w:style>
  <w:style w:type="character" w:customStyle="1" w:styleId="Bold">
    <w:name w:val="Bold"/>
    <w:basedOn w:val="DefaultParagraphFont"/>
    <w:qFormat/>
    <w:rsid w:val="003953EA"/>
    <w:rPr>
      <w:b/>
    </w:rPr>
  </w:style>
  <w:style w:type="character" w:customStyle="1" w:styleId="FooterDate">
    <w:name w:val="Footer Date"/>
    <w:basedOn w:val="DefaultParagraphFont"/>
    <w:uiPriority w:val="1"/>
    <w:rsid w:val="004F426E"/>
    <w:rPr>
      <w:rFonts w:ascii="Arial" w:hAnsi="Arial"/>
      <w:sz w:val="12"/>
    </w:rPr>
  </w:style>
  <w:style w:type="character" w:customStyle="1" w:styleId="TypeofServicesFooter">
    <w:name w:val="Type of Services Footer"/>
    <w:basedOn w:val="DefaultParagraphFont"/>
    <w:uiPriority w:val="1"/>
    <w:rsid w:val="004F426E"/>
    <w:rPr>
      <w:rFonts w:ascii="Arial" w:hAnsi="Arial"/>
      <w:sz w:val="12"/>
    </w:rPr>
  </w:style>
  <w:style w:type="table" w:customStyle="1" w:styleId="GridTable1Light1">
    <w:name w:val="Grid Table 1 Light1"/>
    <w:basedOn w:val="TableNormal"/>
    <w:uiPriority w:val="46"/>
    <w:rsid w:val="007D22C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7D22C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1">
    <w:name w:val="List Table 1 Light1"/>
    <w:basedOn w:val="TableNormal"/>
    <w:uiPriority w:val="46"/>
    <w:rsid w:val="007D22C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1">
    <w:name w:val="Grid Table 21"/>
    <w:basedOn w:val="TableNormal"/>
    <w:uiPriority w:val="47"/>
    <w:rsid w:val="000B372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textnumber2">
    <w:name w:val="Table text number 2"/>
    <w:basedOn w:val="Tabletextnumber"/>
    <w:qFormat/>
    <w:rsid w:val="00B8605C"/>
    <w:pPr>
      <w:ind w:left="460" w:hanging="230"/>
    </w:pPr>
    <w:rPr>
      <w:rFonts w:cs="Arial"/>
      <w:szCs w:val="16"/>
    </w:rPr>
  </w:style>
  <w:style w:type="character" w:customStyle="1" w:styleId="Tablefootnote">
    <w:name w:val="Table footnote"/>
    <w:basedOn w:val="DefaultParagraphFont"/>
    <w:uiPriority w:val="1"/>
    <w:qFormat/>
    <w:rsid w:val="003953EA"/>
    <w:rPr>
      <w:position w:val="5"/>
      <w:sz w:val="13"/>
    </w:rPr>
  </w:style>
  <w:style w:type="character" w:customStyle="1" w:styleId="MitigationChar">
    <w:name w:val="Mitigation Char"/>
    <w:basedOn w:val="DefaultParagraphFont"/>
    <w:link w:val="Mitigation"/>
    <w:rsid w:val="00A52381"/>
    <w:rPr>
      <w:rFonts w:ascii="Times New Roman" w:hAnsi="Times New Roman"/>
      <w:szCs w:val="20"/>
    </w:rPr>
  </w:style>
  <w:style w:type="character" w:customStyle="1" w:styleId="BoldItalic">
    <w:name w:val="BoldItalic"/>
    <w:basedOn w:val="DefaultParagraphFont"/>
    <w:qFormat/>
    <w:rsid w:val="003953EA"/>
    <w:rPr>
      <w:b/>
      <w:i/>
    </w:rPr>
  </w:style>
  <w:style w:type="character" w:customStyle="1" w:styleId="DoubleUnderline">
    <w:name w:val="DoubleUnderline"/>
    <w:basedOn w:val="DefaultParagraphFont"/>
    <w:rsid w:val="003953EA"/>
    <w:rPr>
      <w:u w:val="double"/>
    </w:rPr>
  </w:style>
  <w:style w:type="character" w:customStyle="1" w:styleId="Italic">
    <w:name w:val="Italic"/>
    <w:basedOn w:val="DefaultParagraphFont"/>
    <w:uiPriority w:val="99"/>
    <w:qFormat/>
    <w:rsid w:val="003953EA"/>
    <w:rPr>
      <w:i/>
    </w:rPr>
  </w:style>
  <w:style w:type="character" w:customStyle="1" w:styleId="SmallCaps">
    <w:name w:val="SmallCaps"/>
    <w:basedOn w:val="DefaultParagraphFont"/>
    <w:qFormat/>
    <w:rsid w:val="003953EA"/>
    <w:rPr>
      <w:smallCaps/>
    </w:rPr>
  </w:style>
  <w:style w:type="character" w:customStyle="1" w:styleId="Strikethrough">
    <w:name w:val="Strikethrough"/>
    <w:basedOn w:val="DefaultParagraphFont"/>
    <w:rsid w:val="003953EA"/>
    <w:rPr>
      <w:strike/>
      <w:dstrike w:val="0"/>
    </w:rPr>
  </w:style>
  <w:style w:type="character" w:customStyle="1" w:styleId="Underline">
    <w:name w:val="Underline"/>
    <w:basedOn w:val="DefaultParagraphFont"/>
    <w:qFormat/>
    <w:rsid w:val="003953EA"/>
    <w:rPr>
      <w:u w:val="single"/>
    </w:rPr>
  </w:style>
  <w:style w:type="character" w:customStyle="1" w:styleId="UnderlineBold">
    <w:name w:val="UnderlineBold"/>
    <w:basedOn w:val="DefaultParagraphFont"/>
    <w:rsid w:val="003953EA"/>
    <w:rPr>
      <w:b/>
      <w:u w:val="single"/>
    </w:rPr>
  </w:style>
  <w:style w:type="character" w:customStyle="1" w:styleId="UnderlineBoldItalic">
    <w:name w:val="UnderlineBoldItalic"/>
    <w:basedOn w:val="DefaultParagraphFont"/>
    <w:rsid w:val="003953EA"/>
    <w:rPr>
      <w:b/>
      <w:i/>
      <w:u w:val="single"/>
    </w:rPr>
  </w:style>
  <w:style w:type="character" w:customStyle="1" w:styleId="UnderlineItalic">
    <w:name w:val="UnderlineItalic"/>
    <w:basedOn w:val="DefaultParagraphFont"/>
    <w:rsid w:val="003953EA"/>
    <w:rPr>
      <w:i/>
      <w:u w:val="single"/>
    </w:rPr>
  </w:style>
  <w:style w:type="paragraph" w:customStyle="1" w:styleId="TableNotes">
    <w:name w:val="Table Notes"/>
    <w:basedOn w:val="TableSource"/>
    <w:qFormat/>
    <w:rsid w:val="00DD5380"/>
  </w:style>
  <w:style w:type="paragraph" w:customStyle="1" w:styleId="TOCSection">
    <w:name w:val="TOC Section"/>
    <w:basedOn w:val="Normal"/>
    <w:qFormat/>
    <w:rsid w:val="004E2B77"/>
    <w:pPr>
      <w:keepNext/>
      <w:spacing w:before="300" w:after="120"/>
    </w:pPr>
    <w:rPr>
      <w:rFonts w:ascii="Arial" w:hAnsi="Arial" w:cs="Arial"/>
      <w:b/>
      <w:sz w:val="21"/>
      <w:szCs w:val="21"/>
    </w:rPr>
  </w:style>
  <w:style w:type="character" w:customStyle="1" w:styleId="UnresolvedMention1">
    <w:name w:val="Unresolved Mention1"/>
    <w:basedOn w:val="DefaultParagraphFont"/>
    <w:uiPriority w:val="99"/>
    <w:semiHidden/>
    <w:unhideWhenUsed/>
    <w:rsid w:val="00624EAD"/>
    <w:rPr>
      <w:color w:val="605E5C"/>
      <w:shd w:val="clear" w:color="auto" w:fill="E1DFDD"/>
    </w:rPr>
  </w:style>
  <w:style w:type="paragraph" w:customStyle="1" w:styleId="DocText">
    <w:name w:val="Doc Text"/>
    <w:aliases w:val="D,Doc,Doc Text Char Char Char,D Char Char Char Char,Doc Text1,D1,Doc Text Char Char Char1,D Char11 Char,D Char11,Doc Text Char Char Char Char,D Char1 Char,D Char Char Char Char Char,Doc Text1 Char,D1...,D Char Char Char,D Char2,Doc Text Char Ch"/>
    <w:basedOn w:val="Normal"/>
    <w:link w:val="DocTextChar"/>
    <w:qFormat/>
    <w:rsid w:val="006B6BF5"/>
    <w:pPr>
      <w:spacing w:after="240" w:line="264" w:lineRule="auto"/>
      <w:jc w:val="both"/>
    </w:pPr>
    <w:rPr>
      <w:rFonts w:ascii="Arial" w:eastAsia="Times New Roman" w:hAnsi="Arial" w:cs="Times New Roman"/>
      <w:kern w:val="28"/>
      <w:lang w:eastAsia="x-none"/>
    </w:rPr>
  </w:style>
  <w:style w:type="character" w:customStyle="1" w:styleId="DocTextChar">
    <w:name w:val="Doc Text Char"/>
    <w:aliases w:val="D Char,Doc Char,Doc Text Char Char Char Char1,D Char Char Char Char Char1,Doc Text1 Char1,D1 Char,Doc Text Char Char Char1 Char,D Char11 Char Char,D Char11 Char1,Doc Text Char Char Char Char Char,D Char1 Char Char,Doc Text1 Char Char,D Cha"/>
    <w:link w:val="DocText"/>
    <w:rsid w:val="006B6BF5"/>
    <w:rPr>
      <w:rFonts w:ascii="Arial" w:eastAsia="Times New Roman" w:hAnsi="Arial" w:cs="Times New Roman"/>
      <w:kern w:val="28"/>
      <w:szCs w:val="20"/>
      <w:lang w:eastAsia="x-none"/>
    </w:rPr>
  </w:style>
  <w:style w:type="character" w:customStyle="1" w:styleId="UnresolvedMention2">
    <w:name w:val="Unresolved Mention2"/>
    <w:basedOn w:val="DefaultParagraphFont"/>
    <w:uiPriority w:val="99"/>
    <w:semiHidden/>
    <w:unhideWhenUsed/>
    <w:rsid w:val="00537394"/>
    <w:rPr>
      <w:color w:val="605E5C"/>
      <w:shd w:val="clear" w:color="auto" w:fill="E1DFDD"/>
    </w:rPr>
  </w:style>
  <w:style w:type="character" w:customStyle="1" w:styleId="fontstyle01">
    <w:name w:val="fontstyle01"/>
    <w:basedOn w:val="DefaultParagraphFont"/>
    <w:rsid w:val="004B4C62"/>
    <w:rPr>
      <w:rFonts w:ascii="TimesNewRomanPSMT" w:hAnsi="TimesNewRomanPSMT" w:hint="default"/>
      <w:b w:val="0"/>
      <w:bCs w:val="0"/>
      <w:i w:val="0"/>
      <w:iCs w:val="0"/>
      <w:color w:val="000000"/>
      <w:sz w:val="24"/>
      <w:szCs w:val="24"/>
    </w:rPr>
  </w:style>
  <w:style w:type="table" w:customStyle="1" w:styleId="TableGrid3">
    <w:name w:val="Table Grid3"/>
    <w:basedOn w:val="TableNormal"/>
    <w:next w:val="TableGrid"/>
    <w:rsid w:val="00A45F55"/>
    <w:pPr>
      <w:spacing w:after="0" w:line="240" w:lineRule="auto"/>
    </w:pPr>
    <w:rPr>
      <w:rFonts w:ascii="Tms Rmn" w:eastAsia="Times New Roma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1804AD"/>
    <w:rPr>
      <w:color w:val="605E5C"/>
      <w:shd w:val="clear" w:color="auto" w:fill="E1DFDD"/>
    </w:rPr>
  </w:style>
  <w:style w:type="character" w:customStyle="1" w:styleId="UnresolvedMention4">
    <w:name w:val="Unresolved Mention4"/>
    <w:basedOn w:val="DefaultParagraphFont"/>
    <w:uiPriority w:val="99"/>
    <w:semiHidden/>
    <w:unhideWhenUsed/>
    <w:rsid w:val="000A76A3"/>
    <w:rPr>
      <w:color w:val="605E5C"/>
      <w:shd w:val="clear" w:color="auto" w:fill="E1DFDD"/>
    </w:rPr>
  </w:style>
  <w:style w:type="character" w:styleId="SubtleEmphasis">
    <w:name w:val="Subtle Emphasis"/>
    <w:basedOn w:val="DefaultParagraphFont"/>
    <w:uiPriority w:val="19"/>
    <w:qFormat/>
    <w:rsid w:val="006D0207"/>
    <w:rPr>
      <w:i/>
      <w:iCs/>
      <w:color w:val="404040" w:themeColor="text1" w:themeTint="BF"/>
    </w:rPr>
  </w:style>
  <w:style w:type="character" w:customStyle="1" w:styleId="UnresolvedMention5">
    <w:name w:val="Unresolved Mention5"/>
    <w:basedOn w:val="DefaultParagraphFont"/>
    <w:uiPriority w:val="99"/>
    <w:semiHidden/>
    <w:unhideWhenUsed/>
    <w:rsid w:val="00F25C65"/>
    <w:rPr>
      <w:color w:val="605E5C"/>
      <w:shd w:val="clear" w:color="auto" w:fill="E1DFDD"/>
    </w:rPr>
  </w:style>
  <w:style w:type="character" w:customStyle="1" w:styleId="12spaceChar1">
    <w:name w:val="1.2 space Char1"/>
    <w:basedOn w:val="DefaultParagraphFont"/>
    <w:locked/>
    <w:rsid w:val="007F3F0F"/>
    <w:rPr>
      <w:rFonts w:ascii="Arial" w:hAnsi="Arial" w:cs="Arial"/>
    </w:rPr>
  </w:style>
  <w:style w:type="paragraph" w:styleId="ListParagraph">
    <w:name w:val="List Paragraph"/>
    <w:basedOn w:val="Normal"/>
    <w:uiPriority w:val="34"/>
    <w:qFormat/>
    <w:rsid w:val="00390FB7"/>
    <w:pPr>
      <w:ind w:left="720"/>
      <w:contextualSpacing/>
    </w:pPr>
  </w:style>
  <w:style w:type="character" w:styleId="UnresolvedMention">
    <w:name w:val="Unresolved Mention"/>
    <w:basedOn w:val="DefaultParagraphFont"/>
    <w:uiPriority w:val="99"/>
    <w:semiHidden/>
    <w:unhideWhenUsed/>
    <w:rsid w:val="00673BCF"/>
    <w:rPr>
      <w:color w:val="605E5C"/>
      <w:shd w:val="clear" w:color="auto" w:fill="E1DFDD"/>
    </w:rPr>
  </w:style>
  <w:style w:type="paragraph" w:styleId="DocumentMap">
    <w:name w:val="Document Map"/>
    <w:basedOn w:val="Normal"/>
    <w:link w:val="DocumentMapChar"/>
    <w:uiPriority w:val="99"/>
    <w:semiHidden/>
    <w:unhideWhenUsed/>
    <w:rsid w:val="002348BC"/>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348BC"/>
    <w:rPr>
      <w:rFonts w:ascii="Segoe UI" w:hAnsi="Segoe UI" w:cs="Segoe UI"/>
      <w:sz w:val="16"/>
      <w:szCs w:val="16"/>
    </w:rPr>
  </w:style>
  <w:style w:type="paragraph" w:styleId="EndnoteText">
    <w:name w:val="endnote text"/>
    <w:basedOn w:val="Normal"/>
    <w:link w:val="EndnoteTextChar"/>
    <w:uiPriority w:val="99"/>
    <w:unhideWhenUsed/>
    <w:rsid w:val="002348BC"/>
    <w:rPr>
      <w:sz w:val="20"/>
    </w:rPr>
  </w:style>
  <w:style w:type="character" w:customStyle="1" w:styleId="EndnoteTextChar">
    <w:name w:val="Endnote Text Char"/>
    <w:basedOn w:val="DefaultParagraphFont"/>
    <w:link w:val="EndnoteText"/>
    <w:uiPriority w:val="99"/>
    <w:rsid w:val="002348BC"/>
    <w:rPr>
      <w:rFonts w:ascii="Times New Roman" w:hAnsi="Times New Roman"/>
      <w:sz w:val="20"/>
      <w:szCs w:val="20"/>
    </w:rPr>
  </w:style>
  <w:style w:type="paragraph" w:styleId="HTMLPreformatted">
    <w:name w:val="HTML Preformatted"/>
    <w:basedOn w:val="Normal"/>
    <w:link w:val="HTMLPreformattedChar"/>
    <w:uiPriority w:val="99"/>
    <w:semiHidden/>
    <w:unhideWhenUsed/>
    <w:rsid w:val="002348BC"/>
    <w:rPr>
      <w:rFonts w:ascii="Consolas" w:hAnsi="Consolas"/>
      <w:sz w:val="20"/>
    </w:rPr>
  </w:style>
  <w:style w:type="character" w:customStyle="1" w:styleId="HTMLPreformattedChar">
    <w:name w:val="HTML Preformatted Char"/>
    <w:basedOn w:val="DefaultParagraphFont"/>
    <w:link w:val="HTMLPreformatted"/>
    <w:uiPriority w:val="99"/>
    <w:semiHidden/>
    <w:rsid w:val="002348BC"/>
    <w:rPr>
      <w:rFonts w:ascii="Consolas" w:hAnsi="Consolas"/>
      <w:sz w:val="20"/>
      <w:szCs w:val="20"/>
    </w:rPr>
  </w:style>
  <w:style w:type="paragraph" w:styleId="IndexHeading">
    <w:name w:val="index heading"/>
    <w:basedOn w:val="Normal"/>
    <w:next w:val="Index1"/>
    <w:uiPriority w:val="99"/>
    <w:semiHidden/>
    <w:unhideWhenUsed/>
    <w:rsid w:val="002348BC"/>
    <w:rPr>
      <w:rFonts w:asciiTheme="majorHAnsi" w:eastAsiaTheme="majorEastAsia" w:hAnsiTheme="majorHAnsi" w:cstheme="majorBidi"/>
      <w:b/>
      <w:bCs/>
    </w:rPr>
  </w:style>
  <w:style w:type="paragraph" w:styleId="MacroText">
    <w:name w:val="macro"/>
    <w:link w:val="MacroTextChar"/>
    <w:uiPriority w:val="99"/>
    <w:semiHidden/>
    <w:unhideWhenUsed/>
    <w:rsid w:val="002348B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2348BC"/>
    <w:rPr>
      <w:rFonts w:ascii="Consolas" w:hAnsi="Consolas"/>
      <w:sz w:val="20"/>
      <w:szCs w:val="20"/>
    </w:rPr>
  </w:style>
  <w:style w:type="paragraph" w:styleId="MessageHeader">
    <w:name w:val="Message Header"/>
    <w:basedOn w:val="Normal"/>
    <w:link w:val="MessageHeaderChar"/>
    <w:uiPriority w:val="99"/>
    <w:semiHidden/>
    <w:unhideWhenUsed/>
    <w:rsid w:val="002348B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348B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2348BC"/>
    <w:pPr>
      <w:spacing w:after="0" w:line="240" w:lineRule="auto"/>
    </w:pPr>
    <w:rPr>
      <w:rFonts w:ascii="Times New Roman" w:hAnsi="Times New Roman"/>
      <w:szCs w:val="20"/>
    </w:rPr>
  </w:style>
  <w:style w:type="paragraph" w:styleId="NoteHeading">
    <w:name w:val="Note Heading"/>
    <w:basedOn w:val="Normal"/>
    <w:next w:val="Normal"/>
    <w:link w:val="NoteHeadingChar"/>
    <w:uiPriority w:val="99"/>
    <w:semiHidden/>
    <w:unhideWhenUsed/>
    <w:rsid w:val="002348BC"/>
  </w:style>
  <w:style w:type="character" w:customStyle="1" w:styleId="NoteHeadingChar">
    <w:name w:val="Note Heading Char"/>
    <w:basedOn w:val="DefaultParagraphFont"/>
    <w:link w:val="NoteHeading"/>
    <w:uiPriority w:val="99"/>
    <w:semiHidden/>
    <w:rsid w:val="002348BC"/>
    <w:rPr>
      <w:rFonts w:ascii="Times New Roman" w:hAnsi="Times New Roman"/>
      <w:szCs w:val="20"/>
    </w:rPr>
  </w:style>
  <w:style w:type="paragraph" w:styleId="PlainText">
    <w:name w:val="Plain Text"/>
    <w:basedOn w:val="Normal"/>
    <w:link w:val="PlainTextChar"/>
    <w:uiPriority w:val="99"/>
    <w:semiHidden/>
    <w:unhideWhenUsed/>
    <w:rsid w:val="002348BC"/>
    <w:rPr>
      <w:rFonts w:ascii="Consolas" w:hAnsi="Consolas"/>
      <w:sz w:val="21"/>
      <w:szCs w:val="21"/>
    </w:rPr>
  </w:style>
  <w:style w:type="character" w:customStyle="1" w:styleId="PlainTextChar">
    <w:name w:val="Plain Text Char"/>
    <w:basedOn w:val="DefaultParagraphFont"/>
    <w:link w:val="PlainText"/>
    <w:uiPriority w:val="99"/>
    <w:semiHidden/>
    <w:rsid w:val="002348BC"/>
    <w:rPr>
      <w:rFonts w:ascii="Consolas" w:hAnsi="Consolas"/>
      <w:sz w:val="21"/>
      <w:szCs w:val="21"/>
    </w:rPr>
  </w:style>
  <w:style w:type="paragraph" w:styleId="Salutation">
    <w:name w:val="Salutation"/>
    <w:basedOn w:val="Normal"/>
    <w:next w:val="Normal"/>
    <w:link w:val="SalutationChar"/>
    <w:uiPriority w:val="99"/>
    <w:semiHidden/>
    <w:rsid w:val="002348BC"/>
  </w:style>
  <w:style w:type="character" w:customStyle="1" w:styleId="SalutationChar">
    <w:name w:val="Salutation Char"/>
    <w:basedOn w:val="DefaultParagraphFont"/>
    <w:link w:val="Salutation"/>
    <w:uiPriority w:val="99"/>
    <w:semiHidden/>
    <w:rsid w:val="002348BC"/>
    <w:rPr>
      <w:rFonts w:ascii="Times New Roman" w:hAnsi="Times New Roman"/>
      <w:szCs w:val="20"/>
    </w:rPr>
  </w:style>
  <w:style w:type="paragraph" w:styleId="Signature">
    <w:name w:val="Signature"/>
    <w:basedOn w:val="Normal"/>
    <w:link w:val="SignatureChar"/>
    <w:uiPriority w:val="99"/>
    <w:semiHidden/>
    <w:unhideWhenUsed/>
    <w:rsid w:val="002348BC"/>
    <w:pPr>
      <w:ind w:left="4320"/>
    </w:pPr>
  </w:style>
  <w:style w:type="character" w:customStyle="1" w:styleId="SignatureChar">
    <w:name w:val="Signature Char"/>
    <w:basedOn w:val="DefaultParagraphFont"/>
    <w:link w:val="Signature"/>
    <w:uiPriority w:val="99"/>
    <w:semiHidden/>
    <w:rsid w:val="002348BC"/>
    <w:rPr>
      <w:rFonts w:ascii="Times New Roman" w:hAnsi="Times New Roman"/>
      <w:szCs w:val="20"/>
    </w:rPr>
  </w:style>
  <w:style w:type="paragraph" w:styleId="TableofAuthorities">
    <w:name w:val="table of authorities"/>
    <w:basedOn w:val="Normal"/>
    <w:next w:val="Normal"/>
    <w:uiPriority w:val="99"/>
    <w:semiHidden/>
    <w:unhideWhenUsed/>
    <w:rsid w:val="002348BC"/>
    <w:pPr>
      <w:ind w:left="220" w:hanging="220"/>
    </w:pPr>
  </w:style>
  <w:style w:type="paragraph" w:styleId="TOAHeading">
    <w:name w:val="toa heading"/>
    <w:basedOn w:val="Normal"/>
    <w:next w:val="Normal"/>
    <w:uiPriority w:val="99"/>
    <w:semiHidden/>
    <w:unhideWhenUsed/>
    <w:rsid w:val="002348BC"/>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39233">
      <w:bodyDiv w:val="1"/>
      <w:marLeft w:val="0"/>
      <w:marRight w:val="0"/>
      <w:marTop w:val="0"/>
      <w:marBottom w:val="0"/>
      <w:divBdr>
        <w:top w:val="none" w:sz="0" w:space="0" w:color="auto"/>
        <w:left w:val="none" w:sz="0" w:space="0" w:color="auto"/>
        <w:bottom w:val="none" w:sz="0" w:space="0" w:color="auto"/>
        <w:right w:val="none" w:sz="0" w:space="0" w:color="auto"/>
      </w:divBdr>
    </w:div>
    <w:div w:id="175580469">
      <w:bodyDiv w:val="1"/>
      <w:marLeft w:val="0"/>
      <w:marRight w:val="0"/>
      <w:marTop w:val="0"/>
      <w:marBottom w:val="0"/>
      <w:divBdr>
        <w:top w:val="none" w:sz="0" w:space="0" w:color="auto"/>
        <w:left w:val="none" w:sz="0" w:space="0" w:color="auto"/>
        <w:bottom w:val="none" w:sz="0" w:space="0" w:color="auto"/>
        <w:right w:val="none" w:sz="0" w:space="0" w:color="auto"/>
      </w:divBdr>
    </w:div>
    <w:div w:id="177158867">
      <w:bodyDiv w:val="1"/>
      <w:marLeft w:val="0"/>
      <w:marRight w:val="0"/>
      <w:marTop w:val="0"/>
      <w:marBottom w:val="0"/>
      <w:divBdr>
        <w:top w:val="none" w:sz="0" w:space="0" w:color="auto"/>
        <w:left w:val="none" w:sz="0" w:space="0" w:color="auto"/>
        <w:bottom w:val="none" w:sz="0" w:space="0" w:color="auto"/>
        <w:right w:val="none" w:sz="0" w:space="0" w:color="auto"/>
      </w:divBdr>
    </w:div>
    <w:div w:id="363138682">
      <w:bodyDiv w:val="1"/>
      <w:marLeft w:val="0"/>
      <w:marRight w:val="0"/>
      <w:marTop w:val="0"/>
      <w:marBottom w:val="0"/>
      <w:divBdr>
        <w:top w:val="none" w:sz="0" w:space="0" w:color="auto"/>
        <w:left w:val="none" w:sz="0" w:space="0" w:color="auto"/>
        <w:bottom w:val="none" w:sz="0" w:space="0" w:color="auto"/>
        <w:right w:val="none" w:sz="0" w:space="0" w:color="auto"/>
      </w:divBdr>
    </w:div>
    <w:div w:id="427192673">
      <w:bodyDiv w:val="1"/>
      <w:marLeft w:val="0"/>
      <w:marRight w:val="0"/>
      <w:marTop w:val="0"/>
      <w:marBottom w:val="0"/>
      <w:divBdr>
        <w:top w:val="none" w:sz="0" w:space="0" w:color="auto"/>
        <w:left w:val="none" w:sz="0" w:space="0" w:color="auto"/>
        <w:bottom w:val="none" w:sz="0" w:space="0" w:color="auto"/>
        <w:right w:val="none" w:sz="0" w:space="0" w:color="auto"/>
      </w:divBdr>
    </w:div>
    <w:div w:id="535243021">
      <w:bodyDiv w:val="1"/>
      <w:marLeft w:val="0"/>
      <w:marRight w:val="0"/>
      <w:marTop w:val="0"/>
      <w:marBottom w:val="0"/>
      <w:divBdr>
        <w:top w:val="none" w:sz="0" w:space="0" w:color="auto"/>
        <w:left w:val="none" w:sz="0" w:space="0" w:color="auto"/>
        <w:bottom w:val="none" w:sz="0" w:space="0" w:color="auto"/>
        <w:right w:val="none" w:sz="0" w:space="0" w:color="auto"/>
      </w:divBdr>
    </w:div>
    <w:div w:id="574123204">
      <w:bodyDiv w:val="1"/>
      <w:marLeft w:val="0"/>
      <w:marRight w:val="0"/>
      <w:marTop w:val="0"/>
      <w:marBottom w:val="0"/>
      <w:divBdr>
        <w:top w:val="none" w:sz="0" w:space="0" w:color="auto"/>
        <w:left w:val="none" w:sz="0" w:space="0" w:color="auto"/>
        <w:bottom w:val="none" w:sz="0" w:space="0" w:color="auto"/>
        <w:right w:val="none" w:sz="0" w:space="0" w:color="auto"/>
      </w:divBdr>
    </w:div>
    <w:div w:id="660692114">
      <w:bodyDiv w:val="1"/>
      <w:marLeft w:val="0"/>
      <w:marRight w:val="0"/>
      <w:marTop w:val="0"/>
      <w:marBottom w:val="0"/>
      <w:divBdr>
        <w:top w:val="none" w:sz="0" w:space="0" w:color="auto"/>
        <w:left w:val="none" w:sz="0" w:space="0" w:color="auto"/>
        <w:bottom w:val="none" w:sz="0" w:space="0" w:color="auto"/>
        <w:right w:val="none" w:sz="0" w:space="0" w:color="auto"/>
      </w:divBdr>
      <w:divsChild>
        <w:div w:id="47801545">
          <w:marLeft w:val="0"/>
          <w:marRight w:val="0"/>
          <w:marTop w:val="0"/>
          <w:marBottom w:val="0"/>
          <w:divBdr>
            <w:top w:val="none" w:sz="0" w:space="0" w:color="auto"/>
            <w:left w:val="none" w:sz="0" w:space="0" w:color="auto"/>
            <w:bottom w:val="none" w:sz="0" w:space="0" w:color="auto"/>
            <w:right w:val="none" w:sz="0" w:space="0" w:color="auto"/>
          </w:divBdr>
        </w:div>
      </w:divsChild>
    </w:div>
    <w:div w:id="673192934">
      <w:bodyDiv w:val="1"/>
      <w:marLeft w:val="0"/>
      <w:marRight w:val="0"/>
      <w:marTop w:val="0"/>
      <w:marBottom w:val="0"/>
      <w:divBdr>
        <w:top w:val="none" w:sz="0" w:space="0" w:color="auto"/>
        <w:left w:val="none" w:sz="0" w:space="0" w:color="auto"/>
        <w:bottom w:val="none" w:sz="0" w:space="0" w:color="auto"/>
        <w:right w:val="none" w:sz="0" w:space="0" w:color="auto"/>
      </w:divBdr>
    </w:div>
    <w:div w:id="676424256">
      <w:bodyDiv w:val="1"/>
      <w:marLeft w:val="0"/>
      <w:marRight w:val="0"/>
      <w:marTop w:val="0"/>
      <w:marBottom w:val="0"/>
      <w:divBdr>
        <w:top w:val="none" w:sz="0" w:space="0" w:color="auto"/>
        <w:left w:val="none" w:sz="0" w:space="0" w:color="auto"/>
        <w:bottom w:val="none" w:sz="0" w:space="0" w:color="auto"/>
        <w:right w:val="none" w:sz="0" w:space="0" w:color="auto"/>
      </w:divBdr>
    </w:div>
    <w:div w:id="928349150">
      <w:bodyDiv w:val="1"/>
      <w:marLeft w:val="0"/>
      <w:marRight w:val="0"/>
      <w:marTop w:val="0"/>
      <w:marBottom w:val="0"/>
      <w:divBdr>
        <w:top w:val="none" w:sz="0" w:space="0" w:color="auto"/>
        <w:left w:val="none" w:sz="0" w:space="0" w:color="auto"/>
        <w:bottom w:val="none" w:sz="0" w:space="0" w:color="auto"/>
        <w:right w:val="none" w:sz="0" w:space="0" w:color="auto"/>
      </w:divBdr>
    </w:div>
    <w:div w:id="1093477999">
      <w:bodyDiv w:val="1"/>
      <w:marLeft w:val="0"/>
      <w:marRight w:val="0"/>
      <w:marTop w:val="0"/>
      <w:marBottom w:val="0"/>
      <w:divBdr>
        <w:top w:val="none" w:sz="0" w:space="0" w:color="auto"/>
        <w:left w:val="none" w:sz="0" w:space="0" w:color="auto"/>
        <w:bottom w:val="none" w:sz="0" w:space="0" w:color="auto"/>
        <w:right w:val="none" w:sz="0" w:space="0" w:color="auto"/>
      </w:divBdr>
    </w:div>
    <w:div w:id="1346636551">
      <w:bodyDiv w:val="1"/>
      <w:marLeft w:val="0"/>
      <w:marRight w:val="0"/>
      <w:marTop w:val="0"/>
      <w:marBottom w:val="0"/>
      <w:divBdr>
        <w:top w:val="none" w:sz="0" w:space="0" w:color="auto"/>
        <w:left w:val="none" w:sz="0" w:space="0" w:color="auto"/>
        <w:bottom w:val="none" w:sz="0" w:space="0" w:color="auto"/>
        <w:right w:val="none" w:sz="0" w:space="0" w:color="auto"/>
      </w:divBdr>
    </w:div>
    <w:div w:id="1524395421">
      <w:bodyDiv w:val="1"/>
      <w:marLeft w:val="0"/>
      <w:marRight w:val="0"/>
      <w:marTop w:val="0"/>
      <w:marBottom w:val="0"/>
      <w:divBdr>
        <w:top w:val="none" w:sz="0" w:space="0" w:color="auto"/>
        <w:left w:val="none" w:sz="0" w:space="0" w:color="auto"/>
        <w:bottom w:val="none" w:sz="0" w:space="0" w:color="auto"/>
        <w:right w:val="none" w:sz="0" w:space="0" w:color="auto"/>
      </w:divBdr>
    </w:div>
    <w:div w:id="1530333927">
      <w:bodyDiv w:val="1"/>
      <w:marLeft w:val="0"/>
      <w:marRight w:val="0"/>
      <w:marTop w:val="0"/>
      <w:marBottom w:val="0"/>
      <w:divBdr>
        <w:top w:val="none" w:sz="0" w:space="0" w:color="auto"/>
        <w:left w:val="none" w:sz="0" w:space="0" w:color="auto"/>
        <w:bottom w:val="none" w:sz="0" w:space="0" w:color="auto"/>
        <w:right w:val="none" w:sz="0" w:space="0" w:color="auto"/>
      </w:divBdr>
      <w:divsChild>
        <w:div w:id="811022419">
          <w:marLeft w:val="0"/>
          <w:marRight w:val="0"/>
          <w:marTop w:val="0"/>
          <w:marBottom w:val="0"/>
          <w:divBdr>
            <w:top w:val="none" w:sz="0" w:space="0" w:color="auto"/>
            <w:left w:val="none" w:sz="0" w:space="0" w:color="auto"/>
            <w:bottom w:val="none" w:sz="0" w:space="0" w:color="auto"/>
            <w:right w:val="none" w:sz="0" w:space="0" w:color="auto"/>
          </w:divBdr>
        </w:div>
      </w:divsChild>
    </w:div>
    <w:div w:id="1578516959">
      <w:bodyDiv w:val="1"/>
      <w:marLeft w:val="0"/>
      <w:marRight w:val="0"/>
      <w:marTop w:val="0"/>
      <w:marBottom w:val="0"/>
      <w:divBdr>
        <w:top w:val="none" w:sz="0" w:space="0" w:color="auto"/>
        <w:left w:val="none" w:sz="0" w:space="0" w:color="auto"/>
        <w:bottom w:val="none" w:sz="0" w:space="0" w:color="auto"/>
        <w:right w:val="none" w:sz="0" w:space="0" w:color="auto"/>
      </w:divBdr>
    </w:div>
    <w:div w:id="1635478465">
      <w:bodyDiv w:val="1"/>
      <w:marLeft w:val="0"/>
      <w:marRight w:val="0"/>
      <w:marTop w:val="0"/>
      <w:marBottom w:val="0"/>
      <w:divBdr>
        <w:top w:val="none" w:sz="0" w:space="0" w:color="auto"/>
        <w:left w:val="none" w:sz="0" w:space="0" w:color="auto"/>
        <w:bottom w:val="none" w:sz="0" w:space="0" w:color="auto"/>
        <w:right w:val="none" w:sz="0" w:space="0" w:color="auto"/>
      </w:divBdr>
    </w:div>
    <w:div w:id="1863085135">
      <w:bodyDiv w:val="1"/>
      <w:marLeft w:val="0"/>
      <w:marRight w:val="0"/>
      <w:marTop w:val="0"/>
      <w:marBottom w:val="0"/>
      <w:divBdr>
        <w:top w:val="none" w:sz="0" w:space="0" w:color="auto"/>
        <w:left w:val="none" w:sz="0" w:space="0" w:color="auto"/>
        <w:bottom w:val="none" w:sz="0" w:space="0" w:color="auto"/>
        <w:right w:val="none" w:sz="0" w:space="0" w:color="auto"/>
      </w:divBdr>
    </w:div>
    <w:div w:id="1865291718">
      <w:bodyDiv w:val="1"/>
      <w:marLeft w:val="0"/>
      <w:marRight w:val="0"/>
      <w:marTop w:val="0"/>
      <w:marBottom w:val="0"/>
      <w:divBdr>
        <w:top w:val="none" w:sz="0" w:space="0" w:color="auto"/>
        <w:left w:val="none" w:sz="0" w:space="0" w:color="auto"/>
        <w:bottom w:val="none" w:sz="0" w:space="0" w:color="auto"/>
        <w:right w:val="none" w:sz="0" w:space="0" w:color="auto"/>
      </w:divBdr>
    </w:div>
    <w:div w:id="2024672661">
      <w:bodyDiv w:val="1"/>
      <w:marLeft w:val="0"/>
      <w:marRight w:val="0"/>
      <w:marTop w:val="0"/>
      <w:marBottom w:val="0"/>
      <w:divBdr>
        <w:top w:val="none" w:sz="0" w:space="0" w:color="auto"/>
        <w:left w:val="none" w:sz="0" w:space="0" w:color="auto"/>
        <w:bottom w:val="none" w:sz="0" w:space="0" w:color="auto"/>
        <w:right w:val="none" w:sz="0" w:space="0" w:color="auto"/>
      </w:divBdr>
    </w:div>
    <w:div w:id="2042587076">
      <w:bodyDiv w:val="1"/>
      <w:marLeft w:val="0"/>
      <w:marRight w:val="0"/>
      <w:marTop w:val="0"/>
      <w:marBottom w:val="0"/>
      <w:divBdr>
        <w:top w:val="none" w:sz="0" w:space="0" w:color="auto"/>
        <w:left w:val="none" w:sz="0" w:space="0" w:color="auto"/>
        <w:bottom w:val="none" w:sz="0" w:space="0" w:color="auto"/>
        <w:right w:val="none" w:sz="0" w:space="0" w:color="auto"/>
      </w:divBdr>
    </w:div>
    <w:div w:id="205685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1.xml"/><Relationship Id="rId26" Type="http://schemas.openxmlformats.org/officeDocument/2006/relationships/header" Target="header8.xml"/><Relationship Id="rId39" Type="http://schemas.openxmlformats.org/officeDocument/2006/relationships/hyperlink" Target="https://maps.conservation.ca.gov/DLRP/CIFF/" TargetMode="External"/><Relationship Id="rId21" Type="http://schemas.openxmlformats.org/officeDocument/2006/relationships/footer" Target="footer3.xml"/><Relationship Id="rId34" Type="http://schemas.openxmlformats.org/officeDocument/2006/relationships/header" Target="header14.xml"/><Relationship Id="rId42" Type="http://schemas.openxmlformats.org/officeDocument/2006/relationships/hyperlink" Target="https://www.energy.ca.gov/data-reports/energy-almanac/transportation-energy/california-retail-fuel-outlet-annual-reporting" TargetMode="External"/><Relationship Id="rId47" Type="http://schemas.openxmlformats.org/officeDocument/2006/relationships/hyperlink" Target="https://www.ipcc.ch/report/ar3/wg1/" TargetMode="External"/><Relationship Id="rId50" Type="http://schemas.openxmlformats.org/officeDocument/2006/relationships/hyperlink" Target="https://www.codepublishing.com/CA/Carson/html/Carson05/Carson050500.html" TargetMode="External"/><Relationship Id="rId55" Type="http://schemas.openxmlformats.org/officeDocument/2006/relationships/header" Target="header18.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11.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footer" Target="footer7.xml"/><Relationship Id="rId37" Type="http://schemas.openxmlformats.org/officeDocument/2006/relationships/header" Target="header17.xml"/><Relationship Id="rId40" Type="http://schemas.openxmlformats.org/officeDocument/2006/relationships/hyperlink" Target="http://oehha.ca.gov/air/crnr/notice-adoption-air-toxics-hot-spots-program-guidance-manual-preparation-health-risk-0,%20accessed%20January%2018,%202022" TargetMode="External"/><Relationship Id="rId45" Type="http://schemas.openxmlformats.org/officeDocument/2006/relationships/hyperlink" Target="https://ww2.arb.ca.gov/rulemaking/2018/low-carbon-fuel-standard-and-alternative-diesel-fuels-regulation-2018" TargetMode="External"/><Relationship Id="rId53" Type="http://schemas.openxmlformats.org/officeDocument/2006/relationships/hyperlink" Target="https://www2.calrecycle.ca.gov/SolidWaste/Site/DataExport" TargetMode="External"/><Relationship Id="rId58" Type="http://schemas.openxmlformats.org/officeDocument/2006/relationships/glossaryDocument" Target="glossary/document.xml"/><Relationship Id="rId5" Type="http://schemas.openxmlformats.org/officeDocument/2006/relationships/customXml" Target="../customXml/item5.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5.xml"/><Relationship Id="rId43" Type="http://schemas.openxmlformats.org/officeDocument/2006/relationships/hyperlink" Target="https://cleanpoweralliance.org/wp-content/uploads/2019/01/Clean-Power-Alliance-Member-Agency-Default-Tier-Choices.pdf" TargetMode="External"/><Relationship Id="rId48" Type="http://schemas.openxmlformats.org/officeDocument/2006/relationships/hyperlink" Target="https://hazardsfema.maps.arcgis.com/apps/webappviewer/index.html?id=8b0adb51996444&#8204;d4879338b5529aa9cd&amp;extent=-118.26116474264134,33.87484125518119,-118.2509938060566,33.8837484827554" TargetMode="External"/><Relationship Id="rId56" Type="http://schemas.openxmlformats.org/officeDocument/2006/relationships/header" Target="header19.xml"/><Relationship Id="rId8" Type="http://schemas.openxmlformats.org/officeDocument/2006/relationships/settings" Target="settings.xml"/><Relationship Id="rId51" Type="http://schemas.openxmlformats.org/officeDocument/2006/relationships/hyperlink" Target="https://library.municode.com/ca/los_angeles_county/codes/code_of_ordinances?nodeId=16274"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eader" Target="header4.xml"/><Relationship Id="rId25" Type="http://schemas.openxmlformats.org/officeDocument/2006/relationships/footer" Target="footer5.xml"/><Relationship Id="rId33" Type="http://schemas.openxmlformats.org/officeDocument/2006/relationships/header" Target="header13.xml"/><Relationship Id="rId38" Type="http://schemas.openxmlformats.org/officeDocument/2006/relationships/hyperlink" Target="https://dot.ca.gov/programs/design/lap-landscape-architecture-and-community-livability/lap-liv-i-scenic-highways" TargetMode="External"/><Relationship Id="rId46" Type="http://schemas.openxmlformats.org/officeDocument/2006/relationships/hyperlink" Target="https://ww2.arb.ca.gov/our-work/programs/low-carbon-fuel-standard/lcfs-regulation" TargetMode="External"/><Relationship Id="rId59" Type="http://schemas.openxmlformats.org/officeDocument/2006/relationships/theme" Target="theme/theme1.xml"/><Relationship Id="rId20" Type="http://schemas.openxmlformats.org/officeDocument/2006/relationships/header" Target="header5.xml"/><Relationship Id="rId41" Type="http://schemas.openxmlformats.org/officeDocument/2006/relationships/hyperlink" Target="https://www.wildlife.ca.gov/Conservation/Planning/NCCP/Plans" TargetMode="External"/><Relationship Id="rId54" Type="http://schemas.openxmlformats.org/officeDocument/2006/relationships/hyperlink" Target="http://www.lacsd.org/services/wastewater-sewage/facilities/joint-water-pollution-control-plant/wastewater-treatment-process-at-jwpc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footer" Target="footer4.xml"/><Relationship Id="rId28" Type="http://schemas.openxmlformats.org/officeDocument/2006/relationships/header" Target="header10.xml"/><Relationship Id="rId36" Type="http://schemas.openxmlformats.org/officeDocument/2006/relationships/header" Target="header16.xml"/><Relationship Id="rId49" Type="http://schemas.openxmlformats.org/officeDocument/2006/relationships/hyperlink" Target="https://maps.conservation.ca.gov/cgs/informationwarehouse/mlc/"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footer" Target="footer6.xml"/><Relationship Id="rId44" Type="http://schemas.openxmlformats.org/officeDocument/2006/relationships/hyperlink" Target="https://maps.conservation.ca.gov/cgs/EQZApp/app/" TargetMode="External"/><Relationship Id="rId52" Type="http://schemas.openxmlformats.org/officeDocument/2006/relationships/hyperlink" Target="https://lasd.org/stat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B8F1B523E74374AEFD6206CB2B6496"/>
        <w:category>
          <w:name w:val="General"/>
          <w:gallery w:val="placeholder"/>
        </w:category>
        <w:types>
          <w:type w:val="bbPlcHdr"/>
        </w:types>
        <w:behaviors>
          <w:behavior w:val="content"/>
        </w:behaviors>
        <w:guid w:val="{0C0AA15E-76A3-4243-9DB1-4B55240DB323}"/>
      </w:docPartPr>
      <w:docPartBody>
        <w:p w:rsidR="00547D66" w:rsidRDefault="00C8293F">
          <w:pPr>
            <w:pStyle w:val="EDB8F1B523E74374AEFD6206CB2B6496"/>
          </w:pPr>
          <w:r w:rsidRPr="009665D1">
            <w:rPr>
              <w:rStyle w:val="PlaceholderText"/>
            </w:rPr>
            <w:t>[</w:t>
          </w:r>
          <w:r>
            <w:rPr>
              <w:rStyle w:val="PlaceholderText"/>
            </w:rPr>
            <w:t>Draft phase here</w:t>
          </w:r>
          <w:r w:rsidRPr="009665D1">
            <w:rPr>
              <w:rStyle w:val="PlaceholderText"/>
            </w:rPr>
            <w:t>]</w:t>
          </w:r>
        </w:p>
      </w:docPartBody>
    </w:docPart>
    <w:docPart>
      <w:docPartPr>
        <w:name w:val="5D915306C8884454893C3439841A07B2"/>
        <w:category>
          <w:name w:val="General"/>
          <w:gallery w:val="placeholder"/>
        </w:category>
        <w:types>
          <w:type w:val="bbPlcHdr"/>
        </w:types>
        <w:behaviors>
          <w:behavior w:val="content"/>
        </w:behaviors>
        <w:guid w:val="{6B81EEE3-5875-4BF9-A6A0-5CEB074B4560}"/>
      </w:docPartPr>
      <w:docPartBody>
        <w:p w:rsidR="00547D66" w:rsidRDefault="00C8293F">
          <w:pPr>
            <w:pStyle w:val="5D915306C8884454893C3439841A07B2"/>
          </w:pPr>
          <w:r w:rsidRPr="00F7182D">
            <w:rPr>
              <w:rStyle w:val="PlaceholderText"/>
            </w:rPr>
            <w:t>[</w:t>
          </w:r>
          <w:r>
            <w:rPr>
              <w:rStyle w:val="PlaceholderText"/>
            </w:rPr>
            <w:t>click here and Enter project title</w:t>
          </w:r>
          <w:r w:rsidRPr="00F7182D">
            <w:rPr>
              <w:rStyle w:val="PlaceholderText"/>
            </w:rPr>
            <w:t>]</w:t>
          </w:r>
        </w:p>
      </w:docPartBody>
    </w:docPart>
    <w:docPart>
      <w:docPartPr>
        <w:name w:val="EE2CD40723C747CE9DD773D847ED3117"/>
        <w:category>
          <w:name w:val="General"/>
          <w:gallery w:val="placeholder"/>
        </w:category>
        <w:types>
          <w:type w:val="bbPlcHdr"/>
        </w:types>
        <w:behaviors>
          <w:behavior w:val="content"/>
        </w:behaviors>
        <w:guid w:val="{0B3E0605-867B-4382-9A7A-32E525B548B4}"/>
      </w:docPartPr>
      <w:docPartBody>
        <w:p w:rsidR="00547D66" w:rsidRDefault="00C8293F">
          <w:pPr>
            <w:pStyle w:val="EE2CD40723C747CE9DD773D847ED3117"/>
          </w:pPr>
          <w:r w:rsidRPr="006546C6">
            <w:rPr>
              <w:rStyle w:val="PlaceholderText"/>
              <w:sz w:val="29"/>
              <w:szCs w:val="29"/>
            </w:rPr>
            <w:t>[</w:t>
          </w:r>
          <w:r>
            <w:rPr>
              <w:rStyle w:val="PlaceholderText"/>
              <w:sz w:val="29"/>
              <w:szCs w:val="29"/>
            </w:rPr>
            <w:t xml:space="preserve">Click here and enter </w:t>
          </w:r>
          <w:r w:rsidRPr="006546C6">
            <w:rPr>
              <w:rStyle w:val="PlaceholderText"/>
              <w:sz w:val="29"/>
              <w:szCs w:val="29"/>
            </w:rPr>
            <w:t>Type of Services]</w:t>
          </w:r>
        </w:p>
      </w:docPartBody>
    </w:docPart>
    <w:docPart>
      <w:docPartPr>
        <w:name w:val="25651217A77A456BA08158884A5D3D87"/>
        <w:category>
          <w:name w:val="General"/>
          <w:gallery w:val="placeholder"/>
        </w:category>
        <w:types>
          <w:type w:val="bbPlcHdr"/>
        </w:types>
        <w:behaviors>
          <w:behavior w:val="content"/>
        </w:behaviors>
        <w:guid w:val="{7F0683F7-DEFA-4676-8439-FF7801B2DBCF}"/>
      </w:docPartPr>
      <w:docPartBody>
        <w:p w:rsidR="00547D66" w:rsidRDefault="00C8293F">
          <w:pPr>
            <w:pStyle w:val="25651217A77A456BA08158884A5D3D87"/>
          </w:pPr>
          <w:r w:rsidRPr="009665D1">
            <w:rPr>
              <w:rStyle w:val="PlaceholderText"/>
            </w:rPr>
            <w:t>[</w:t>
          </w:r>
          <w:r>
            <w:rPr>
              <w:rStyle w:val="PlaceholderText"/>
            </w:rPr>
            <w:t>Enter Month Year (e.g. March 2016)</w:t>
          </w:r>
          <w:r w:rsidRPr="009665D1">
            <w:rPr>
              <w:rStyle w:val="PlaceholderText"/>
            </w:rPr>
            <w:t>]</w:t>
          </w:r>
        </w:p>
      </w:docPartBody>
    </w:docPart>
    <w:docPart>
      <w:docPartPr>
        <w:name w:val="67A2917B20A444B0B6DCDE146D6AB240"/>
        <w:category>
          <w:name w:val="General"/>
          <w:gallery w:val="placeholder"/>
        </w:category>
        <w:types>
          <w:type w:val="bbPlcHdr"/>
        </w:types>
        <w:behaviors>
          <w:behavior w:val="content"/>
        </w:behaviors>
        <w:guid w:val="{15DE3D66-30D3-46AF-8455-864BEF25B94A}"/>
      </w:docPartPr>
      <w:docPartBody>
        <w:p w:rsidR="00547D66" w:rsidRDefault="00C8293F">
          <w:pPr>
            <w:pStyle w:val="67A2917B20A444B0B6DCDE146D6AB240"/>
          </w:pPr>
          <w:r w:rsidRPr="009665D1">
            <w:rPr>
              <w:rStyle w:val="PlaceholderText"/>
            </w:rPr>
            <w:t>[</w:t>
          </w:r>
          <w:r>
            <w:rPr>
              <w:rStyle w:val="PlaceholderText"/>
            </w:rPr>
            <w:t>Click here and enter Client Name</w:t>
          </w:r>
          <w:r w:rsidRPr="009665D1">
            <w:rPr>
              <w:rStyle w:val="PlaceholderText"/>
            </w:rPr>
            <w:t>]</w:t>
          </w:r>
        </w:p>
      </w:docPartBody>
    </w:docPart>
    <w:docPart>
      <w:docPartPr>
        <w:name w:val="9A1E0AD985F74FB3AF993859DF93407F"/>
        <w:category>
          <w:name w:val="General"/>
          <w:gallery w:val="placeholder"/>
        </w:category>
        <w:types>
          <w:type w:val="bbPlcHdr"/>
        </w:types>
        <w:behaviors>
          <w:behavior w:val="content"/>
        </w:behaviors>
        <w:guid w:val="{742217F7-D6F9-40C5-90FA-79CB9E644CC8}"/>
      </w:docPartPr>
      <w:docPartBody>
        <w:p w:rsidR="00547D66" w:rsidRDefault="00C8293F">
          <w:pPr>
            <w:pStyle w:val="9A1E0AD985F74FB3AF993859DF93407F"/>
          </w:pPr>
          <w:r w:rsidRPr="00FB07B9">
            <w:rPr>
              <w:rStyle w:val="PlaceholderText"/>
              <w:rFonts w:ascii="HelveticaNeueLT Std" w:hAnsi="HelveticaNeueLT Std"/>
              <w:color w:val="FF0000"/>
              <w:sz w:val="16"/>
              <w:szCs w:val="16"/>
            </w:rPr>
            <w:t xml:space="preserve">Click here and down arrow to select </w:t>
          </w:r>
          <w:r>
            <w:rPr>
              <w:rStyle w:val="PlaceholderText"/>
              <w:rFonts w:ascii="HelveticaNeueLT Std" w:hAnsi="HelveticaNeueLT Std"/>
              <w:color w:val="FF0000"/>
              <w:sz w:val="16"/>
              <w:szCs w:val="16"/>
            </w:rPr>
            <w:t xml:space="preserve">Color </w:t>
          </w:r>
          <w:r w:rsidRPr="00FB07B9">
            <w:rPr>
              <w:rStyle w:val="PlaceholderText"/>
              <w:rFonts w:ascii="HelveticaNeueLT Std" w:hAnsi="HelveticaNeueLT Std"/>
              <w:color w:val="FF0000"/>
              <w:sz w:val="16"/>
              <w:szCs w:val="16"/>
            </w:rPr>
            <w:t>logo</w:t>
          </w:r>
        </w:p>
      </w:docPartBody>
    </w:docPart>
    <w:docPart>
      <w:docPartPr>
        <w:name w:val="398F2DD456884AA6B310DECEBECA3E41"/>
        <w:category>
          <w:name w:val="General"/>
          <w:gallery w:val="placeholder"/>
        </w:category>
        <w:types>
          <w:type w:val="bbPlcHdr"/>
        </w:types>
        <w:behaviors>
          <w:behavior w:val="content"/>
        </w:behaviors>
        <w:guid w:val="{6862AB65-1635-4264-921F-1582EEDA2CEB}"/>
      </w:docPartPr>
      <w:docPartBody>
        <w:p w:rsidR="00547D66" w:rsidRDefault="00C8293F">
          <w:pPr>
            <w:pStyle w:val="398F2DD456884AA6B310DECEBECA3E41"/>
          </w:pPr>
          <w:r w:rsidRPr="009665D1">
            <w:rPr>
              <w:rStyle w:val="PlaceholderText"/>
            </w:rPr>
            <w:t>[</w:t>
          </w:r>
          <w:r>
            <w:rPr>
              <w:rStyle w:val="PlaceholderText"/>
            </w:rPr>
            <w:t>Draft phase here</w:t>
          </w:r>
          <w:r w:rsidRPr="009665D1">
            <w:rPr>
              <w:rStyle w:val="PlaceholderText"/>
            </w:rPr>
            <w:t>]</w:t>
          </w:r>
        </w:p>
      </w:docPartBody>
    </w:docPart>
    <w:docPart>
      <w:docPartPr>
        <w:name w:val="4D16CECC71444CABAAD0A9230B853F06"/>
        <w:category>
          <w:name w:val="General"/>
          <w:gallery w:val="placeholder"/>
        </w:category>
        <w:types>
          <w:type w:val="bbPlcHdr"/>
        </w:types>
        <w:behaviors>
          <w:behavior w:val="content"/>
        </w:behaviors>
        <w:guid w:val="{0DC677FF-7E8C-4F0C-AA2F-4B5CA4EAF686}"/>
      </w:docPartPr>
      <w:docPartBody>
        <w:p w:rsidR="00547D66" w:rsidRDefault="00C8293F">
          <w:pPr>
            <w:pStyle w:val="4D16CECC71444CABAAD0A9230B853F06"/>
          </w:pPr>
          <w:r w:rsidRPr="00F7182D">
            <w:rPr>
              <w:rStyle w:val="PlaceholderText"/>
            </w:rPr>
            <w:t>[</w:t>
          </w:r>
          <w:r>
            <w:rPr>
              <w:rStyle w:val="PlaceholderText"/>
            </w:rPr>
            <w:t xml:space="preserve">project </w:t>
          </w:r>
          <w:r w:rsidRPr="00F7182D">
            <w:rPr>
              <w:rStyle w:val="PlaceholderText"/>
            </w:rPr>
            <w:t>Title</w:t>
          </w:r>
          <w:r>
            <w:rPr>
              <w:rStyle w:val="PlaceholderText"/>
            </w:rPr>
            <w:t xml:space="preserve"> here</w:t>
          </w:r>
          <w:r w:rsidRPr="00F7182D">
            <w:rPr>
              <w:rStyle w:val="PlaceholderText"/>
            </w:rPr>
            <w:t>]</w:t>
          </w:r>
        </w:p>
      </w:docPartBody>
    </w:docPart>
    <w:docPart>
      <w:docPartPr>
        <w:name w:val="D93CE709A14B41A0813E6EE7B498B7AA"/>
        <w:category>
          <w:name w:val="General"/>
          <w:gallery w:val="placeholder"/>
        </w:category>
        <w:types>
          <w:type w:val="bbPlcHdr"/>
        </w:types>
        <w:behaviors>
          <w:behavior w:val="content"/>
        </w:behaviors>
        <w:guid w:val="{280620B7-DF70-466F-8611-175150E945C6}"/>
      </w:docPartPr>
      <w:docPartBody>
        <w:p w:rsidR="00547D66" w:rsidRDefault="00C8293F">
          <w:pPr>
            <w:pStyle w:val="D93CE709A14B41A0813E6EE7B498B7AA"/>
          </w:pPr>
          <w:r w:rsidRPr="006546C6">
            <w:rPr>
              <w:rStyle w:val="PlaceholderText"/>
              <w:sz w:val="29"/>
              <w:szCs w:val="29"/>
            </w:rPr>
            <w:t>[Type of Services</w:t>
          </w:r>
          <w:r>
            <w:rPr>
              <w:rStyle w:val="PlaceholderText"/>
              <w:sz w:val="29"/>
              <w:szCs w:val="29"/>
            </w:rPr>
            <w:t xml:space="preserve"> here</w:t>
          </w:r>
          <w:r w:rsidRPr="006546C6">
            <w:rPr>
              <w:rStyle w:val="PlaceholderText"/>
              <w:sz w:val="29"/>
              <w:szCs w:val="29"/>
            </w:rPr>
            <w:t>]</w:t>
          </w:r>
        </w:p>
      </w:docPartBody>
    </w:docPart>
    <w:docPart>
      <w:docPartPr>
        <w:name w:val="A7DBB6282CE94BB697886F28AEA9F8BF"/>
        <w:category>
          <w:name w:val="General"/>
          <w:gallery w:val="placeholder"/>
        </w:category>
        <w:types>
          <w:type w:val="bbPlcHdr"/>
        </w:types>
        <w:behaviors>
          <w:behavior w:val="content"/>
        </w:behaviors>
        <w:guid w:val="{6CDD6C32-B053-4709-9560-94894D3C0C03}"/>
      </w:docPartPr>
      <w:docPartBody>
        <w:p w:rsidR="00547D66" w:rsidRDefault="00C8293F">
          <w:pPr>
            <w:pStyle w:val="A7DBB6282CE94BB697886F28AEA9F8BF"/>
          </w:pPr>
          <w:r w:rsidRPr="009665D1">
            <w:rPr>
              <w:rStyle w:val="PlaceholderText"/>
            </w:rPr>
            <w:t>[</w:t>
          </w:r>
          <w:r>
            <w:rPr>
              <w:rStyle w:val="PlaceholderText"/>
            </w:rPr>
            <w:t>Month Year here</w:t>
          </w:r>
          <w:r w:rsidRPr="009665D1">
            <w:rPr>
              <w:rStyle w:val="PlaceholderText"/>
            </w:rPr>
            <w:t>]</w:t>
          </w:r>
        </w:p>
      </w:docPartBody>
    </w:docPart>
    <w:docPart>
      <w:docPartPr>
        <w:name w:val="5FE568E567DB40D688F29A9D4DA9B8C7"/>
        <w:category>
          <w:name w:val="General"/>
          <w:gallery w:val="placeholder"/>
        </w:category>
        <w:types>
          <w:type w:val="bbPlcHdr"/>
        </w:types>
        <w:behaviors>
          <w:behavior w:val="content"/>
        </w:behaviors>
        <w:guid w:val="{EF14B44F-AEEB-413E-9DB9-1CBD9DDFD9B8}"/>
      </w:docPartPr>
      <w:docPartBody>
        <w:p w:rsidR="00547D66" w:rsidRDefault="00C8293F">
          <w:pPr>
            <w:pStyle w:val="5FE568E567DB40D688F29A9D4DA9B8C7"/>
          </w:pPr>
          <w:r w:rsidRPr="009665D1">
            <w:rPr>
              <w:rStyle w:val="PlaceholderText"/>
            </w:rPr>
            <w:t>[</w:t>
          </w:r>
          <w:r>
            <w:rPr>
              <w:rStyle w:val="PlaceholderText"/>
            </w:rPr>
            <w:t>Client Name here</w:t>
          </w:r>
          <w:r w:rsidRPr="009665D1">
            <w:rPr>
              <w:rStyle w:val="PlaceholderText"/>
            </w:rPr>
            <w:t>]</w:t>
          </w:r>
        </w:p>
      </w:docPartBody>
    </w:docPart>
    <w:docPart>
      <w:docPartPr>
        <w:name w:val="70E2A872458149CEA5E8058E8C0C4E03"/>
        <w:category>
          <w:name w:val="General"/>
          <w:gallery w:val="placeholder"/>
        </w:category>
        <w:types>
          <w:type w:val="bbPlcHdr"/>
        </w:types>
        <w:behaviors>
          <w:behavior w:val="content"/>
        </w:behaviors>
        <w:guid w:val="{326D5CEE-8485-4235-BBCD-0772A3BBD780}"/>
      </w:docPartPr>
      <w:docPartBody>
        <w:p w:rsidR="00547D66" w:rsidRDefault="00C8293F">
          <w:pPr>
            <w:pStyle w:val="70E2A872458149CEA5E8058E8C0C4E03"/>
          </w:pPr>
          <w:r w:rsidRPr="00D36FE5">
            <w:rPr>
              <w:rStyle w:val="PlaceholderText"/>
              <w:rFonts w:eastAsiaTheme="minorHAnsi"/>
              <w:color w:val="FF0000"/>
            </w:rPr>
            <w:t>Click here and down arrow to select office address</w:t>
          </w:r>
        </w:p>
      </w:docPartBody>
    </w:docPart>
    <w:docPart>
      <w:docPartPr>
        <w:name w:val="19D076232EAE4A8EB54D6ADEB41B3985"/>
        <w:category>
          <w:name w:val="General"/>
          <w:gallery w:val="placeholder"/>
        </w:category>
        <w:types>
          <w:type w:val="bbPlcHdr"/>
        </w:types>
        <w:behaviors>
          <w:behavior w:val="content"/>
        </w:behaviors>
        <w:guid w:val="{0202E18F-8DEA-46EC-BCCC-17295CCFDCCE}"/>
      </w:docPartPr>
      <w:docPartBody>
        <w:p w:rsidR="00547D66" w:rsidRDefault="00C8293F">
          <w:pPr>
            <w:pStyle w:val="19D076232EAE4A8EB54D6ADEB41B3985"/>
          </w:pPr>
          <w:r w:rsidRPr="0090536F">
            <w:rPr>
              <w:rStyle w:val="PlaceholderText"/>
              <w:rFonts w:ascii="HelveticaNeueLT Std" w:hAnsi="HelveticaNeueLT Std"/>
              <w:color w:val="FF0000"/>
              <w:sz w:val="16"/>
              <w:szCs w:val="16"/>
            </w:rPr>
            <w:t>Click here and down arrow to select Black/White logo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2000509000000000000"/>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7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panose1 w:val="020B0604020202020204"/>
    <w:charset w:val="00"/>
    <w:family w:val="swiss"/>
    <w:notTrueType/>
    <w:pitch w:val="variable"/>
    <w:sig w:usb0="800000AF" w:usb1="4000204A" w:usb2="00000000" w:usb3="00000000" w:csb0="00000001" w:csb1="00000000"/>
  </w:font>
  <w:font w:name="HelveticaNeueLT Std Thin">
    <w:panose1 w:val="020B0403020202020204"/>
    <w:charset w:val="00"/>
    <w:family w:val="swiss"/>
    <w:notTrueType/>
    <w:pitch w:val="variable"/>
    <w:sig w:usb0="800000AF" w:usb1="4000204A" w:usb2="00000000" w:usb3="00000000" w:csb0="00000001" w:csb1="00000000"/>
  </w:font>
  <w:font w:name="Helvetica 25 UltraLight">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293F"/>
    <w:rsid w:val="00025703"/>
    <w:rsid w:val="000468BA"/>
    <w:rsid w:val="00050FDE"/>
    <w:rsid w:val="000575C0"/>
    <w:rsid w:val="00092838"/>
    <w:rsid w:val="000934C0"/>
    <w:rsid w:val="000C0C52"/>
    <w:rsid w:val="000C6F39"/>
    <w:rsid w:val="001100FA"/>
    <w:rsid w:val="00134823"/>
    <w:rsid w:val="0015618E"/>
    <w:rsid w:val="00160FFE"/>
    <w:rsid w:val="00185951"/>
    <w:rsid w:val="00187F2A"/>
    <w:rsid w:val="001A664D"/>
    <w:rsid w:val="001D55C7"/>
    <w:rsid w:val="001E5892"/>
    <w:rsid w:val="001F75FA"/>
    <w:rsid w:val="0026429D"/>
    <w:rsid w:val="00276724"/>
    <w:rsid w:val="00292395"/>
    <w:rsid w:val="002B70C2"/>
    <w:rsid w:val="00304F02"/>
    <w:rsid w:val="0030558A"/>
    <w:rsid w:val="00314DD5"/>
    <w:rsid w:val="00386040"/>
    <w:rsid w:val="00386B31"/>
    <w:rsid w:val="00395A52"/>
    <w:rsid w:val="003A0BD8"/>
    <w:rsid w:val="003A28DE"/>
    <w:rsid w:val="003D0AA0"/>
    <w:rsid w:val="003D5CE0"/>
    <w:rsid w:val="003F2871"/>
    <w:rsid w:val="004B5B46"/>
    <w:rsid w:val="004E25E2"/>
    <w:rsid w:val="004E2760"/>
    <w:rsid w:val="004F720B"/>
    <w:rsid w:val="0050115A"/>
    <w:rsid w:val="005479E3"/>
    <w:rsid w:val="00547D66"/>
    <w:rsid w:val="00561BE5"/>
    <w:rsid w:val="0057350E"/>
    <w:rsid w:val="00581C7F"/>
    <w:rsid w:val="005B5E82"/>
    <w:rsid w:val="005C6586"/>
    <w:rsid w:val="005C676C"/>
    <w:rsid w:val="005E2C48"/>
    <w:rsid w:val="005E5588"/>
    <w:rsid w:val="00615DE6"/>
    <w:rsid w:val="006337D2"/>
    <w:rsid w:val="00641127"/>
    <w:rsid w:val="00661AAF"/>
    <w:rsid w:val="00670358"/>
    <w:rsid w:val="006D3F6E"/>
    <w:rsid w:val="00723FFA"/>
    <w:rsid w:val="007B0046"/>
    <w:rsid w:val="007B6F6E"/>
    <w:rsid w:val="008866BB"/>
    <w:rsid w:val="008C5299"/>
    <w:rsid w:val="008D1D7A"/>
    <w:rsid w:val="008E6639"/>
    <w:rsid w:val="008F0141"/>
    <w:rsid w:val="00985481"/>
    <w:rsid w:val="00993C8F"/>
    <w:rsid w:val="009A5854"/>
    <w:rsid w:val="009A5FE8"/>
    <w:rsid w:val="009C0319"/>
    <w:rsid w:val="00A02297"/>
    <w:rsid w:val="00A25BC0"/>
    <w:rsid w:val="00A36B0F"/>
    <w:rsid w:val="00A476C2"/>
    <w:rsid w:val="00A63FE3"/>
    <w:rsid w:val="00A81A56"/>
    <w:rsid w:val="00AD35F5"/>
    <w:rsid w:val="00AE0225"/>
    <w:rsid w:val="00AE2B72"/>
    <w:rsid w:val="00B1304E"/>
    <w:rsid w:val="00B56846"/>
    <w:rsid w:val="00B81DFC"/>
    <w:rsid w:val="00B83019"/>
    <w:rsid w:val="00BC1AD4"/>
    <w:rsid w:val="00BF37B2"/>
    <w:rsid w:val="00C72DD7"/>
    <w:rsid w:val="00C822F0"/>
    <w:rsid w:val="00C8293F"/>
    <w:rsid w:val="00D10BC0"/>
    <w:rsid w:val="00D115CA"/>
    <w:rsid w:val="00D14DED"/>
    <w:rsid w:val="00D151EE"/>
    <w:rsid w:val="00D21998"/>
    <w:rsid w:val="00D2353C"/>
    <w:rsid w:val="00D25FF1"/>
    <w:rsid w:val="00D51E65"/>
    <w:rsid w:val="00D73103"/>
    <w:rsid w:val="00D96B5A"/>
    <w:rsid w:val="00DB2A44"/>
    <w:rsid w:val="00DB44C3"/>
    <w:rsid w:val="00DE0FD2"/>
    <w:rsid w:val="00DF4E0D"/>
    <w:rsid w:val="00E007DF"/>
    <w:rsid w:val="00E13F48"/>
    <w:rsid w:val="00E15D91"/>
    <w:rsid w:val="00E37372"/>
    <w:rsid w:val="00E40E1E"/>
    <w:rsid w:val="00EC2757"/>
    <w:rsid w:val="00ED6C4D"/>
    <w:rsid w:val="00EF14EE"/>
    <w:rsid w:val="00EF3C07"/>
    <w:rsid w:val="00F52EBF"/>
    <w:rsid w:val="00F64E03"/>
    <w:rsid w:val="00F67BAE"/>
    <w:rsid w:val="00F75E09"/>
    <w:rsid w:val="00F773D4"/>
    <w:rsid w:val="00F80688"/>
    <w:rsid w:val="00F941FA"/>
    <w:rsid w:val="00F96F5C"/>
    <w:rsid w:val="00FB2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DB8F1B523E74374AEFD6206CB2B6496">
    <w:name w:val="EDB8F1B523E74374AEFD6206CB2B6496"/>
  </w:style>
  <w:style w:type="paragraph" w:customStyle="1" w:styleId="5D915306C8884454893C3439841A07B2">
    <w:name w:val="5D915306C8884454893C3439841A07B2"/>
  </w:style>
  <w:style w:type="paragraph" w:customStyle="1" w:styleId="EE2CD40723C747CE9DD773D847ED3117">
    <w:name w:val="EE2CD40723C747CE9DD773D847ED3117"/>
  </w:style>
  <w:style w:type="paragraph" w:customStyle="1" w:styleId="25651217A77A456BA08158884A5D3D87">
    <w:name w:val="25651217A77A456BA08158884A5D3D87"/>
  </w:style>
  <w:style w:type="paragraph" w:customStyle="1" w:styleId="67A2917B20A444B0B6DCDE146D6AB240">
    <w:name w:val="67A2917B20A444B0B6DCDE146D6AB240"/>
  </w:style>
  <w:style w:type="paragraph" w:customStyle="1" w:styleId="9A1E0AD985F74FB3AF993859DF93407F">
    <w:name w:val="9A1E0AD985F74FB3AF993859DF93407F"/>
  </w:style>
  <w:style w:type="paragraph" w:customStyle="1" w:styleId="398F2DD456884AA6B310DECEBECA3E41">
    <w:name w:val="398F2DD456884AA6B310DECEBECA3E41"/>
  </w:style>
  <w:style w:type="paragraph" w:customStyle="1" w:styleId="4D16CECC71444CABAAD0A9230B853F06">
    <w:name w:val="4D16CECC71444CABAAD0A9230B853F06"/>
  </w:style>
  <w:style w:type="paragraph" w:customStyle="1" w:styleId="D93CE709A14B41A0813E6EE7B498B7AA">
    <w:name w:val="D93CE709A14B41A0813E6EE7B498B7AA"/>
  </w:style>
  <w:style w:type="paragraph" w:customStyle="1" w:styleId="A7DBB6282CE94BB697886F28AEA9F8BF">
    <w:name w:val="A7DBB6282CE94BB697886F28AEA9F8BF"/>
  </w:style>
  <w:style w:type="paragraph" w:customStyle="1" w:styleId="5FE568E567DB40D688F29A9D4DA9B8C7">
    <w:name w:val="5FE568E567DB40D688F29A9D4DA9B8C7"/>
  </w:style>
  <w:style w:type="paragraph" w:customStyle="1" w:styleId="70E2A872458149CEA5E8058E8C0C4E03">
    <w:name w:val="70E2A872458149CEA5E8058E8C0C4E03"/>
  </w:style>
  <w:style w:type="paragraph" w:customStyle="1" w:styleId="19D076232EAE4A8EB54D6ADEB41B3985">
    <w:name w:val="19D076232EAE4A8EB54D6ADEB41B39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2016-03-26T00:00:00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70e77ad2-e84b-4a24-aade-05b053ecbb7f">
      <UserInfo>
        <DisplayName>Aaron Weiner</DisplayName>
        <AccountId>78</AccountId>
        <AccountType/>
      </UserInfo>
      <UserInfo>
        <DisplayName>Jacqueline De La Rocha</DisplayName>
        <AccountId>146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ct:contentTypeSchema xmlns:ct="http://schemas.microsoft.com/office/2006/metadata/contentType" xmlns:ma="http://schemas.microsoft.com/office/2006/metadata/properties/metaAttributes" ct:_="" ma:_="" ma:contentTypeName="Document" ma:contentTypeID="0x010100228AC76EB6963147AD6C177C5AFD88E1" ma:contentTypeVersion="6" ma:contentTypeDescription="Create a new document." ma:contentTypeScope="" ma:versionID="070f27039d94f01f0b26dd9b45937617">
  <xsd:schema xmlns:xsd="http://www.w3.org/2001/XMLSchema" xmlns:xs="http://www.w3.org/2001/XMLSchema" xmlns:p="http://schemas.microsoft.com/office/2006/metadata/properties" xmlns:ns2="70e77ad2-e84b-4a24-aade-05b053ecbb7f" xmlns:ns3="19582322-dc36-42c2-a7fe-084d8a7c7d96" targetNamespace="http://schemas.microsoft.com/office/2006/metadata/properties" ma:root="true" ma:fieldsID="19f974521570435c6f55eb0092cb7a45" ns2:_="" ns3:_="">
    <xsd:import namespace="70e77ad2-e84b-4a24-aade-05b053ecbb7f"/>
    <xsd:import namespace="19582322-dc36-42c2-a7fe-084d8a7c7d9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77ad2-e84b-4a24-aade-05b053ecbb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582322-dc36-42c2-a7fe-084d8a7c7d9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E9D987-1887-40BE-AEC0-FCB1972AFC8E}">
  <ds:schemaRefs>
    <ds:schemaRef ds:uri="http://schemas.microsoft.com/office/2006/metadata/properties"/>
    <ds:schemaRef ds:uri="http://schemas.microsoft.com/office/infopath/2007/PartnerControls"/>
    <ds:schemaRef ds:uri="70e77ad2-e84b-4a24-aade-05b053ecbb7f"/>
  </ds:schemaRefs>
</ds:datastoreItem>
</file>

<file path=customXml/itemProps3.xml><?xml version="1.0" encoding="utf-8"?>
<ds:datastoreItem xmlns:ds="http://schemas.openxmlformats.org/officeDocument/2006/customXml" ds:itemID="{F87F4280-FC83-40A8-B6DE-DAA2068BAD09}">
  <ds:schemaRefs>
    <ds:schemaRef ds:uri="http://schemas.openxmlformats.org/officeDocument/2006/bibliography"/>
  </ds:schemaRefs>
</ds:datastoreItem>
</file>

<file path=customXml/itemProps4.xml><?xml version="1.0" encoding="utf-8"?>
<ds:datastoreItem xmlns:ds="http://schemas.openxmlformats.org/officeDocument/2006/customXml" ds:itemID="{546E04A7-15C6-4185-8E32-D14329A7E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e77ad2-e84b-4a24-aade-05b053ecbb7f"/>
    <ds:schemaRef ds:uri="19582322-dc36-42c2-a7fe-084d8a7c7d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E86D3F-33F2-4A6D-9285-A18B519A72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3861</TotalTime>
  <Pages>130</Pages>
  <Words>47348</Words>
  <Characters>269890</Characters>
  <Application>Microsoft Office Word</Application>
  <DocSecurity>0</DocSecurity>
  <Lines>2249</Lines>
  <Paragraphs>633</Paragraphs>
  <ScaleCrop>false</ScaleCrop>
  <HeadingPairs>
    <vt:vector size="2" baseType="variant">
      <vt:variant>
        <vt:lpstr>Title</vt:lpstr>
      </vt:variant>
      <vt:variant>
        <vt:i4>1</vt:i4>
      </vt:variant>
    </vt:vector>
  </HeadingPairs>
  <TitlesOfParts>
    <vt:vector size="1" baseType="lpstr">
      <vt:lpstr>21611 Perry Street Self-Storage project</vt:lpstr>
    </vt:vector>
  </TitlesOfParts>
  <Manager>City of Carson</Manager>
  <Company/>
  <LinksUpToDate>false</LinksUpToDate>
  <CharactersWithSpaces>316605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21611 Perry Street Self-Storage project</dc:title>
  <dc:subject>Initial Study/Mitigated Negative Declaration</dc:subject>
  <dc:creator>Ian Hillway</dc:creator>
  <cp:lastModifiedBy>Aaron Guzman</cp:lastModifiedBy>
  <cp:revision>107</cp:revision>
  <cp:lastPrinted>2022-04-27T00:02:00Z</cp:lastPrinted>
  <dcterms:created xsi:type="dcterms:W3CDTF">2022-04-20T04:51:00Z</dcterms:created>
  <dcterms:modified xsi:type="dcterms:W3CDTF">2022-05-26T16:14:00Z</dcterms:modified>
  <cp:category>May 2022</cp:category>
  <cp:contentStatus>Public Review 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0x010100228AC76EB6963147AD6C177C5AFD88E1</vt:lpwstr>
  </property>
</Properties>
</file>